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Finlora Finance Flow</w:t>
      </w:r>
    </w:p>
    <w:p>
      <w:pPr>
        <w:spacing w:after="40"/>
        <w:jc w:val="center"/>
      </w:pPr>
      <w:r>
        <w:rPr>
          <w:color w:val="C1440E"/>
          <w:sz w:val="26"/>
          <w:szCs w:val="26"/>
        </w:rPr>
        <w:t xml:space="preserve">Fraud Detection &amp; Risk Scoring — Deployment &amp; Handover Summary</w:t>
      </w:r>
    </w:p>
    <w:p>
      <w:pPr>
        <w:spacing w:after="240"/>
        <w:jc w:val="center"/>
      </w:pPr>
      <w:r>
        <w:rPr>
          <w:i/>
          <w:iCs/>
          <w:color w:val="595959"/>
        </w:rPr>
        <w:t xml:space="preserve">Prepared by Marc Aurel Ntjam Minkeng</w:t>
      </w:r>
    </w:p>
    <w:p>
      <w:pPr>
        <w:pBdr>
          <w:bottom w:val="single" w:color="C1440E" w:sz="6" w:space="1"/>
        </w:pBdr>
        <w:spacing w:after="200"/>
      </w:pPr>
      <w:r>
        <w:t xml:space="preserve"/>
      </w:r>
    </w:p>
    <w:p>
      <w:pPr>
        <w:pStyle w:val="Heading1"/>
        <w:spacing w:after="120" w:before="240"/>
      </w:pPr>
      <w:r>
        <w:rPr>
          <w:color w:val="1F3864"/>
        </w:rPr>
        <w:t xml:space="preserve">1. Purpose</w:t>
      </w:r>
    </w:p>
    <w:p>
      <w:pPr>
        <w:spacing w:after="120"/>
      </w:pPr>
      <w:r>
        <w:t xml:space="preserve">This document accompanies the deployed fraud-detection prototype for Finlora Finance Flow. It summarises what was built across the project lifecycle, how the deployment works, and what a future team needs to operate and extend it. It covers Step 7 of the project plan — deployment and monitoring considerations — and serves as the final handover.</w:t>
      </w:r>
    </w:p>
    <w:p>
      <w:pPr>
        <w:pStyle w:val="Heading1"/>
        <w:spacing w:after="120" w:before="240"/>
      </w:pPr>
      <w:r>
        <w:rPr>
          <w:color w:val="1F3864"/>
        </w:rPr>
        <w:t xml:space="preserve">2. What was built</w:t>
      </w:r>
    </w:p>
    <w:p>
      <w:pPr>
        <w:spacing w:after="120"/>
      </w:pPr>
      <w:r>
        <w:t xml:space="preserve">The prototype replaces Finlora's fixed-threshold monitoring rules with a machine-learning model that assigns every transaction a fraud probability, enabling a ranked, tunable, explainable review queue instead of an equal-urgency alert pile.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Data: 126,000 transactions across 7,200 accounts, cleaned and merged into a single analysis table.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Models: a class-balanced Logistic Regression baseline and a Random Forest primary model (300 trees, depth 10).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Deliverables: a cleaning-to-evaluation notebook, saved model artefacts, and a Streamlit review-queue application.</w:t>
      </w:r>
    </w:p>
    <w:p>
      <w:pPr>
        <w:pStyle w:val="Heading1"/>
        <w:spacing w:after="120" w:before="240"/>
      </w:pPr>
      <w:r>
        <w:rPr>
          <w:color w:val="1F3864"/>
        </w:rPr>
        <w:t xml:space="preserve">3. Model performance (held-out test set)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800"/>
      </w:tblGrid>
      <w:tr>
        <w:tc>
          <w:tcPr>
            <w:tcW w:type="dxa" w:w="3200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2600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3800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Interpretation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ROC-AUC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0.934</w:t>
            </w:r>
          </w:p>
        </w:tc>
        <w:tc>
          <w:tcPr>
            <w:tcW w:type="dxa" w:w="38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Strong separation of fraud from legitimate activity</w:t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Recall</w:t>
            </w:r>
          </w:p>
        </w:tc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0.83</w:t>
            </w:r>
          </w:p>
        </w:tc>
        <w:tc>
          <w:tcPr>
            <w:tcW w:type="dxa" w:w="3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Catches ~83% of true fraud at the default threshold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Precision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0.32</w:t>
            </w:r>
          </w:p>
        </w:tc>
        <w:tc>
          <w:tcPr>
            <w:tcW w:type="dxa" w:w="38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Cost of catching fraud at a low base rate; tunable</w:t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F1</w:t>
            </w:r>
          </w:p>
        </w:tc>
        <w:tc>
          <w:tcPr>
            <w:tcW w:type="dxa" w:w="2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0.46</w:t>
            </w:r>
          </w:p>
        </w:tc>
        <w:tc>
          <w:tcPr>
            <w:tcW w:type="dxa" w:w="3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Balance of precision and recall</w:t>
            </w:r>
          </w:p>
        </w:tc>
      </w:tr>
    </w:tbl>
    <w:p>
      <w:pPr>
        <w:spacing w:after="120"/>
      </w:pPr>
      <w:r>
        <w:rPr>
          <w:b/>
          <w:bCs/>
        </w:rPr>
        <w:t xml:space="preserve">Note: </w:t>
      </w:r>
      <w:r>
        <w:t xml:space="preserve">at a 2.66% fraud base rate, accuracy is not a meaningful metric. The model is evaluated on recall, precision, F1 and ROC-AUC, and precision is reported at fixed recall operating points (70/80/90%) so the risk team can set the threshold against review capacity.</w:t>
      </w:r>
    </w:p>
    <w:p>
      <w:pPr>
        <w:pStyle w:val="Heading1"/>
        <w:spacing w:after="120" w:before="240"/>
      </w:pPr>
      <w:r>
        <w:rPr>
          <w:color w:val="1F3864"/>
        </w:rPr>
        <w:t xml:space="preserve">4. Behavioural drivers of fraud</w:t>
      </w:r>
    </w:p>
    <w:p>
      <w:pPr>
        <w:spacing w:after="120"/>
      </w:pPr>
      <w:r>
        <w:t xml:space="preserve">Feature importance and EDA agree on the dominant signals: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Transaction velocity (transactions in the trailing hour): ≥2 transactions raises fraud rate to 88–100%.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Amount-to-average ratio: fraud is typically ~6× the account's own 30-day baseline versus ~1× for legitimate activity.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High-risk merchant categories: Wire Transfer, Payroll Transfer and Crypto Exchange carry the highest fraud rates.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Secondary signals: new device roughly doubles fraud rate; cross-border and Tier-1 KYC add smaller lifts.</w:t>
      </w:r>
    </w:p>
    <w:p>
      <w:pPr>
        <w:pStyle w:val="Heading1"/>
        <w:spacing w:after="120" w:before="240"/>
      </w:pPr>
      <w:r>
        <w:rPr>
          <w:color w:val="1F3864"/>
        </w:rPr>
        <w:t xml:space="preserve">5. Deployment architecture</w:t>
      </w:r>
    </w:p>
    <w:p>
      <w:pPr>
        <w:spacing w:after="120"/>
      </w:pPr>
      <w:r>
        <w:t xml:space="preserve">The deployment follows a simple, reproducible pattern. The model is trained once and saved to disk as artefacts; the Streamlit app loads those artefacts and scores transactions on demand — it does not retrain on launch.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train_and_save_model.py (in Model\) trains the Random Forest and saves three artefacts: the model, the feature-column order, and metadata (metrics, thresholds, feature options).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fraud_review_app.py (in App\) loads the artefacts and serves three tabs: Review Queue, Score a Transaction, and Model Insights.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Review Queue ranks scored transactions by probability, with 70/80/90%-recall threshold presets and a CSV export.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flag shows its contributing signals (velocity, amount ratio, category, device, cross-border) — satisfying the explainability requirement.</w:t>
      </w:r>
    </w:p>
    <w:p>
      <w:pPr>
        <w:pStyle w:val="Heading1"/>
        <w:spacing w:after="120" w:before="240"/>
      </w:pPr>
      <w:r>
        <w:rPr>
          <w:color w:val="1F3864"/>
        </w:rPr>
        <w:t xml:space="preserve">6. How to run</w:t>
      </w:r>
    </w:p>
    <w:p>
      <w:pPr>
        <w:spacing w:after="120"/>
      </w:pPr>
      <w:r>
        <w:t xml:space="preserve">From the project root </w:t>
      </w:r>
      <w:r>
        <w:rPr>
          <w:rFonts w:ascii="Consolas" w:cs="Consolas" w:eastAsia="Consolas" w:hAnsi="Consolas"/>
          <w:color w:val="C1440E"/>
        </w:rPr>
        <w:t xml:space="preserve">D:\Amdari\Project_finlora</w:t>
      </w:r>
      <w:r>
        <w:t xml:space="preserve">, in the VS Code terminal:</w:t>
      </w:r>
    </w:p>
    <w:p>
      <w:pPr>
        <w:shd w:fill="F2F2F2" w:color="auto" w:val="clear"/>
        <w:spacing w:after="120"/>
      </w:pPr>
      <w:r>
        <w:rPr>
          <w:rFonts w:ascii="Consolas" w:cs="Consolas" w:eastAsia="Consolas" w:hAnsi="Consolas"/>
        </w:rPr>
        <w:t xml:space="preserve">pip install -r requirements.txt</w:t>
      </w:r>
    </w:p>
    <w:p>
      <w:pPr>
        <w:shd w:fill="F2F2F2" w:color="auto" w:val="clear"/>
        <w:spacing w:after="120"/>
      </w:pPr>
      <w:r>
        <w:rPr>
          <w:rFonts w:ascii="Consolas" w:cs="Consolas" w:eastAsia="Consolas" w:hAnsi="Consolas"/>
        </w:rPr>
        <w:t xml:space="preserve">python Model\train_and_save_model.py</w:t>
      </w:r>
    </w:p>
    <w:p>
      <w:pPr>
        <w:shd w:fill="F2F2F2" w:color="auto" w:val="clear"/>
        <w:spacing w:after="120"/>
      </w:pPr>
      <w:r>
        <w:rPr>
          <w:rFonts w:ascii="Consolas" w:cs="Consolas" w:eastAsia="Consolas" w:hAnsi="Consolas"/>
        </w:rPr>
        <w:t xml:space="preserve">streamlit run App\fraud_review_app.py</w:t>
      </w:r>
    </w:p>
    <w:p>
      <w:pPr>
        <w:spacing w:after="120"/>
      </w:pPr>
      <w:r>
        <w:t xml:space="preserve">The app opens in the browser at http://localhost:8501.</w:t>
      </w:r>
    </w:p>
    <w:p>
      <w:pPr>
        <w:pStyle w:val="Heading1"/>
        <w:spacing w:after="120" w:before="240"/>
      </w:pPr>
      <w:r>
        <w:rPr>
          <w:color w:val="1F3864"/>
        </w:rPr>
        <w:t xml:space="preserve">7. Monitoring &amp; next steps</w:t>
      </w:r>
    </w:p>
    <w:p>
      <w:pPr>
        <w:spacing w:after="120"/>
      </w:pPr>
      <w:r>
        <w:t xml:space="preserve">The following are recommended for a production phase (out of scope for this prototype):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Package the model behind a scoring endpoint called at transaction time, rather than batch scoring in the app.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Route scores above the chosen threshold into the analyst queue, ranked by probability (implemented here in prototype form).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 analyst outcomes (confirmed fraud vs. false positive) to build a growing labelled dataset.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Establish a periodic retraining cadence as labelled volume grows and fraud tactics shift.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Monitor for feature drift — especially the velocity and amount-ratio distributions — and recalibrate thresholds as volume changes.</w:t>
      </w:r>
    </w:p>
    <w:p>
      <w:pPr>
        <w:pStyle w:val="Heading1"/>
        <w:spacing w:after="120" w:before="240"/>
      </w:pPr>
      <w:r>
        <w:rPr>
          <w:color w:val="1F3864"/>
        </w:rPr>
        <w:t xml:space="preserve">8. Known limitations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velocity feature is very strong; while behaviourally plausible (fraudsters cash out fast), its dominance should be watched for any label leakage in production 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Logistic Regression and Random Forest are near-identical on ROC-AUC; the Random Forest is recommended for recall and non-linear interactions, not a decisive metric gap.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prototype uses historical labelled data; it does not integrate with live payment systems, and there is no automated blocking or analyst feedback loop yet.</w:t>
      </w:r>
    </w:p>
    <w:p>
      <w:pPr>
        <w:pBdr>
          <w:top w:val="single" w:color="C1440E" w:sz="6" w:space="1"/>
        </w:pBdr>
        <w:spacing w:after="80" w:before="240"/>
      </w:pPr>
      <w:r>
        <w:t xml:space="preserve"/>
      </w:r>
    </w:p>
    <w:p>
      <w:pPr>
        <w:jc w:val="center"/>
      </w:pPr>
      <w:r>
        <w:rPr>
          <w:i/>
          <w:iCs/>
          <w:color w:val="595959"/>
        </w:rPr>
        <w:t xml:space="preserve">End of handover summary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2026-09-22T19:05:52.024Z</dcterms:created>
  <dcterms:modified xsi:type="dcterms:W3CDTF">2026-09-22T19:05:52.034Z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