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w:t>
      </w: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7B5F7D">
      <w:pPr>
        <w:pStyle w:val="NormalWeb"/>
        <w:rPr>
          <w:b/>
          <w:sz w:val="32"/>
        </w:rPr>
      </w:pPr>
      <w:r>
        <w:rPr>
          <w:b/>
          <w:sz w:val="32"/>
        </w:rPr>
        <w:t>Case 2 : Unknown Environment</w:t>
      </w:r>
    </w:p>
    <w:p w:rsidR="00EC130F" w:rsidRDefault="0038513C" w:rsidP="007B5F7D">
      <w:pPr>
        <w:pStyle w:val="NormalWeb"/>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EC130F">
      <w:pPr>
        <w:pStyle w:val="NormalWeb"/>
        <w:numPr>
          <w:ilvl w:val="0"/>
          <w:numId w:val="3"/>
        </w:numPr>
      </w:pPr>
      <w:r>
        <w:t>The agent selects an action from its policy in state s</w:t>
      </w:r>
    </w:p>
    <w:p w:rsidR="00EC130F" w:rsidRDefault="00EC130F" w:rsidP="00EC130F">
      <w:pPr>
        <w:pStyle w:val="NormalWeb"/>
        <w:numPr>
          <w:ilvl w:val="0"/>
          <w:numId w:val="3"/>
        </w:numPr>
      </w:pPr>
      <w:r>
        <w:t>The environment responds with a new state and reward</w:t>
      </w:r>
    </w:p>
    <w:p w:rsidR="00EC130F" w:rsidRDefault="00EC130F" w:rsidP="00EC130F">
      <w:pPr>
        <w:pStyle w:val="NormalWeb"/>
        <w:numPr>
          <w:ilvl w:val="0"/>
          <w:numId w:val="3"/>
        </w:numPr>
      </w:pPr>
      <w:r>
        <w:t>This information is used by the agent to update its policy</w:t>
      </w:r>
    </w:p>
    <w:p w:rsidR="00895BE5" w:rsidRDefault="00895BE5" w:rsidP="00895BE5">
      <w:pPr>
        <w:pStyle w:val="NormalWeb"/>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895BE5">
      <w:pPr>
        <w:pStyle w:val="NormalWeb"/>
        <w:numPr>
          <w:ilvl w:val="0"/>
          <w:numId w:val="4"/>
        </w:numPr>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895BE5">
      <w:pPr>
        <w:pStyle w:val="NormalWeb"/>
        <w:numPr>
          <w:ilvl w:val="0"/>
          <w:numId w:val="4"/>
        </w:numPr>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bookmarkStart w:id="0" w:name="_GoBack"/>
      <w:bookmarkEnd w:id="0"/>
    </w:p>
    <w:p w:rsidR="007B5F7D" w:rsidRPr="007B5F7D" w:rsidRDefault="007B5F7D" w:rsidP="0038599F">
      <w:pPr>
        <w:tabs>
          <w:tab w:val="center" w:pos="3675"/>
        </w:tabs>
        <w:spacing w:after="197" w:line="240" w:lineRule="auto"/>
        <w:ind w:left="0"/>
        <w:jc w:val="both"/>
        <w:rPr>
          <w:rFonts w:ascii="Times New Roman" w:eastAsia="Times New Roman" w:hAnsi="Times New Roman" w:cs="Times New Roman"/>
          <w:szCs w:val="32"/>
          <w:vertAlign w:val="subscript"/>
        </w:rPr>
      </w:pPr>
    </w:p>
    <w:sectPr w:rsidR="007B5F7D" w:rsidRPr="007B5F7D"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338" w:rsidRDefault="00C57338">
      <w:pPr>
        <w:spacing w:after="0" w:line="240" w:lineRule="auto"/>
      </w:pPr>
      <w:r>
        <w:separator/>
      </w:r>
    </w:p>
  </w:endnote>
  <w:endnote w:type="continuationSeparator" w:id="0">
    <w:p w:rsidR="00C57338" w:rsidRDefault="00C5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338" w:rsidRDefault="00C57338">
      <w:pPr>
        <w:spacing w:after="0" w:line="240" w:lineRule="auto"/>
      </w:pPr>
      <w:r>
        <w:separator/>
      </w:r>
    </w:p>
  </w:footnote>
  <w:footnote w:type="continuationSeparator" w:id="0">
    <w:p w:rsidR="00C57338" w:rsidRDefault="00C57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E4D5C"/>
    <w:rsid w:val="000F048C"/>
    <w:rsid w:val="00143A4A"/>
    <w:rsid w:val="001538B8"/>
    <w:rsid w:val="001718ED"/>
    <w:rsid w:val="001D29DC"/>
    <w:rsid w:val="00225972"/>
    <w:rsid w:val="00296A28"/>
    <w:rsid w:val="002A40D4"/>
    <w:rsid w:val="002A47E1"/>
    <w:rsid w:val="0038513C"/>
    <w:rsid w:val="0038599F"/>
    <w:rsid w:val="003B1382"/>
    <w:rsid w:val="003E7D17"/>
    <w:rsid w:val="00405532"/>
    <w:rsid w:val="00447637"/>
    <w:rsid w:val="00474322"/>
    <w:rsid w:val="004E46C6"/>
    <w:rsid w:val="00502129"/>
    <w:rsid w:val="005441CE"/>
    <w:rsid w:val="00561B9F"/>
    <w:rsid w:val="005729ED"/>
    <w:rsid w:val="005A3BD2"/>
    <w:rsid w:val="005C5021"/>
    <w:rsid w:val="006442A4"/>
    <w:rsid w:val="00645A9C"/>
    <w:rsid w:val="0076482D"/>
    <w:rsid w:val="0077259A"/>
    <w:rsid w:val="00781CCC"/>
    <w:rsid w:val="00786036"/>
    <w:rsid w:val="007B5F7D"/>
    <w:rsid w:val="007E2400"/>
    <w:rsid w:val="00871E69"/>
    <w:rsid w:val="00895BE5"/>
    <w:rsid w:val="008978FD"/>
    <w:rsid w:val="008C0026"/>
    <w:rsid w:val="00904D3C"/>
    <w:rsid w:val="00927242"/>
    <w:rsid w:val="009861A5"/>
    <w:rsid w:val="00A84613"/>
    <w:rsid w:val="00AD4B99"/>
    <w:rsid w:val="00AF097A"/>
    <w:rsid w:val="00B0670F"/>
    <w:rsid w:val="00B41FD3"/>
    <w:rsid w:val="00B961CD"/>
    <w:rsid w:val="00BA38E7"/>
    <w:rsid w:val="00BB5270"/>
    <w:rsid w:val="00C46319"/>
    <w:rsid w:val="00C57338"/>
    <w:rsid w:val="00CA3984"/>
    <w:rsid w:val="00CA67FC"/>
    <w:rsid w:val="00CD2746"/>
    <w:rsid w:val="00D17DBC"/>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33</cp:revision>
  <cp:lastPrinted>2025-06-16T10:52:00Z</cp:lastPrinted>
  <dcterms:created xsi:type="dcterms:W3CDTF">2025-06-16T10:52:00Z</dcterms:created>
  <dcterms:modified xsi:type="dcterms:W3CDTF">2025-06-18T14:44:00Z</dcterms:modified>
</cp:coreProperties>
</file>