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0"/>
          <w:szCs w:val="40"/>
        </w:rPr>
        <w:t xml:space="preserve">COMPETITIVE INTELLIGENCE BRIEFING</w:t>
      </w:r>
    </w:p>
    <w:p>
      <w:pPr>
        <w:spacing w:after="100"/>
        <w:jc w:val="center"/>
      </w:pPr>
      <w:r>
        <w:rPr>
          <w:rFonts w:ascii="Arial" w:cs="Arial" w:eastAsia="Arial" w:hAnsi="Arial"/>
          <w:color w:val="2C3E50"/>
          <w:sz w:val="28"/>
          <w:szCs w:val="28"/>
        </w:rPr>
        <w:t xml:space="preserve">NXP Semiconductors N.V. (NASDAQ: NXPI)</w:t>
      </w:r>
    </w:p>
    <w:p>
      <w:pPr>
        <w:pBdr>
          <w:bottom w:val="single" w:color="C0392B" w:sz="8" w:space="8"/>
        </w:pBdr>
        <w:spacing w:after="600"/>
        <w:jc w:val="center"/>
      </w:pPr>
      <w:r>
        <w:rPr>
          <w:rFonts w:ascii="Arial" w:cs="Arial" w:eastAsia="Arial" w:hAnsi="Arial"/>
          <w:color w:val="666666"/>
          <w:sz w:val="22"/>
          <w:szCs w:val="22"/>
        </w:rPr>
        <w:t xml:space="preserve">Hiring Patterns × SEC Filing Cross-Analysis</w:t>
      </w:r>
    </w:p>
    <w:p>
      <w:pPr>
        <w:spacing w:after="400"/>
      </w:pPr>
    </w:p>
    <w:p>
      <w:pPr>
        <w:jc w:val="center"/>
      </w:pPr>
      <w:r>
        <w:rPr>
          <w:rFonts w:ascii="Arial" w:cs="Arial" w:eastAsia="Arial" w:hAnsi="Arial"/>
          <w:b/>
          <w:bCs/>
          <w:color w:val="2C3E50"/>
          <w:sz w:val="22"/>
          <w:szCs w:val="22"/>
        </w:rPr>
        <w:t xml:space="preserve">Prepared for: CEO &amp; CCO, Silicon Craft Technology PLC</w:t>
      </w:r>
    </w:p>
    <w:p>
      <w:pPr>
        <w:spacing w:after="100"/>
        <w:jc w:val="center"/>
      </w:pPr>
      <w:r>
        <w:rPr>
          <w:rFonts w:ascii="Arial" w:cs="Arial" w:eastAsia="Arial" w:hAnsi="Arial"/>
          <w:color w:val="C0392B"/>
          <w:sz w:val="20"/>
          <w:szCs w:val="20"/>
        </w:rPr>
        <w:t xml:space="preserve">Classification: CONFIDENTIAL — Internal Use Only</w:t>
      </w:r>
    </w:p>
    <w:p>
      <w:pPr>
        <w:spacing w:after="100"/>
        <w:jc w:val="center"/>
      </w:pPr>
      <w:r>
        <w:rPr>
          <w:rFonts w:ascii="Arial" w:cs="Arial" w:eastAsia="Arial" w:hAnsi="Arial"/>
          <w:color w:val="666666"/>
          <w:sz w:val="20"/>
          <w:szCs w:val="20"/>
        </w:rPr>
        <w:t xml:space="preserve">Date: 27 February 2026</w:t>
      </w:r>
    </w:p>
    <w:p>
      <w:pPr>
        <w:jc w:val="center"/>
      </w:pPr>
      <w:r>
        <w:rPr>
          <w:rFonts w:ascii="Arial" w:cs="Arial" w:eastAsia="Arial" w:hAnsi="Arial"/>
          <w:i/>
          <w:iCs/>
          <w:color w:val="888888"/>
          <w:sz w:val="18"/>
          <w:szCs w:val="18"/>
        </w:rPr>
        <w:t xml:space="preserve">Sources: NXP 10-K (FY2025, filed Feb 2026) + 425 active job postings (scraped Feb 2026)</w:t>
      </w:r>
    </w:p>
    <w:p>
      <w:r>
        <w:br w:type="page"/>
      </w:r>
    </w:p>
    <w:p>
      <w:pPr>
        <w:pStyle w:val="Heading1"/>
        <w:spacing w:before="360" w:after="200"/>
      </w:pPr>
      <w:r>
        <w:rPr>
          <w:rFonts w:ascii="Arial" w:cs="Arial" w:eastAsia="Arial" w:hAnsi="Arial"/>
          <w:b/>
          <w:bCs/>
          <w:color w:val="1B3A5C"/>
          <w:sz w:val="28"/>
          <w:szCs w:val="28"/>
        </w:rPr>
        <w:t xml:space="preserve">1. Executive Summary</w:t>
      </w:r>
    </w:p>
    <w:p>
      <w:pPr>
        <w:spacing w:after="120" w:line="276"/>
      </w:pPr>
      <w:r>
        <w:rPr>
          <w:rFonts w:ascii="Arial" w:cs="Arial" w:eastAsia="Arial" w:hAnsi="Arial"/>
          <w:color w:val="333333"/>
          <w:sz w:val="20"/>
          <w:szCs w:val="20"/>
        </w:rPr>
        <w:t xml:space="preserve">NXP is executing a decisive portfolio pivot. They are exiting lower-margin hardware businesses (MEMS sensors sold for $900M, communication infrastructure revenue down 23.6% YoY) and redeploying capital into three bets: software-defined vehicles, edge AI inference silicon, and automotive electrification. Three acquisitions in 2025 totaling $1.27B confirm the direction. Their hiring patterns validate this with 425 open roles heavily weighted toward these three areas.</w:t>
      </w:r>
    </w:p>
    <w:p>
      <w:pPr>
        <w:spacing w:after="120" w:line="276"/>
      </w:pPr>
      <w:r>
        <w:rPr>
          <w:rFonts w:ascii="Arial" w:cs="Arial" w:eastAsia="Arial" w:hAnsi="Arial"/>
          <w:color w:val="333333"/>
          <w:sz w:val="20"/>
          <w:szCs w:val="20"/>
        </w:rPr>
        <w:t xml:space="preserve">For SIC, the most actionable finding is the MEMS sensor divestiture and the visible deprioritization of NFC/RFID product development. NXP’s NFC/RFID hiring is almost entirely manufacturing and test support — not new product design. Their engineering focus is shifting toward high-security mobile payments and automotive authentication, leaving gaps in lower-complexity industrial identification, animal ID, and IoT sensing where SIC competes directly.</w:t>
      </w:r>
    </w:p>
    <w:p>
      <w:r>
        <w:br w:type="page"/>
      </w:r>
    </w:p>
    <w:p>
      <w:pPr>
        <w:pStyle w:val="Heading1"/>
        <w:spacing w:before="360" w:after="200"/>
      </w:pPr>
      <w:r>
        <w:rPr>
          <w:rFonts w:ascii="Arial" w:cs="Arial" w:eastAsia="Arial" w:hAnsi="Arial"/>
          <w:b/>
          <w:bCs/>
          <w:color w:val="1B3A5C"/>
          <w:sz w:val="28"/>
          <w:szCs w:val="28"/>
        </w:rPr>
        <w:t xml:space="preserve">2. NXP Financial Snapshot (FY2025)</w:t>
      </w:r>
    </w:p>
    <w:p>
      <w:pPr>
        <w:spacing w:after="120" w:line="276"/>
      </w:pPr>
      <w:r>
        <w:rPr>
          <w:rFonts w:ascii="Arial" w:cs="Arial" w:eastAsia="Arial" w:hAnsi="Arial"/>
          <w:color w:val="333333"/>
          <w:sz w:val="20"/>
          <w:szCs w:val="20"/>
        </w:rPr>
        <w:t xml:space="preserve">Key numbers from the 10-K that frame all hiring and strategy decisions: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800"/>
        <w:gridCol w:w="3020"/>
        <w:gridCol w:w="3020"/>
      </w:tblGrid>
      <w:tr>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Metric</w:t>
            </w:r>
          </w:p>
        </w:tc>
        <w:tc>
          <w:tcPr>
            <w:tcW w:type="dxa" w:w="30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FY2025</w:t>
            </w:r>
          </w:p>
        </w:tc>
        <w:tc>
          <w:tcPr>
            <w:tcW w:type="dxa" w:w="30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FY2024 / Change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Total Revenue</w:t>
            </w:r>
          </w:p>
        </w:tc>
        <w:tc>
          <w:tcPr>
            <w:tcW w:type="dxa" w:w="3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$12.27B</w:t>
            </w:r>
          </w:p>
        </w:tc>
        <w:tc>
          <w:tcPr>
            <w:tcW w:type="dxa" w:w="3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$12.61B / -2.7%</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Automotive Revenue</w:t>
            </w:r>
          </w:p>
        </w:tc>
        <w:tc>
          <w:tcPr>
            <w:tcW w:type="dxa" w:w="30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$7,116M (58%)</w:t>
            </w:r>
          </w:p>
        </w:tc>
        <w:tc>
          <w:tcPr>
            <w:tcW w:type="dxa" w:w="30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$7,167M / -0.7%</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Industrial &amp; IoT Revenue</w:t>
            </w:r>
          </w:p>
        </w:tc>
        <w:tc>
          <w:tcPr>
            <w:tcW w:type="dxa" w:w="3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$2,273M (18%)</w:t>
            </w:r>
          </w:p>
        </w:tc>
        <w:tc>
          <w:tcPr>
            <w:tcW w:type="dxa" w:w="3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$2,189M / +3.8%</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Mobile Revenue</w:t>
            </w:r>
          </w:p>
        </w:tc>
        <w:tc>
          <w:tcPr>
            <w:tcW w:type="dxa" w:w="30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$1,584M (13%)</w:t>
            </w:r>
          </w:p>
        </w:tc>
        <w:tc>
          <w:tcPr>
            <w:tcW w:type="dxa" w:w="30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$1,559M / +1.6%</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Comm Infra &amp; Other</w:t>
            </w:r>
          </w:p>
        </w:tc>
        <w:tc>
          <w:tcPr>
            <w:tcW w:type="dxa" w:w="3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$1,296M (11%)</w:t>
            </w:r>
          </w:p>
        </w:tc>
        <w:tc>
          <w:tcPr>
            <w:tcW w:type="dxa" w:w="3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$1,696M / -23.6%</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Gross Margin</w:t>
            </w:r>
          </w:p>
        </w:tc>
        <w:tc>
          <w:tcPr>
            <w:tcW w:type="dxa" w:w="30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54.7%</w:t>
            </w:r>
          </w:p>
        </w:tc>
        <w:tc>
          <w:tcPr>
            <w:tcW w:type="dxa" w:w="30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56.4% / -170bps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Total Debt</w:t>
            </w:r>
          </w:p>
        </w:tc>
        <w:tc>
          <w:tcPr>
            <w:tcW w:type="dxa" w:w="3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$12.29B</w:t>
            </w:r>
          </w:p>
        </w:tc>
        <w:tc>
          <w:tcPr>
            <w:tcW w:type="dxa" w:w="3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$10.18B / +$2.1B</w:t>
            </w:r>
          </w:p>
        </w:tc>
      </w:tr>
      <w:tr>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Acquisitions (2025)</w:t>
            </w:r>
          </w:p>
        </w:tc>
        <w:tc>
          <w:tcPr>
            <w:tcW w:type="dxa" w:w="30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$1.27B total</w:t>
            </w:r>
          </w:p>
        </w:tc>
        <w:tc>
          <w:tcPr>
            <w:tcW w:type="dxa" w:w="302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TTTech + Aviva + Kinara</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MEMS Divestiture</w:t>
            </w:r>
          </w:p>
        </w:tc>
        <w:tc>
          <w:tcPr>
            <w:tcW w:type="dxa" w:w="3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$900M (Feb 2026)</w:t>
            </w:r>
          </w:p>
        </w:tc>
        <w:tc>
          <w:tcPr>
            <w:tcW w:type="dxa" w:w="30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color w:val="333333"/>
                <w:sz w:val="18"/>
                <w:szCs w:val="18"/>
              </w:rPr>
              <w:t xml:space="preserve">Sold to undisclosed buyer</w:t>
            </w:r>
          </w:p>
        </w:tc>
      </w:tr>
    </w:tbl>
    <w:p>
      <w:pPr>
        <w:spacing w:after="120"/>
      </w:pPr>
    </w:p>
    <w:p>
      <w:pPr>
        <w:spacing w:after="120" w:line="276"/>
      </w:pPr>
      <w:r>
        <w:rPr>
          <w:rFonts w:ascii="Arial" w:cs="Arial" w:eastAsia="Arial" w:hAnsi="Arial"/>
          <w:b/>
          <w:bCs/>
          <w:color w:val="333333"/>
          <w:sz w:val="20"/>
          <w:szCs w:val="20"/>
        </w:rPr>
        <w:t xml:space="preserve">Key takeaway: </w:t>
      </w:r>
      <w:r>
        <w:rPr>
          <w:rFonts w:ascii="Arial" w:cs="Arial" w:eastAsia="Arial" w:hAnsi="Arial"/>
          <w:color w:val="333333"/>
          <w:sz w:val="20"/>
          <w:szCs w:val="20"/>
        </w:rPr>
        <w:t xml:space="preserve">Revenue is declining, margins are compressing, and debt increased $2.1B from acquisitions. NXP is borrowing to fund a strategic pivot, not growing organically. The Comm Infra segment collapse (-23.6%) and MEMS exit signal deliberate portfolio pruning. A Q4 2025 impairment charge referenced “scaling down of a non-strategic product line” — expect further exits.</w:t>
      </w:r>
    </w:p>
    <w:p>
      <w:r>
        <w:br w:type="page"/>
      </w:r>
    </w:p>
    <w:p>
      <w:pPr>
        <w:pStyle w:val="Heading1"/>
        <w:spacing w:before="360" w:after="200"/>
      </w:pPr>
      <w:r>
        <w:rPr>
          <w:rFonts w:ascii="Arial" w:cs="Arial" w:eastAsia="Arial" w:hAnsi="Arial"/>
          <w:b/>
          <w:bCs/>
          <w:color w:val="1B3A5C"/>
          <w:sz w:val="28"/>
          <w:szCs w:val="28"/>
        </w:rPr>
        <w:t xml:space="preserve">3. Inferred Product Initiatives from Hiring</w:t>
      </w:r>
    </w:p>
    <w:p>
      <w:pPr>
        <w:spacing w:after="120" w:line="276"/>
      </w:pPr>
      <w:r>
        <w:rPr>
          <w:rFonts w:ascii="Arial" w:cs="Arial" w:eastAsia="Arial" w:hAnsi="Arial"/>
          <w:color w:val="333333"/>
          <w:sz w:val="20"/>
          <w:szCs w:val="20"/>
        </w:rPr>
        <w:t xml:space="preserve">We clustered 425 open roles by skills, tools, and responsibilities described in job postings — ignoring NXP’s stated team names. This reveals what is actually being built vs. what they talk about publicly.</w:t>
      </w:r>
    </w:p>
    <w:p>
      <w:pPr>
        <w:pStyle w:val="Heading2"/>
        <w:spacing w:before="280" w:after="140"/>
      </w:pPr>
      <w:r>
        <w:rPr>
          <w:rFonts w:ascii="Arial" w:cs="Arial" w:eastAsia="Arial" w:hAnsi="Arial"/>
          <w:b/>
          <w:bCs/>
          <w:color w:val="2C3E50"/>
          <w:sz w:val="24"/>
          <w:szCs w:val="24"/>
        </w:rPr>
        <w:t xml:space="preserve">3.1 Tier 1: Heavy Investment (Executive Priority)</w:t>
      </w:r>
    </w:p>
    <w:p>
      <w:pPr>
        <w:spacing w:before="200" w:after="100"/>
      </w:pPr>
      <w:r>
        <w:rPr>
          <w:rFonts w:ascii="Arial" w:cs="Arial" w:eastAsia="Arial" w:hAnsi="Arial"/>
          <w:b/>
          <w:bCs/>
          <w:color w:val="2C3E50"/>
          <w:sz w:val="22"/>
          <w:szCs w:val="22"/>
        </w:rPr>
        <w:t xml:space="preserve">A. Edge AI Inference Silicon (Kinara Integration)</w:t>
      </w:r>
    </w:p>
    <w:p>
      <w:pPr>
        <w:spacing w:after="120" w:line="276"/>
      </w:pPr>
      <w:r>
        <w:rPr>
          <w:rFonts w:ascii="Arial" w:cs="Arial" w:eastAsia="Arial" w:hAnsi="Arial"/>
          <w:b/>
          <w:bCs/>
          <w:color w:val="333333"/>
          <w:sz w:val="20"/>
          <w:szCs w:val="20"/>
        </w:rPr>
        <w:t xml:space="preserve">35 roles | 7 dedicated Kinara entity hires | All Kinara roles in Hyderabad, India</w:t>
      </w:r>
    </w:p>
    <w:p>
      <w:pPr>
        <w:spacing w:after="120" w:line="276"/>
      </w:pPr>
      <w:r>
        <w:rPr>
          <w:rFonts w:ascii="Arial" w:cs="Arial" w:eastAsia="Arial" w:hAnsi="Arial"/>
          <w:color w:val="333333"/>
          <w:sz w:val="20"/>
          <w:szCs w:val="20"/>
        </w:rPr>
        <w:t xml:space="preserve">NXP acquired Kinara for $284M in 2025 and is now staffing up the next generation of NPU silicon. The Kinara unit is hiring a Director of Engineering for ASIC Design (mentioning RISC-V), multiple Senior Hardware ASIC Arch/Design Engineers, and a Lead ML Software Engineer with TensorFlow/PyTorch/quantization skills. A separate “GenAI DevOps Program Manager” in Austin and 6 LLM-optimization internships in Eindhoven signal NXP is building tooling to run vision-language models (VLMs) and large language models on edge NPUs.</w:t>
      </w:r>
    </w:p>
    <w:p>
      <w:pPr>
        <w:pStyle w:val="ListParagraph"/>
        <w:numPr>
          <w:ilvl w:val="0"/>
          <w:numId w:val="2"/>
        </w:numPr>
        <w:spacing w:after="80" w:line="276"/>
      </w:pPr>
      <w:r>
        <w:rPr>
          <w:rFonts w:ascii="Arial" w:cs="Arial" w:eastAsia="Arial" w:hAnsi="Arial"/>
          <w:b/>
          <w:bCs/>
          <w:color w:val="333333"/>
          <w:sz w:val="20"/>
          <w:szCs w:val="20"/>
        </w:rPr>
        <w:t xml:space="preserve">What this means: </w:t>
      </w:r>
      <w:r>
        <w:rPr>
          <w:rFonts w:ascii="Arial" w:cs="Arial" w:eastAsia="Arial" w:hAnsi="Arial"/>
          <w:color w:val="333333"/>
          <w:sz w:val="20"/>
          <w:szCs w:val="20"/>
        </w:rPr>
        <w:t xml:space="preserve">NXP is designing a custom RISC-V-based NPU ASIC (likely the Kinara Ara-2 successor) to embed in i.MX application processors for automotive and industrial edge AI. This is not in the 10-K as a named product.</w:t>
      </w:r>
    </w:p>
    <w:p>
      <w:pPr>
        <w:pStyle w:val="ListParagraph"/>
        <w:numPr>
          <w:ilvl w:val="0"/>
          <w:numId w:val="2"/>
        </w:numPr>
        <w:spacing w:after="80" w:line="276"/>
      </w:pPr>
      <w:r>
        <w:rPr>
          <w:rFonts w:ascii="Arial" w:cs="Arial" w:eastAsia="Arial" w:hAnsi="Arial"/>
          <w:b/>
          <w:bCs/>
          <w:color w:val="333333"/>
          <w:sz w:val="20"/>
          <w:szCs w:val="20"/>
        </w:rPr>
        <w:t xml:space="preserve">SIC relevance: </w:t>
      </w:r>
      <w:r>
        <w:rPr>
          <w:rFonts w:ascii="Arial" w:cs="Arial" w:eastAsia="Arial" w:hAnsi="Arial"/>
          <w:color w:val="333333"/>
          <w:sz w:val="20"/>
          <w:szCs w:val="20"/>
        </w:rPr>
        <w:t xml:space="preserve">Low direct overlap. But edge AI processors will be paired with sensor front-ends. If SIC’s sensor interface ICs (SIC4340 series) can feed data to NXP’s edge AI platform, there is a partnership angle.</w:t>
      </w:r>
    </w:p>
    <w:p>
      <w:pPr>
        <w:spacing w:before="200" w:after="100"/>
      </w:pPr>
      <w:r>
        <w:rPr>
          <w:rFonts w:ascii="Arial" w:cs="Arial" w:eastAsia="Arial" w:hAnsi="Arial"/>
          <w:b/>
          <w:bCs/>
          <w:color w:val="2C3E50"/>
          <w:sz w:val="22"/>
          <w:szCs w:val="22"/>
        </w:rPr>
        <w:t xml:space="preserve">B. Software-Defined Vehicle Platform (TTTech + S32)</w:t>
      </w:r>
    </w:p>
    <w:p>
      <w:pPr>
        <w:spacing w:after="120" w:line="276"/>
      </w:pPr>
      <w:r>
        <w:rPr>
          <w:rFonts w:ascii="Arial" w:cs="Arial" w:eastAsia="Arial" w:hAnsi="Arial"/>
          <w:b/>
          <w:bCs/>
          <w:color w:val="333333"/>
          <w:sz w:val="20"/>
          <w:szCs w:val="20"/>
        </w:rPr>
        <w:t xml:space="preserve">28 roles | 4 Architects | Heavy in Czechia (TTTech base) and Korea</w:t>
      </w:r>
    </w:p>
    <w:p>
      <w:pPr>
        <w:spacing w:after="120" w:line="276"/>
      </w:pPr>
      <w:r>
        <w:rPr>
          <w:rFonts w:ascii="Arial" w:cs="Arial" w:eastAsia="Arial" w:hAnsi="Arial"/>
          <w:color w:val="333333"/>
          <w:sz w:val="20"/>
          <w:szCs w:val="20"/>
        </w:rPr>
        <w:t xml:space="preserve">NXP acquired TTTech Auto for $766M — their largest acquisition. Hiring includes System Architects, middleware engineers, and AUTOSAR Adaptive specialists. A Project Manager role in Seongnam, Korea explicitly states “TTTech Auto, part of NXP since June 2025” and references “safe, software-defined vehicles.” Roles mention zonal architecture, service-oriented architecture, and fail-operational systems.</w:t>
      </w:r>
    </w:p>
    <w:p>
      <w:pPr>
        <w:pStyle w:val="ListParagraph"/>
        <w:numPr>
          <w:ilvl w:val="0"/>
          <w:numId w:val="2"/>
        </w:numPr>
        <w:spacing w:after="80" w:line="276"/>
      </w:pPr>
      <w:r>
        <w:rPr>
          <w:rFonts w:ascii="Arial" w:cs="Arial" w:eastAsia="Arial" w:hAnsi="Arial"/>
          <w:b/>
          <w:bCs/>
          <w:color w:val="333333"/>
          <w:sz w:val="20"/>
          <w:szCs w:val="20"/>
        </w:rPr>
        <w:t xml:space="preserve">What this means: </w:t>
      </w:r>
      <w:r>
        <w:rPr>
          <w:rFonts w:ascii="Arial" w:cs="Arial" w:eastAsia="Arial" w:hAnsi="Arial"/>
          <w:color w:val="333333"/>
          <w:sz w:val="20"/>
          <w:szCs w:val="20"/>
        </w:rPr>
        <w:t xml:space="preserve">NXP is building a complete SDV middleware stack to pair with their S32 vehicle processors. The 4 Architect-level hires signal this is being designed from scratch, not just integrating TTTech’s existing products.</w:t>
      </w:r>
    </w:p>
    <w:p>
      <w:pPr>
        <w:pStyle w:val="ListParagraph"/>
        <w:numPr>
          <w:ilvl w:val="0"/>
          <w:numId w:val="2"/>
        </w:numPr>
        <w:spacing w:after="80" w:line="276"/>
      </w:pPr>
      <w:r>
        <w:rPr>
          <w:rFonts w:ascii="Arial" w:cs="Arial" w:eastAsia="Arial" w:hAnsi="Arial"/>
          <w:b/>
          <w:bCs/>
          <w:color w:val="333333"/>
          <w:sz w:val="20"/>
          <w:szCs w:val="20"/>
        </w:rPr>
        <w:t xml:space="preserve">SIC relevance: </w:t>
      </w:r>
      <w:r>
        <w:rPr>
          <w:rFonts w:ascii="Arial" w:cs="Arial" w:eastAsia="Arial" w:hAnsi="Arial"/>
          <w:color w:val="333333"/>
          <w:sz w:val="20"/>
          <w:szCs w:val="20"/>
        </w:rPr>
        <w:t xml:space="preserve">Indirect. As vehicle architecture shifts to zonal SDV, the in-vehicle communication topology changes. SIC’s automotive immobilizer business (SIC61xx) may face architecture changes if OEMs move key-to-vehicle authentication into SDV middleware layers.</w:t>
      </w:r>
    </w:p>
    <w:p>
      <w:pPr>
        <w:spacing w:before="200" w:after="100"/>
      </w:pPr>
      <w:r>
        <w:rPr>
          <w:rFonts w:ascii="Arial" w:cs="Arial" w:eastAsia="Arial" w:hAnsi="Arial"/>
          <w:b/>
          <w:bCs/>
          <w:color w:val="2C3E50"/>
          <w:sz w:val="22"/>
          <w:szCs w:val="22"/>
        </w:rPr>
        <w:t xml:space="preserve">C. BMS / Electrification ASICs</w:t>
      </w:r>
    </w:p>
    <w:p>
      <w:pPr>
        <w:spacing w:after="120" w:line="276"/>
      </w:pPr>
      <w:r>
        <w:rPr>
          <w:rFonts w:ascii="Arial" w:cs="Arial" w:eastAsia="Arial" w:hAnsi="Arial"/>
          <w:b/>
          <w:bCs/>
          <w:color w:val="333333"/>
          <w:sz w:val="20"/>
          <w:szCs w:val="20"/>
        </w:rPr>
        <w:t xml:space="preserve">9 roles | EXECUTIVE PRIORITY FLAG (33% Director+/Architect)</w:t>
      </w:r>
    </w:p>
    <w:p>
      <w:pPr>
        <w:spacing w:after="120" w:line="276"/>
      </w:pPr>
      <w:r>
        <w:rPr>
          <w:rFonts w:ascii="Arial" w:cs="Arial" w:eastAsia="Arial" w:hAnsi="Arial"/>
          <w:color w:val="333333"/>
          <w:sz w:val="20"/>
          <w:szCs w:val="20"/>
        </w:rPr>
        <w:t xml:space="preserve">Small team but disproportionately senior. Includes a System IC Architect — Advanced Power Systems (Austin), Product Marketing BMS (Munich), and Director-level account managers targeting automotive OEMs. The 10-K describes this as part of their “electrification strategy.”</w:t>
      </w:r>
    </w:p>
    <w:p>
      <w:pPr>
        <w:pStyle w:val="ListParagraph"/>
        <w:numPr>
          <w:ilvl w:val="0"/>
          <w:numId w:val="2"/>
        </w:numPr>
        <w:spacing w:after="80" w:line="276"/>
      </w:pPr>
      <w:r>
        <w:rPr>
          <w:rFonts w:ascii="Arial" w:cs="Arial" w:eastAsia="Arial" w:hAnsi="Arial"/>
          <w:b/>
          <w:bCs/>
          <w:color w:val="333333"/>
          <w:sz w:val="20"/>
          <w:szCs w:val="20"/>
        </w:rPr>
        <w:t xml:space="preserve">What this means: </w:t>
      </w:r>
      <w:r>
        <w:rPr>
          <w:rFonts w:ascii="Arial" w:cs="Arial" w:eastAsia="Arial" w:hAnsi="Arial"/>
          <w:color w:val="333333"/>
          <w:sz w:val="20"/>
          <w:szCs w:val="20"/>
        </w:rPr>
        <w:t xml:space="preserve">NXP is entering BMS silicon from a standing start against established players (TI, Analog Devices). The heavy senior hiring suggests they are defining architecture for a new BMS ASIC family rather than shipping existing products.</w:t>
      </w:r>
    </w:p>
    <w:p>
      <w:pPr>
        <w:pStyle w:val="ListParagraph"/>
        <w:numPr>
          <w:ilvl w:val="0"/>
          <w:numId w:val="2"/>
        </w:numPr>
        <w:spacing w:after="80" w:line="276"/>
      </w:pPr>
      <w:r>
        <w:rPr>
          <w:rFonts w:ascii="Arial" w:cs="Arial" w:eastAsia="Arial" w:hAnsi="Arial"/>
          <w:b/>
          <w:bCs/>
          <w:color w:val="333333"/>
          <w:sz w:val="20"/>
          <w:szCs w:val="20"/>
        </w:rPr>
        <w:t xml:space="preserve">SIC relevance: </w:t>
      </w:r>
      <w:r>
        <w:rPr>
          <w:rFonts w:ascii="Arial" w:cs="Arial" w:eastAsia="Arial" w:hAnsi="Arial"/>
          <w:color w:val="333333"/>
          <w:sz w:val="20"/>
          <w:szCs w:val="20"/>
        </w:rPr>
        <w:t xml:space="preserve">None directly. But it signals NXP engineering resources are being pulled toward automotive electrification and away from lower-margin industrial/IoT product lines.</w:t>
      </w:r>
    </w:p>
    <w:p>
      <w:r>
        <w:br w:type="page"/>
      </w:r>
    </w:p>
    <w:p>
      <w:pPr>
        <w:pStyle w:val="Heading2"/>
        <w:spacing w:before="280" w:after="140"/>
      </w:pPr>
      <w:r>
        <w:rPr>
          <w:rFonts w:ascii="Arial" w:cs="Arial" w:eastAsia="Arial" w:hAnsi="Arial"/>
          <w:b/>
          <w:bCs/>
          <w:color w:val="2C3E50"/>
          <w:sz w:val="24"/>
          <w:szCs w:val="24"/>
        </w:rPr>
        <w:t xml:space="preserve">3.2 Tier 2: Active Build-Out</w:t>
      </w:r>
    </w:p>
    <w:p>
      <w:pPr>
        <w:spacing w:before="200" w:after="100"/>
      </w:pPr>
      <w:r>
        <w:rPr>
          <w:rFonts w:ascii="Arial" w:cs="Arial" w:eastAsia="Arial" w:hAnsi="Arial"/>
          <w:b/>
          <w:bCs/>
          <w:color w:val="2C3E50"/>
          <w:sz w:val="22"/>
          <w:szCs w:val="22"/>
        </w:rPr>
        <w:t xml:space="preserve">D. Post-Quantum Cryptography &amp; Hardware Security</w:t>
      </w:r>
    </w:p>
    <w:p>
      <w:pPr>
        <w:spacing w:after="120" w:line="276"/>
      </w:pPr>
      <w:r>
        <w:rPr>
          <w:rFonts w:ascii="Arial" w:cs="Arial" w:eastAsia="Arial" w:hAnsi="Arial"/>
          <w:b/>
          <w:bCs/>
          <w:color w:val="333333"/>
          <w:sz w:val="20"/>
          <w:szCs w:val="20"/>
        </w:rPr>
        <w:t xml:space="preserve">26 roles | 5 Architects | Concentrated in Gratkorn, Austria</w:t>
      </w:r>
    </w:p>
    <w:p>
      <w:pPr>
        <w:spacing w:after="120" w:line="276"/>
      </w:pPr>
      <w:r>
        <w:rPr>
          <w:rFonts w:ascii="Arial" w:cs="Arial" w:eastAsia="Arial" w:hAnsi="Arial"/>
          <w:color w:val="333333"/>
          <w:sz w:val="20"/>
          <w:szCs w:val="20"/>
        </w:rPr>
        <w:t xml:space="preserve">NXP’s Crypto &amp; Security competence center in Gratkorn is hiring aggressively. Roles include a “Master Thesis Post-Quantum Embedded Software Project,” a “Crypto Library PMO,” and multiple Senior Security Experts. The 10-K’s risk factors flag “cybersecurity threats” and “evolving regulatory requirements around data privacy.”</w:t>
      </w:r>
    </w:p>
    <w:p>
      <w:pPr>
        <w:pStyle w:val="ListParagraph"/>
        <w:numPr>
          <w:ilvl w:val="0"/>
          <w:numId w:val="2"/>
        </w:numPr>
        <w:spacing w:after="80" w:line="276"/>
      </w:pPr>
      <w:r>
        <w:rPr>
          <w:rFonts w:ascii="Arial" w:cs="Arial" w:eastAsia="Arial" w:hAnsi="Arial"/>
          <w:b/>
          <w:bCs/>
          <w:color w:val="333333"/>
          <w:sz w:val="20"/>
          <w:szCs w:val="20"/>
        </w:rPr>
        <w:t xml:space="preserve">What this means: </w:t>
      </w:r>
      <w:r>
        <w:rPr>
          <w:rFonts w:ascii="Arial" w:cs="Arial" w:eastAsia="Arial" w:hAnsi="Arial"/>
          <w:color w:val="333333"/>
          <w:sz w:val="20"/>
          <w:szCs w:val="20"/>
        </w:rPr>
        <w:t xml:space="preserve">NXP is building a post-quantum crypto library and likely integrating PQC into their EdgeLock secure element products before regulatory mandates force the transition. The 5 Architect-level hires suggest a new hardware security architecture, not just firmware updates.</w:t>
      </w:r>
    </w:p>
    <w:p>
      <w:pPr>
        <w:pStyle w:val="ListParagraph"/>
        <w:numPr>
          <w:ilvl w:val="0"/>
          <w:numId w:val="2"/>
        </w:numPr>
        <w:spacing w:after="80" w:line="276"/>
      </w:pPr>
      <w:r>
        <w:rPr>
          <w:rFonts w:ascii="Arial" w:cs="Arial" w:eastAsia="Arial" w:hAnsi="Arial"/>
          <w:b/>
          <w:bCs/>
          <w:color w:val="333333"/>
          <w:sz w:val="20"/>
          <w:szCs w:val="20"/>
        </w:rPr>
        <w:t xml:space="preserve">SIC relevance: </w:t>
      </w:r>
      <w:r>
        <w:rPr>
          <w:rFonts w:ascii="Arial" w:cs="Arial" w:eastAsia="Arial" w:hAnsi="Arial"/>
          <w:color w:val="333333"/>
          <w:sz w:val="20"/>
          <w:szCs w:val="20"/>
        </w:rPr>
        <w:t xml:space="preserve">Direct competitor threat. SIC’s SIC4310 and SIC43NT products offer authentication and anti-counterfeit features. If NXP ships PQC-enabled NFC tags/secure elements, SIC’s authentication value proposition becomes harder to differentiate. SIC should monitor PQC standardization timelines (NIST).</w:t>
      </w:r>
    </w:p>
    <w:p>
      <w:pPr>
        <w:spacing w:before="200" w:after="100"/>
      </w:pPr>
      <w:r>
        <w:rPr>
          <w:rFonts w:ascii="Arial" w:cs="Arial" w:eastAsia="Arial" w:hAnsi="Arial"/>
          <w:b/>
          <w:bCs/>
          <w:color w:val="2C3E50"/>
          <w:sz w:val="22"/>
          <w:szCs w:val="22"/>
        </w:rPr>
        <w:t xml:space="preserve">E. Functional Safety Ecosystem</w:t>
      </w:r>
    </w:p>
    <w:p>
      <w:pPr>
        <w:spacing w:after="120" w:line="276"/>
      </w:pPr>
      <w:r>
        <w:rPr>
          <w:rFonts w:ascii="Arial" w:cs="Arial" w:eastAsia="Arial" w:hAnsi="Arial"/>
          <w:b/>
          <w:bCs/>
          <w:color w:val="333333"/>
          <w:sz w:val="20"/>
          <w:szCs w:val="20"/>
        </w:rPr>
        <w:t xml:space="preserve">41 roles | 4 Architects, 10 Lead/Manager | Global</w:t>
      </w:r>
    </w:p>
    <w:p>
      <w:pPr>
        <w:spacing w:after="120" w:line="276"/>
      </w:pPr>
      <w:r>
        <w:rPr>
          <w:rFonts w:ascii="Arial" w:cs="Arial" w:eastAsia="Arial" w:hAnsi="Arial"/>
          <w:color w:val="333333"/>
          <w:sz w:val="20"/>
          <w:szCs w:val="20"/>
        </w:rPr>
        <w:t xml:space="preserve">Spread across automotive and industrial divisions. Roles reference ASIL-D compliance, ISO 26262 processes, FMEA, and fail-operational architectures. This cuts across processors, BMS, and middleware teams.</w:t>
      </w:r>
    </w:p>
    <w:p>
      <w:pPr>
        <w:pStyle w:val="ListParagraph"/>
        <w:numPr>
          <w:ilvl w:val="0"/>
          <w:numId w:val="2"/>
        </w:numPr>
        <w:spacing w:after="80" w:line="276"/>
      </w:pPr>
      <w:r>
        <w:rPr>
          <w:rFonts w:ascii="Arial" w:cs="Arial" w:eastAsia="Arial" w:hAnsi="Arial"/>
          <w:b/>
          <w:bCs/>
          <w:color w:val="333333"/>
          <w:sz w:val="20"/>
          <w:szCs w:val="20"/>
        </w:rPr>
        <w:t xml:space="preserve">What this means: </w:t>
      </w:r>
      <w:r>
        <w:rPr>
          <w:rFonts w:ascii="Arial" w:cs="Arial" w:eastAsia="Arial" w:hAnsi="Arial"/>
          <w:color w:val="333333"/>
          <w:sz w:val="20"/>
          <w:szCs w:val="20"/>
        </w:rPr>
        <w:t xml:space="preserve">Functional safety is becoming a horizontal competence at NXP, not just an automotive checkbox. They are embedding safety certification expertise into every product line. Industrial functional safety roles (Brno, Czechia) suggest NXP will push ISO 26262-grade products into industrial markets.</w:t>
      </w:r>
    </w:p>
    <w:p>
      <w:pPr>
        <w:spacing w:before="200" w:after="100"/>
      </w:pPr>
      <w:r>
        <w:rPr>
          <w:rFonts w:ascii="Arial" w:cs="Arial" w:eastAsia="Arial" w:hAnsi="Arial"/>
          <w:b/>
          <w:bCs/>
          <w:color w:val="2C3E50"/>
          <w:sz w:val="22"/>
          <w:szCs w:val="22"/>
        </w:rPr>
        <w:t xml:space="preserve">F. Automotive Ethernet / In-Vehicle Networking (Aviva Links)</w:t>
      </w:r>
    </w:p>
    <w:p>
      <w:pPr>
        <w:spacing w:after="120" w:line="276"/>
      </w:pPr>
      <w:r>
        <w:rPr>
          <w:rFonts w:ascii="Arial" w:cs="Arial" w:eastAsia="Arial" w:hAnsi="Arial"/>
          <w:b/>
          <w:bCs/>
          <w:color w:val="333333"/>
          <w:sz w:val="20"/>
          <w:szCs w:val="20"/>
        </w:rPr>
        <w:t xml:space="preserve">12 roles | DSP Architect | India, Czechia, Netherlands</w:t>
      </w:r>
    </w:p>
    <w:p>
      <w:pPr>
        <w:spacing w:after="120" w:line="276"/>
      </w:pPr>
      <w:r>
        <w:rPr>
          <w:rFonts w:ascii="Arial" w:cs="Arial" w:eastAsia="Arial" w:hAnsi="Arial"/>
          <w:color w:val="333333"/>
          <w:sz w:val="20"/>
          <w:szCs w:val="20"/>
        </w:rPr>
        <w:t xml:space="preserve">NXP acquired Aviva Links for $222M to get ASA-compliant SerDes IP for high-speed in-vehicle connectivity. Hiring a DSP Architect and test engineers in India and Europe.</w:t>
      </w:r>
    </w:p>
    <w:p>
      <w:pPr>
        <w:pStyle w:val="ListParagraph"/>
        <w:numPr>
          <w:ilvl w:val="0"/>
          <w:numId w:val="2"/>
        </w:numPr>
        <w:spacing w:after="80" w:line="276"/>
      </w:pPr>
      <w:r>
        <w:rPr>
          <w:rFonts w:ascii="Arial" w:cs="Arial" w:eastAsia="Arial" w:hAnsi="Arial"/>
          <w:b/>
          <w:bCs/>
          <w:color w:val="333333"/>
          <w:sz w:val="20"/>
          <w:szCs w:val="20"/>
        </w:rPr>
        <w:t xml:space="preserve">What this means: </w:t>
      </w:r>
      <w:r>
        <w:rPr>
          <w:rFonts w:ascii="Arial" w:cs="Arial" w:eastAsia="Arial" w:hAnsi="Arial"/>
          <w:color w:val="333333"/>
          <w:sz w:val="20"/>
          <w:szCs w:val="20"/>
        </w:rPr>
        <w:t xml:space="preserve">NXP is integrating Aviva’s SerDes IP into their next-gen automotive networking SoCs. The 10BASE-T1S and 100BASE-T1 mentions suggest products targeting both high-speed backbone and low-speed sensor networks in vehicles.</w:t>
      </w:r>
    </w:p>
    <w:p>
      <w:r>
        <w:br w:type="page"/>
      </w:r>
    </w:p>
    <w:p>
      <w:pPr>
        <w:pStyle w:val="Heading2"/>
        <w:spacing w:before="280" w:after="140"/>
      </w:pPr>
      <w:r>
        <w:rPr>
          <w:rFonts w:ascii="Arial" w:cs="Arial" w:eastAsia="Arial" w:hAnsi="Arial"/>
          <w:b/>
          <w:bCs/>
          <w:color w:val="2C3E50"/>
          <w:sz w:val="24"/>
          <w:szCs w:val="24"/>
        </w:rPr>
        <w:t xml:space="preserve">3.3 Tier 3: Maintenance / Deprioritized</w:t>
      </w:r>
    </w:p>
    <w:p>
      <w:pPr>
        <w:spacing w:before="200" w:after="100"/>
      </w:pPr>
      <w:r>
        <w:rPr>
          <w:rFonts w:ascii="Arial" w:cs="Arial" w:eastAsia="Arial" w:hAnsi="Arial"/>
          <w:b/>
          <w:bCs/>
          <w:color w:val="2C3E50"/>
          <w:sz w:val="22"/>
          <w:szCs w:val="22"/>
        </w:rPr>
        <w:t xml:space="preserve">G. NFC/RFID Solutions — CRITICAL FOR SIC</w:t>
      </w:r>
    </w:p>
    <w:p>
      <w:pPr>
        <w:spacing w:after="120" w:line="276"/>
      </w:pPr>
      <w:r>
        <w:rPr>
          <w:rFonts w:ascii="Arial" w:cs="Arial" w:eastAsia="Arial" w:hAnsi="Arial"/>
          <w:b/>
          <w:bCs/>
          <w:color w:val="C0392B"/>
          <w:sz w:val="20"/>
          <w:szCs w:val="20"/>
        </w:rPr>
        <w:t xml:space="preserve">50 roles mention NFC/RFID terms | But only 3-5 are dedicated NFC/RFID product roles</w:t>
      </w:r>
    </w:p>
    <w:p>
      <w:pPr>
        <w:spacing w:after="120" w:line="276"/>
      </w:pPr>
      <w:r>
        <w:rPr>
          <w:rFonts w:ascii="Arial" w:cs="Arial" w:eastAsia="Arial" w:hAnsi="Arial"/>
          <w:color w:val="333333"/>
          <w:sz w:val="20"/>
          <w:szCs w:val="20"/>
        </w:rPr>
        <w:t xml:space="preserve">This is the most important finding for SIC. While 50 roles mention NFC, RFID, or related terms, the vast majority are manufacturing technicians in Bangkok and Kuala Lumpur, generic test engineers in Brno, and cross-functional roles that list NFC as one of many product lines they support. The actual NFC/RFID-dedicated product development roles are:</w:t>
      </w:r>
    </w:p>
    <w:p>
      <w:pPr>
        <w:pStyle w:val="ListParagraph"/>
        <w:numPr>
          <w:ilvl w:val="0"/>
          <w:numId w:val="2"/>
        </w:numPr>
        <w:spacing w:after="80" w:line="276"/>
      </w:pPr>
      <w:r>
        <w:rPr>
          <w:rFonts w:ascii="Arial" w:cs="Arial" w:eastAsia="Arial" w:hAnsi="Arial"/>
          <w:b/>
          <w:bCs/>
          <w:color w:val="333333"/>
          <w:sz w:val="20"/>
          <w:szCs w:val="20"/>
        </w:rPr>
        <w:t xml:space="preserve">RF System Development Engineer (San Jose): </w:t>
      </w:r>
      <w:r>
        <w:rPr>
          <w:rFonts w:ascii="Arial" w:cs="Arial" w:eastAsia="Arial" w:hAnsi="Arial"/>
          <w:color w:val="333333"/>
          <w:sz w:val="20"/>
          <w:szCs w:val="20"/>
        </w:rPr>
        <w:t xml:space="preserve">NFC contactless technology for mobile payments, transport ticketing, access control. Explicitly mentions “Secure Mobile Transaction” business line.</w:t>
      </w:r>
    </w:p>
    <w:p>
      <w:pPr>
        <w:pStyle w:val="ListParagraph"/>
        <w:numPr>
          <w:ilvl w:val="0"/>
          <w:numId w:val="2"/>
        </w:numPr>
        <w:spacing w:after="80" w:line="276"/>
      </w:pPr>
      <w:r>
        <w:rPr>
          <w:rFonts w:ascii="Arial" w:cs="Arial" w:eastAsia="Arial" w:hAnsi="Arial"/>
          <w:b/>
          <w:bCs/>
          <w:color w:val="333333"/>
          <w:sz w:val="20"/>
          <w:szCs w:val="20"/>
        </w:rPr>
        <w:t xml:space="preserve">Business Development Manager — UHF RFID, NFC (Japan): </w:t>
      </w:r>
      <w:r>
        <w:rPr>
          <w:rFonts w:ascii="Arial" w:cs="Arial" w:eastAsia="Arial" w:hAnsi="Arial"/>
          <w:color w:val="333333"/>
          <w:sz w:val="20"/>
          <w:szCs w:val="20"/>
        </w:rPr>
        <w:t xml:space="preserve">Focused on UHF RFID growth in retail apparel, supply chain, logistics, healthcare, and “Authentication Tag, NFC Reader IC.”</w:t>
      </w:r>
    </w:p>
    <w:p>
      <w:pPr>
        <w:pStyle w:val="ListParagraph"/>
        <w:numPr>
          <w:ilvl w:val="0"/>
          <w:numId w:val="2"/>
        </w:numPr>
        <w:spacing w:after="80" w:line="276"/>
      </w:pPr>
      <w:r>
        <w:rPr>
          <w:rFonts w:ascii="Arial" w:cs="Arial" w:eastAsia="Arial" w:hAnsi="Arial"/>
          <w:b/>
          <w:bCs/>
          <w:color w:val="333333"/>
          <w:sz w:val="20"/>
          <w:szCs w:val="20"/>
        </w:rPr>
        <w:t xml:space="preserve">Junior Analog Design Engineer (Gratkorn): </w:t>
      </w:r>
      <w:r>
        <w:rPr>
          <w:rFonts w:ascii="Arial" w:cs="Arial" w:eastAsia="Arial" w:hAnsi="Arial"/>
          <w:color w:val="333333"/>
          <w:sz w:val="20"/>
          <w:szCs w:val="20"/>
        </w:rPr>
        <w:t xml:space="preserve">Secure Edge Identification product line for smart cities, retail, payments, IoT Security. Mentions “mature and emerging markets.”</w:t>
      </w:r>
    </w:p>
    <w:p>
      <w:pPr>
        <w:pStyle w:val="ListParagraph"/>
        <w:numPr>
          <w:ilvl w:val="0"/>
          <w:numId w:val="2"/>
        </w:numPr>
        <w:spacing w:after="80" w:line="276"/>
      </w:pPr>
      <w:r>
        <w:rPr>
          <w:rFonts w:ascii="Arial" w:cs="Arial" w:eastAsia="Arial" w:hAnsi="Arial"/>
          <w:b/>
          <w:bCs/>
          <w:color w:val="333333"/>
          <w:sz w:val="20"/>
          <w:szCs w:val="20"/>
        </w:rPr>
        <w:t xml:space="preserve">Communication System Modelling Intern (Gratkorn): </w:t>
      </w:r>
      <w:r>
        <w:rPr>
          <w:rFonts w:ascii="Arial" w:cs="Arial" w:eastAsia="Arial" w:hAnsi="Arial"/>
          <w:color w:val="333333"/>
          <w:sz w:val="20"/>
          <w:szCs w:val="20"/>
        </w:rPr>
        <w:t xml:space="preserve">NFC communication system simulation engine. Intern-level only.</w:t>
      </w:r>
    </w:p>
    <w:p>
      <w:pPr>
        <w:spacing w:after="120" w:line="276"/>
      </w:pPr>
      <w:r>
        <w:rPr>
          <w:rFonts w:ascii="Arial" w:cs="Arial" w:eastAsia="Arial" w:hAnsi="Arial"/>
          <w:b/>
          <w:bCs/>
          <w:color w:val="C0392B"/>
          <w:sz w:val="20"/>
          <w:szCs w:val="20"/>
        </w:rPr>
        <w:t xml:space="preserve">Assessment: </w:t>
      </w:r>
      <w:r>
        <w:rPr>
          <w:rFonts w:ascii="Arial" w:cs="Arial" w:eastAsia="Arial" w:hAnsi="Arial"/>
          <w:color w:val="C0392B"/>
          <w:sz w:val="20"/>
          <w:szCs w:val="20"/>
        </w:rPr>
        <w:t xml:space="preserve">NXP’s NFC/RFID R&amp;D investment is tilted almost entirely toward high-security payments, mobile transactions, and authentication (MIFARE DESFire, secure elements). They are NOT investing new engineering effort into lower-complexity identification use cases (animal ID, asset tracking, basic NFC tags, industrial IoT). Their Thailand operations are purely manufacturing and test support. Zero Architect or Director-level roles dedicated to NFC/RFID product development.</w:t>
      </w:r>
    </w:p>
    <w:p>
      <w:pPr>
        <w:spacing w:before="200" w:after="100"/>
      </w:pPr>
      <w:r>
        <w:rPr>
          <w:rFonts w:ascii="Arial" w:cs="Arial" w:eastAsia="Arial" w:hAnsi="Arial"/>
          <w:b/>
          <w:bCs/>
          <w:color w:val="2C3E50"/>
          <w:sz w:val="22"/>
          <w:szCs w:val="22"/>
        </w:rPr>
        <w:t xml:space="preserve">H. UWB Positioning</w:t>
      </w:r>
    </w:p>
    <w:p>
      <w:pPr>
        <w:spacing w:after="120" w:line="276"/>
      </w:pPr>
      <w:r>
        <w:rPr>
          <w:rFonts w:ascii="Arial" w:cs="Arial" w:eastAsia="Arial" w:hAnsi="Arial"/>
          <w:b/>
          <w:bCs/>
          <w:color w:val="333333"/>
          <w:sz w:val="20"/>
          <w:szCs w:val="20"/>
        </w:rPr>
        <w:t xml:space="preserve">7 roles | No Architect or Director hires | Maintenance mode</w:t>
      </w:r>
    </w:p>
    <w:p>
      <w:pPr>
        <w:spacing w:after="120" w:line="276"/>
      </w:pPr>
      <w:r>
        <w:rPr>
          <w:rFonts w:ascii="Arial" w:cs="Arial" w:eastAsia="Arial" w:hAnsi="Arial"/>
          <w:color w:val="333333"/>
          <w:sz w:val="20"/>
          <w:szCs w:val="20"/>
        </w:rPr>
        <w:t xml:space="preserve">UWB (Trimension brand) was once a major NXP growth story but hiring is minimal. Only 7 roles touch UWB, and none are at senior architecture level. The 10-K mentions UWB but without the emphasis of prior years.</w:t>
      </w:r>
    </w:p>
    <w:p>
      <w:pPr>
        <w:pStyle w:val="ListParagraph"/>
        <w:numPr>
          <w:ilvl w:val="0"/>
          <w:numId w:val="2"/>
        </w:numPr>
        <w:spacing w:after="80" w:line="276"/>
      </w:pPr>
      <w:r>
        <w:rPr>
          <w:rFonts w:ascii="Arial" w:cs="Arial" w:eastAsia="Arial" w:hAnsi="Arial"/>
          <w:b/>
          <w:bCs/>
          <w:color w:val="333333"/>
          <w:sz w:val="20"/>
          <w:szCs w:val="20"/>
        </w:rPr>
        <w:t xml:space="preserve">What this means: </w:t>
      </w:r>
      <w:r>
        <w:rPr>
          <w:rFonts w:ascii="Arial" w:cs="Arial" w:eastAsia="Arial" w:hAnsi="Arial"/>
          <w:color w:val="333333"/>
          <w:sz w:val="20"/>
          <w:szCs w:val="20"/>
        </w:rPr>
        <w:t xml:space="preserve">UWB adoption has been slower than expected. NXP appears to be maintaining the product line without significant new investment. Apple’s internal UWB silicon may have reduced the addressable market.</w:t>
      </w:r>
    </w:p>
    <w:p>
      <w:r>
        <w:br w:type="page"/>
      </w:r>
    </w:p>
    <w:p>
      <w:pPr>
        <w:pStyle w:val="Heading1"/>
        <w:spacing w:before="360" w:after="200"/>
      </w:pPr>
      <w:r>
        <w:rPr>
          <w:rFonts w:ascii="Arial" w:cs="Arial" w:eastAsia="Arial" w:hAnsi="Arial"/>
          <w:b/>
          <w:bCs/>
          <w:color w:val="1B3A5C"/>
          <w:sz w:val="28"/>
          <w:szCs w:val="28"/>
        </w:rPr>
        <w:t xml:space="preserve">4. Unreleased Bets — Not in the 10-K</w:t>
      </w:r>
    </w:p>
    <w:p>
      <w:pPr>
        <w:spacing w:after="120" w:line="276"/>
      </w:pPr>
      <w:r>
        <w:rPr>
          <w:rFonts w:ascii="Arial" w:cs="Arial" w:eastAsia="Arial" w:hAnsi="Arial"/>
          <w:color w:val="333333"/>
          <w:sz w:val="20"/>
          <w:szCs w:val="20"/>
        </w:rPr>
        <w:t xml:space="preserve">These hiring signals point to products or capabilities that NXP has not disclosed publicly:</w:t>
      </w:r>
    </w:p>
    <w:p>
      <w:pPr>
        <w:pStyle w:val="ListParagraph"/>
        <w:numPr>
          <w:ilvl w:val="0"/>
          <w:numId w:val="2"/>
        </w:numPr>
        <w:spacing w:after="80" w:line="276"/>
      </w:pPr>
      <w:r>
        <w:rPr>
          <w:rFonts w:ascii="Arial" w:cs="Arial" w:eastAsia="Arial" w:hAnsi="Arial"/>
          <w:b/>
          <w:bCs/>
          <w:color w:val="333333"/>
          <w:sz w:val="20"/>
          <w:szCs w:val="20"/>
        </w:rPr>
        <w:t xml:space="preserve">RISC-V NPU Silicon: </w:t>
      </w:r>
      <w:r>
        <w:rPr>
          <w:rFonts w:ascii="Arial" w:cs="Arial" w:eastAsia="Arial" w:hAnsi="Arial"/>
          <w:color w:val="333333"/>
          <w:sz w:val="20"/>
          <w:szCs w:val="20"/>
        </w:rPr>
        <w:t xml:space="preserve">The Kinara “Director of Engineering – ASIC Design” role in Hyderabad explicitly requires RISC-V experience for inference engine design. NXP’s current NPU products use proprietary architectures. A RISC-V-based NPU would be a new generation product. Confidence: HIGH (Director-level hire + specific RISC-V requirement).</w:t>
      </w:r>
    </w:p>
    <w:p>
      <w:pPr>
        <w:pStyle w:val="ListParagraph"/>
        <w:numPr>
          <w:ilvl w:val="0"/>
          <w:numId w:val="2"/>
        </w:numPr>
        <w:spacing w:after="80" w:line="276"/>
      </w:pPr>
      <w:r>
        <w:rPr>
          <w:rFonts w:ascii="Arial" w:cs="Arial" w:eastAsia="Arial" w:hAnsi="Arial"/>
          <w:b/>
          <w:bCs/>
          <w:color w:val="333333"/>
          <w:sz w:val="20"/>
          <w:szCs w:val="20"/>
        </w:rPr>
        <w:t xml:space="preserve">Vision-Language Model (VLM) Inference on Edge: </w:t>
      </w:r>
      <w:r>
        <w:rPr>
          <w:rFonts w:ascii="Arial" w:cs="Arial" w:eastAsia="Arial" w:hAnsi="Arial"/>
          <w:color w:val="333333"/>
          <w:sz w:val="20"/>
          <w:szCs w:val="20"/>
        </w:rPr>
        <w:t xml:space="preserve">Six thesis/intern positions in Eindhoven focus on “Edge AI Optimization for VLMs &amp; VLAs,” “LLM Quantization,” and running generative AI models on edge devices. This goes beyond NXP’s current eIQ ML framework. Confidence: MEDIUM (research-stage, but signals product roadmap direction).</w:t>
      </w:r>
    </w:p>
    <w:p>
      <w:pPr>
        <w:pStyle w:val="ListParagraph"/>
        <w:numPr>
          <w:ilvl w:val="0"/>
          <w:numId w:val="2"/>
        </w:numPr>
        <w:spacing w:after="80" w:line="276"/>
      </w:pPr>
      <w:r>
        <w:rPr>
          <w:rFonts w:ascii="Arial" w:cs="Arial" w:eastAsia="Arial" w:hAnsi="Arial"/>
          <w:b/>
          <w:bCs/>
          <w:color w:val="333333"/>
          <w:sz w:val="20"/>
          <w:szCs w:val="20"/>
        </w:rPr>
        <w:t xml:space="preserve">Internal GenAI Developer Tooling: </w:t>
      </w:r>
      <w:r>
        <w:rPr>
          <w:rFonts w:ascii="Arial" w:cs="Arial" w:eastAsia="Arial" w:hAnsi="Arial"/>
          <w:color w:val="333333"/>
          <w:sz w:val="20"/>
          <w:szCs w:val="20"/>
        </w:rPr>
        <w:t xml:space="preserve">A “GenAI DevOps Program Manager” in Austin and “M365 Copilot Engineer” roles suggest NXP is deploying generative AI internally for engineering productivity, not as a product. Confidence: HIGH (operational hire, not research).</w:t>
      </w:r>
    </w:p>
    <w:p>
      <w:pPr>
        <w:pStyle w:val="ListParagraph"/>
        <w:numPr>
          <w:ilvl w:val="0"/>
          <w:numId w:val="2"/>
        </w:numPr>
        <w:spacing w:after="80" w:line="276"/>
      </w:pPr>
      <w:r>
        <w:rPr>
          <w:rFonts w:ascii="Arial" w:cs="Arial" w:eastAsia="Arial" w:hAnsi="Arial"/>
          <w:b/>
          <w:bCs/>
          <w:color w:val="333333"/>
          <w:sz w:val="20"/>
          <w:szCs w:val="20"/>
        </w:rPr>
        <w:t xml:space="preserve">Terahertz Lab (Hamburg): </w:t>
      </w:r>
      <w:r>
        <w:rPr>
          <w:rFonts w:ascii="Arial" w:cs="Arial" w:eastAsia="Arial" w:hAnsi="Arial"/>
          <w:color w:val="333333"/>
          <w:sz w:val="20"/>
          <w:szCs w:val="20"/>
        </w:rPr>
        <w:t xml:space="preserve">An intern role describes a “brand-new competence center for high-frequency technologies: the Terahertz Lab” supporting “next-generation RF systems used in automotive radar, robotics, and future communication technologies.” Not mentioned anywhere in the 10-K. Confidence: MEDIUM (early stage, but new facility build = committed investment).</w:t>
      </w:r>
    </w:p>
    <w:p>
      <w:r>
        <w:br w:type="page"/>
      </w:r>
    </w:p>
    <w:p>
      <w:pPr>
        <w:pStyle w:val="Heading1"/>
        <w:spacing w:before="360" w:after="200"/>
      </w:pPr>
      <w:r>
        <w:rPr>
          <w:rFonts w:ascii="Arial" w:cs="Arial" w:eastAsia="Arial" w:hAnsi="Arial"/>
          <w:b/>
          <w:bCs/>
          <w:color w:val="1B3A5C"/>
          <w:sz w:val="28"/>
          <w:szCs w:val="28"/>
        </w:rPr>
        <w:t xml:space="preserve">5. Risk Factors vs. Hiring Patterns</w:t>
      </w:r>
    </w:p>
    <w:p>
      <w:pPr>
        <w:spacing w:after="120" w:line="276"/>
      </w:pPr>
      <w:r>
        <w:rPr>
          <w:rFonts w:ascii="Arial" w:cs="Arial" w:eastAsia="Arial" w:hAnsi="Arial"/>
          <w:color w:val="333333"/>
          <w:sz w:val="20"/>
          <w:szCs w:val="20"/>
        </w:rPr>
        <w:t xml:space="preserve">The 10-K’s risk factors section identifies threats. We cross-referenced each major risk against hiring activity to identify where NXP is investing to address a stated risk — and where they flagged a risk but have zero hiring to mitigate it.</w:t>
      </w:r>
    </w:p>
    <w:p>
      <w:pPr>
        <w:pStyle w:val="Heading2"/>
        <w:spacing w:before="280" w:after="140"/>
      </w:pPr>
      <w:r>
        <w:rPr>
          <w:rFonts w:ascii="Arial" w:cs="Arial" w:eastAsia="Arial" w:hAnsi="Arial"/>
          <w:b/>
          <w:bCs/>
          <w:color w:val="2C3E50"/>
          <w:sz w:val="24"/>
          <w:szCs w:val="24"/>
        </w:rPr>
        <w:t xml:space="preserve">5.1 Risks WITH Active Hiring Response</w:t>
      </w:r>
    </w:p>
    <w:p>
      <w:pPr>
        <w:pStyle w:val="ListParagraph"/>
        <w:numPr>
          <w:ilvl w:val="0"/>
          <w:numId w:val="2"/>
        </w:numPr>
        <w:spacing w:after="80" w:line="276"/>
      </w:pPr>
      <w:r>
        <w:rPr>
          <w:rFonts w:ascii="Arial" w:cs="Arial" w:eastAsia="Arial" w:hAnsi="Arial"/>
          <w:b/>
          <w:bCs/>
          <w:color w:val="333333"/>
          <w:sz w:val="20"/>
          <w:szCs w:val="20"/>
        </w:rPr>
        <w:t xml:space="preserve">Cybersecurity &amp; IP protection: </w:t>
      </w:r>
      <w:r>
        <w:rPr>
          <w:rFonts w:ascii="Arial" w:cs="Arial" w:eastAsia="Arial" w:hAnsi="Arial"/>
          <w:color w:val="333333"/>
          <w:sz w:val="20"/>
          <w:szCs w:val="20"/>
        </w:rPr>
        <w:t xml:space="preserve">26 security roles (5 Architects). The 10-K flags “cybersecurity threats to our IT systems and products” and “protection of our IP.” Heavy hiring in Gratkorn’s Crypto &amp; Security center directly addresses this.</w:t>
      </w:r>
    </w:p>
    <w:p>
      <w:pPr>
        <w:pStyle w:val="ListParagraph"/>
        <w:numPr>
          <w:ilvl w:val="0"/>
          <w:numId w:val="2"/>
        </w:numPr>
        <w:spacing w:after="80" w:line="276"/>
      </w:pPr>
      <w:r>
        <w:rPr>
          <w:rFonts w:ascii="Arial" w:cs="Arial" w:eastAsia="Arial" w:hAnsi="Arial"/>
          <w:b/>
          <w:bCs/>
          <w:color w:val="333333"/>
          <w:sz w:val="20"/>
          <w:szCs w:val="20"/>
        </w:rPr>
        <w:t xml:space="preserve">Automotive market complexity: </w:t>
      </w:r>
      <w:r>
        <w:rPr>
          <w:rFonts w:ascii="Arial" w:cs="Arial" w:eastAsia="Arial" w:hAnsi="Arial"/>
          <w:color w:val="333333"/>
          <w:sz w:val="20"/>
          <w:szCs w:val="20"/>
        </w:rPr>
        <w:t xml:space="preserve">41 functional safety + 28 SDV + 14 radar + 12 networking roles. The 10-K identifies automotive as 58% of revenue with increasing software complexity. Hiring matches the stated risk.</w:t>
      </w:r>
    </w:p>
    <w:p>
      <w:pPr>
        <w:pStyle w:val="ListParagraph"/>
        <w:numPr>
          <w:ilvl w:val="0"/>
          <w:numId w:val="2"/>
        </w:numPr>
        <w:spacing w:after="80" w:line="276"/>
      </w:pPr>
      <w:r>
        <w:rPr>
          <w:rFonts w:ascii="Arial" w:cs="Arial" w:eastAsia="Arial" w:hAnsi="Arial"/>
          <w:b/>
          <w:bCs/>
          <w:color w:val="333333"/>
          <w:sz w:val="20"/>
          <w:szCs w:val="20"/>
        </w:rPr>
        <w:t xml:space="preserve">Competition from vertically integrated OEMs: </w:t>
      </w:r>
      <w:r>
        <w:rPr>
          <w:rFonts w:ascii="Arial" w:cs="Arial" w:eastAsia="Arial" w:hAnsi="Arial"/>
          <w:color w:val="333333"/>
          <w:sz w:val="20"/>
          <w:szCs w:val="20"/>
        </w:rPr>
        <w:t xml:space="preserve">35 Edge AI roles + SDV middleware. The 10-K warns “certain automotive OEMs are increasingly developing their own semiconductor solutions.” NXP’s response is to move up the stack with software and AI capabilities that OEMs cannot easily replicate.</w:t>
      </w:r>
    </w:p>
    <w:p>
      <w:pPr>
        <w:pStyle w:val="Heading2"/>
        <w:spacing w:before="280" w:after="140"/>
      </w:pPr>
      <w:r>
        <w:rPr>
          <w:rFonts w:ascii="Arial" w:cs="Arial" w:eastAsia="Arial" w:hAnsi="Arial"/>
          <w:b/>
          <w:bCs/>
          <w:color w:val="2C3E50"/>
          <w:sz w:val="24"/>
          <w:szCs w:val="24"/>
        </w:rPr>
        <w:t xml:space="preserve">5.2 Risks WITH NO Hiring Response</w:t>
      </w:r>
    </w:p>
    <w:p>
      <w:pPr>
        <w:pStyle w:val="ListParagraph"/>
        <w:numPr>
          <w:ilvl w:val="0"/>
          <w:numId w:val="2"/>
        </w:numPr>
        <w:spacing w:after="80" w:line="276"/>
      </w:pPr>
      <w:r>
        <w:rPr>
          <w:rFonts w:ascii="Arial" w:cs="Arial" w:eastAsia="Arial" w:hAnsi="Arial"/>
          <w:b/>
          <w:bCs/>
          <w:color w:val="333333"/>
          <w:sz w:val="20"/>
          <w:szCs w:val="20"/>
        </w:rPr>
        <w:t xml:space="preserve">China geopolitical / export control risk: </w:t>
      </w:r>
      <w:r>
        <w:rPr>
          <w:rFonts w:ascii="Arial" w:cs="Arial" w:eastAsia="Arial" w:hAnsi="Arial"/>
          <w:color w:val="333333"/>
          <w:sz w:val="20"/>
          <w:szCs w:val="20"/>
        </w:rPr>
        <w:t xml:space="preserve">The 10-K dedicates 3 full paragraphs to China trade restrictions, entity lists, and potential supply disruption. China generated ~20% of revenue. Yet there are ZERO roles focused on China supply chain diversification, trade compliance strategy, or alternative market development to reduce China dependency. 51 roles are in China, but all are standard engineering/operations. Confidence: HIGH.</w:t>
      </w:r>
    </w:p>
    <w:p>
      <w:pPr>
        <w:pStyle w:val="ListParagraph"/>
        <w:numPr>
          <w:ilvl w:val="0"/>
          <w:numId w:val="2"/>
        </w:numPr>
        <w:spacing w:after="80" w:line="276"/>
      </w:pPr>
      <w:r>
        <w:rPr>
          <w:rFonts w:ascii="Arial" w:cs="Arial" w:eastAsia="Arial" w:hAnsi="Arial"/>
          <w:b/>
          <w:bCs/>
          <w:color w:val="333333"/>
          <w:sz w:val="20"/>
          <w:szCs w:val="20"/>
        </w:rPr>
        <w:t xml:space="preserve">Single-source foundry dependency (TSMC/SSMC): </w:t>
      </w:r>
      <w:r>
        <w:rPr>
          <w:rFonts w:ascii="Arial" w:cs="Arial" w:eastAsia="Arial" w:hAnsi="Arial"/>
          <w:color w:val="333333"/>
          <w:sz w:val="20"/>
          <w:szCs w:val="20"/>
        </w:rPr>
        <w:t xml:space="preserve">The 10-K acknowledges “our dependence on third-party suppliers, including TSMC and SSMC.” No supply chain diversification roles, no second-source qualification engineers, no process technology porting roles. NXP appears to be accepting this risk rather than mitigating it. Confidence: HIGH.</w:t>
      </w:r>
    </w:p>
    <w:p>
      <w:pPr>
        <w:pStyle w:val="ListParagraph"/>
        <w:numPr>
          <w:ilvl w:val="0"/>
          <w:numId w:val="2"/>
        </w:numPr>
        <w:spacing w:after="80" w:line="276"/>
      </w:pPr>
      <w:r>
        <w:rPr>
          <w:rFonts w:ascii="Arial" w:cs="Arial" w:eastAsia="Arial" w:hAnsi="Arial"/>
          <w:b/>
          <w:bCs/>
          <w:color w:val="333333"/>
          <w:sz w:val="20"/>
          <w:szCs w:val="20"/>
        </w:rPr>
        <w:t xml:space="preserve">CEO transition risk: </w:t>
      </w:r>
      <w:r>
        <w:rPr>
          <w:rFonts w:ascii="Arial" w:cs="Arial" w:eastAsia="Arial" w:hAnsi="Arial"/>
          <w:color w:val="333333"/>
          <w:sz w:val="20"/>
          <w:szCs w:val="20"/>
        </w:rPr>
        <w:t xml:space="preserve">Kurt Sievers retired October 2025 after leading the company since 2020. New CEO Rafael Sotomayor took over. The 10-K flags “risks related to the transition of our CEO.” No Chief of Staff, no strategy office, no transformation-specific hires visible. Confidence: MEDIUM (these may be filled through internal promotion).</w:t>
      </w:r>
    </w:p>
    <w:p>
      <w:pPr>
        <w:pStyle w:val="ListParagraph"/>
        <w:numPr>
          <w:ilvl w:val="0"/>
          <w:numId w:val="2"/>
        </w:numPr>
        <w:spacing w:after="80" w:line="276"/>
      </w:pPr>
      <w:r>
        <w:rPr>
          <w:rFonts w:ascii="Arial" w:cs="Arial" w:eastAsia="Arial" w:hAnsi="Arial"/>
          <w:b/>
          <w:bCs/>
          <w:color w:val="333333"/>
          <w:sz w:val="20"/>
          <w:szCs w:val="20"/>
        </w:rPr>
        <w:t xml:space="preserve">Debt load ($12.29B): </w:t>
      </w:r>
      <w:r>
        <w:rPr>
          <w:rFonts w:ascii="Arial" w:cs="Arial" w:eastAsia="Arial" w:hAnsi="Arial"/>
          <w:color w:val="333333"/>
          <w:sz w:val="20"/>
          <w:szCs w:val="20"/>
        </w:rPr>
        <w:t xml:space="preserve">NXP took on $2.1B in additional debt for acquisitions. The 10-K flags “risks related to our level of indebtedness.” Yet a “Senior Director EMEA Sales Operations” role description explicitly mentions “evolving legacy processes into digitally enabled, data-driven operating models.” Only 1 such role — underfunded for the stated ambition. Confidence: MEDIUM.</w:t>
      </w:r>
    </w:p>
    <w:p>
      <w:r>
        <w:br w:type="page"/>
      </w:r>
    </w:p>
    <w:p>
      <w:pPr>
        <w:pStyle w:val="Heading1"/>
        <w:spacing w:before="360" w:after="200"/>
      </w:pPr>
      <w:r>
        <w:rPr>
          <w:rFonts w:ascii="Arial" w:cs="Arial" w:eastAsia="Arial" w:hAnsi="Arial"/>
          <w:b/>
          <w:bCs/>
          <w:color w:val="1B3A5C"/>
          <w:sz w:val="28"/>
          <w:szCs w:val="28"/>
        </w:rPr>
        <w:t xml:space="preserve">6. Gap Opportunities for SIC</w:t>
      </w:r>
    </w:p>
    <w:p>
      <w:pPr>
        <w:spacing w:after="120" w:line="276"/>
      </w:pPr>
      <w:r>
        <w:rPr>
          <w:rFonts w:ascii="Arial" w:cs="Arial" w:eastAsia="Arial" w:hAnsi="Arial"/>
          <w:color w:val="333333"/>
          <w:sz w:val="20"/>
          <w:szCs w:val="20"/>
        </w:rPr>
        <w:t xml:space="preserve">Where NXP is exiting, deprioritizing, or creating openings that SIC can fill:</w:t>
      </w:r>
    </w:p>
    <w:p>
      <w:pPr>
        <w:pStyle w:val="Heading2"/>
        <w:spacing w:before="280" w:after="140"/>
      </w:pPr>
      <w:r>
        <w:rPr>
          <w:rFonts w:ascii="Arial" w:cs="Arial" w:eastAsia="Arial" w:hAnsi="Arial"/>
          <w:b/>
          <w:bCs/>
          <w:color w:val="2C3E50"/>
          <w:sz w:val="24"/>
          <w:szCs w:val="24"/>
        </w:rPr>
        <w:t xml:space="preserve">6.1 MEMS Sensor Divestiture — HIGHEST PRIORITY</w:t>
      </w:r>
    </w:p>
    <w:p>
      <w:pPr>
        <w:spacing w:after="120" w:line="276"/>
      </w:pPr>
      <w:r>
        <w:rPr>
          <w:rFonts w:ascii="Arial" w:cs="Arial" w:eastAsia="Arial" w:hAnsi="Arial"/>
          <w:b/>
          <w:bCs/>
          <w:color w:val="C0392B"/>
          <w:sz w:val="20"/>
          <w:szCs w:val="20"/>
        </w:rPr>
        <w:t xml:space="preserve">Confidence: VERY HIGH | </w:t>
      </w:r>
      <w:r>
        <w:rPr>
          <w:rFonts w:ascii="Arial" w:cs="Arial" w:eastAsia="Arial" w:hAnsi="Arial"/>
          <w:color w:val="C0392B"/>
          <w:sz w:val="20"/>
          <w:szCs w:val="20"/>
        </w:rPr>
        <w:t xml:space="preserve">Evidence: 10-K p.36: “On February 2, 2026, NXP completed the previously announced sale of our MEMS sensors business line for $900 million.” Zero MEMS roles in current hiring.</w:t>
      </w:r>
    </w:p>
    <w:p>
      <w:pPr>
        <w:spacing w:after="120" w:line="276"/>
      </w:pPr>
      <w:r>
        <w:rPr>
          <w:rFonts w:ascii="Arial" w:cs="Arial" w:eastAsia="Arial" w:hAnsi="Arial"/>
          <w:color w:val="333333"/>
          <w:sz w:val="20"/>
          <w:szCs w:val="20"/>
        </w:rPr>
        <w:t xml:space="preserve">NXP designed and sold MEMS pressure sensors and inertial sensors for automotive, industrial, and consumer applications. Their MEMS products were used for tire pressure monitoring (TPMS), barometric altitude sensing, and industrial process monitoring. The entire product line, customer relationships, and design wins are being transferred to the buyer.</w:t>
      </w:r>
    </w:p>
    <w:p>
      <w:pPr>
        <w:spacing w:after="120" w:line="276"/>
      </w:pPr>
      <w:r>
        <w:rPr>
          <w:rFonts w:ascii="Arial" w:cs="Arial" w:eastAsia="Arial" w:hAnsi="Arial"/>
          <w:b/>
          <w:bCs/>
          <w:color w:val="333333"/>
          <w:sz w:val="20"/>
          <w:szCs w:val="20"/>
        </w:rPr>
        <w:t xml:space="preserve">SIC action: </w:t>
      </w:r>
      <w:r>
        <w:rPr>
          <w:rFonts w:ascii="Arial" w:cs="Arial" w:eastAsia="Arial" w:hAnsi="Arial"/>
          <w:color w:val="333333"/>
          <w:sz w:val="20"/>
          <w:szCs w:val="20"/>
        </w:rPr>
        <w:t xml:space="preserve">SIC’s sensor interface ICs (SIC4340/41/43, SIC824B) connect external sensors to NFC/RFID readout. During the ownership transition, existing NXP MEMS customers in industrial sensing and healthcare monitoring will face uncertainty about product roadmap continuity, long-term supply commitments, and design support. SIC should target these displaced customers with sensor interface solutions that pair third-party MEMS sensors with SIC’s NFC-based wireless readout. The value proposition: battery-free sensor data capture without dependence on a divested product line.</w:t>
      </w:r>
    </w:p>
    <w:p>
      <w:pPr>
        <w:pStyle w:val="Heading2"/>
        <w:spacing w:before="280" w:after="140"/>
      </w:pPr>
      <w:r>
        <w:rPr>
          <w:rFonts w:ascii="Arial" w:cs="Arial" w:eastAsia="Arial" w:hAnsi="Arial"/>
          <w:b/>
          <w:bCs/>
          <w:color w:val="2C3E50"/>
          <w:sz w:val="24"/>
          <w:szCs w:val="24"/>
        </w:rPr>
        <w:t xml:space="preserve">6.2 NFC/RFID Low-Complexity Identification — HIGH PRIORITY</w:t>
      </w:r>
    </w:p>
    <w:p>
      <w:pPr>
        <w:spacing w:after="120" w:line="276"/>
      </w:pPr>
      <w:r>
        <w:rPr>
          <w:rFonts w:ascii="Arial" w:cs="Arial" w:eastAsia="Arial" w:hAnsi="Arial"/>
          <w:b/>
          <w:bCs/>
          <w:color w:val="C0392B"/>
          <w:sz w:val="20"/>
          <w:szCs w:val="20"/>
        </w:rPr>
        <w:t xml:space="preserve">Confidence: HIGH | </w:t>
      </w:r>
      <w:r>
        <w:rPr>
          <w:rFonts w:ascii="Arial" w:cs="Arial" w:eastAsia="Arial" w:hAnsi="Arial"/>
          <w:color w:val="C0392B"/>
          <w:sz w:val="20"/>
          <w:szCs w:val="20"/>
        </w:rPr>
        <w:t xml:space="preserve">Evidence: 50 NFC/RFID-mentioning roles but only 3-5 dedicated product development roles. All focused on payments and high-security authentication. Zero architecture-level investment in identification/tagging.</w:t>
      </w:r>
    </w:p>
    <w:p>
      <w:pPr>
        <w:spacing w:after="120" w:line="276"/>
      </w:pPr>
      <w:r>
        <w:rPr>
          <w:rFonts w:ascii="Arial" w:cs="Arial" w:eastAsia="Arial" w:hAnsi="Arial"/>
          <w:color w:val="333333"/>
          <w:sz w:val="20"/>
          <w:szCs w:val="20"/>
        </w:rPr>
        <w:t xml:space="preserve">NXP’s NFC/RFID strategy is clearly moving upmarket toward secure mobile transactions (MIFARE DESFire, secure elements for payments, automotive digital keys). They are NOT refreshing their lower-end identification product lines: basic NFC tags (NTAG), HF/UHF RFID for supply chain, animal identification readers, or industrial asset tracking chips.</w:t>
      </w:r>
    </w:p>
    <w:p>
      <w:pPr>
        <w:spacing w:after="120" w:line="276"/>
      </w:pPr>
      <w:r>
        <w:rPr>
          <w:rFonts w:ascii="Arial" w:cs="Arial" w:eastAsia="Arial" w:hAnsi="Arial"/>
          <w:b/>
          <w:bCs/>
          <w:color w:val="333333"/>
          <w:sz w:val="20"/>
          <w:szCs w:val="20"/>
        </w:rPr>
        <w:t xml:space="preserve">SIC action: </w:t>
      </w:r>
      <w:r>
        <w:rPr>
          <w:rFonts w:ascii="Arial" w:cs="Arial" w:eastAsia="Arial" w:hAnsi="Arial"/>
          <w:color w:val="333333"/>
          <w:sz w:val="20"/>
          <w:szCs w:val="20"/>
        </w:rPr>
        <w:t xml:space="preserve">SIC’s entire product portfolio (SIC278/279 for animal ID, SIC73F1/WR for industrial IoT, SIC4310/43NT for authentication) competes in the exact segment NXP is deprioritizing. The Japan-based BDM role for “UHF RFID, NFC” is one person covering retail, supply chain, logistics, healthcare, automotive, and smart manufacturing across all of Japan. That’s not serious investment — that’s maintenance mode. SIC should aggressively pursue NXP’s identification customers, especially in APAC where NXP’s field support is thinnest.</w:t>
      </w:r>
    </w:p>
    <w:p>
      <w:pPr>
        <w:pStyle w:val="Heading2"/>
        <w:spacing w:before="280" w:after="140"/>
      </w:pPr>
      <w:r>
        <w:rPr>
          <w:rFonts w:ascii="Arial" w:cs="Arial" w:eastAsia="Arial" w:hAnsi="Arial"/>
          <w:b/>
          <w:bCs/>
          <w:color w:val="2C3E50"/>
          <w:sz w:val="24"/>
          <w:szCs w:val="24"/>
        </w:rPr>
        <w:t xml:space="preserve">6.3 Communication Infrastructure Decline — MEDIUM PRIORITY</w:t>
      </w:r>
    </w:p>
    <w:p>
      <w:pPr>
        <w:spacing w:after="120" w:line="276"/>
      </w:pPr>
      <w:r>
        <w:rPr>
          <w:rFonts w:ascii="Arial" w:cs="Arial" w:eastAsia="Arial" w:hAnsi="Arial"/>
          <w:b/>
          <w:bCs/>
          <w:color w:val="333333"/>
          <w:sz w:val="20"/>
          <w:szCs w:val="20"/>
        </w:rPr>
        <w:t xml:space="preserve">Confidence: MEDIUM | </w:t>
      </w:r>
      <w:r>
        <w:rPr>
          <w:rFonts w:ascii="Arial" w:cs="Arial" w:eastAsia="Arial" w:hAnsi="Arial"/>
          <w:color w:val="333333"/>
          <w:sz w:val="20"/>
          <w:szCs w:val="20"/>
        </w:rPr>
        <w:t xml:space="preserve">Evidence: 10-K shows Comm Infra &amp; Other revenue down 23.6% ($400M decline). Q4 impairment of “non-strategic product line.”</w:t>
      </w:r>
    </w:p>
    <w:p>
      <w:pPr>
        <w:spacing w:after="120" w:line="276"/>
      </w:pPr>
      <w:r>
        <w:rPr>
          <w:rFonts w:ascii="Arial" w:cs="Arial" w:eastAsia="Arial" w:hAnsi="Arial"/>
          <w:color w:val="333333"/>
          <w:sz w:val="20"/>
          <w:szCs w:val="20"/>
        </w:rPr>
        <w:t xml:space="preserve">NXP’s Comm Infra segment sells processors and RF amplifiers for 5G base stations and network infrastructure. The 23.6% revenue drop — far exceeding the overall 2.7% company decline — signals either market weakness or deliberate deprioritization. The Q4 impairment charge for a “non-strategic product line” may refer to legacy comm infrastructure products.</w:t>
      </w:r>
    </w:p>
    <w:p>
      <w:pPr>
        <w:spacing w:after="120" w:line="276"/>
      </w:pPr>
      <w:r>
        <w:rPr>
          <w:rFonts w:ascii="Arial" w:cs="Arial" w:eastAsia="Arial" w:hAnsi="Arial"/>
          <w:b/>
          <w:bCs/>
          <w:color w:val="333333"/>
          <w:sz w:val="20"/>
          <w:szCs w:val="20"/>
        </w:rPr>
        <w:t xml:space="preserve">SIC action: </w:t>
      </w:r>
      <w:r>
        <w:rPr>
          <w:rFonts w:ascii="Arial" w:cs="Arial" w:eastAsia="Arial" w:hAnsi="Arial"/>
          <w:color w:val="333333"/>
          <w:sz w:val="20"/>
          <w:szCs w:val="20"/>
        </w:rPr>
        <w:t xml:space="preserve">Limited direct overlap, but if NXP reduces support for IoT connectivity products within this segment (which overlaps with Industrial &amp; IoT), displaced customers may need alternative wireless connectivity solutions. SIC should monitor which specific Comm Infra products NXP discontinues — any IoT gateway or industrial connectivity products would be directly relevant.</w:t>
      </w:r>
    </w:p>
    <w:p>
      <w:pPr>
        <w:pStyle w:val="Heading2"/>
        <w:spacing w:before="280" w:after="140"/>
      </w:pPr>
      <w:r>
        <w:rPr>
          <w:rFonts w:ascii="Arial" w:cs="Arial" w:eastAsia="Arial" w:hAnsi="Arial"/>
          <w:b/>
          <w:bCs/>
          <w:color w:val="2C3E50"/>
          <w:sz w:val="24"/>
          <w:szCs w:val="24"/>
        </w:rPr>
        <w:t xml:space="preserve">6.4 Thailand Manufacturing Workforce Signals</w:t>
      </w:r>
    </w:p>
    <w:p>
      <w:pPr>
        <w:spacing w:after="120" w:line="276"/>
      </w:pPr>
      <w:r>
        <w:rPr>
          <w:rFonts w:ascii="Arial" w:cs="Arial" w:eastAsia="Arial" w:hAnsi="Arial"/>
          <w:color w:val="333333"/>
          <w:sz w:val="20"/>
          <w:szCs w:val="20"/>
        </w:rPr>
        <w:t xml:space="preserve">NXP has 5 open roles at their Bangkok manufacturing facility (TH61 NXP Manufacturing Thailand Ltd): Engineering Technicians for NPI, a Production Planner, a Quality Engineer, and a Process Engineer. All are operational/manufacturing roles, not design. This confirms NXP uses Thailand purely for assembly, test, and packaging — not R&amp;D.</w:t>
      </w:r>
    </w:p>
    <w:p>
      <w:pPr>
        <w:spacing w:after="120" w:line="276"/>
      </w:pPr>
      <w:r>
        <w:rPr>
          <w:rFonts w:ascii="Arial" w:cs="Arial" w:eastAsia="Arial" w:hAnsi="Arial"/>
          <w:b/>
          <w:bCs/>
          <w:color w:val="333333"/>
          <w:sz w:val="20"/>
          <w:szCs w:val="20"/>
        </w:rPr>
        <w:t xml:space="preserve">SIC action: </w:t>
      </w:r>
      <w:r>
        <w:rPr>
          <w:rFonts w:ascii="Arial" w:cs="Arial" w:eastAsia="Arial" w:hAnsi="Arial"/>
          <w:color w:val="333333"/>
          <w:sz w:val="20"/>
          <w:szCs w:val="20"/>
        </w:rPr>
        <w:t xml:space="preserve">SIC’s Bangkok HQ with in-house design capability is a differentiator against NXP in the Thai market. NXP’s Thailand customers who need local design support and application engineering are underserved by NXP’s manufacturing-only presence. SIC should position its local design team as a competitive advantage when engaging Thai customers who currently use NXP NFC/RFID products.</w:t>
      </w:r>
    </w:p>
    <w:p>
      <w:r>
        <w:br w:type="page"/>
      </w:r>
    </w:p>
    <w:p>
      <w:pPr>
        <w:pStyle w:val="Heading1"/>
        <w:spacing w:before="360" w:after="200"/>
      </w:pPr>
      <w:r>
        <w:rPr>
          <w:rFonts w:ascii="Arial" w:cs="Arial" w:eastAsia="Arial" w:hAnsi="Arial"/>
          <w:b/>
          <w:bCs/>
          <w:color w:val="1B3A5C"/>
          <w:sz w:val="28"/>
          <w:szCs w:val="28"/>
        </w:rPr>
        <w:t xml:space="preserve">7. Predicted Strategic Moves (Next 6-12 Months)</w:t>
      </w:r>
    </w:p>
    <w:p>
      <w:pPr>
        <w:pStyle w:val="Heading2"/>
        <w:spacing w:before="280" w:after="140"/>
      </w:pPr>
      <w:r>
        <w:rPr>
          <w:rFonts w:ascii="Arial" w:cs="Arial" w:eastAsia="Arial" w:hAnsi="Arial"/>
          <w:b/>
          <w:bCs/>
          <w:color w:val="2C3E50"/>
          <w:sz w:val="24"/>
          <w:szCs w:val="24"/>
        </w:rPr>
        <w:t xml:space="preserve">Prediction 1: Kinara Ara-Next NPU Launch in i.MX Processor</w:t>
      </w:r>
    </w:p>
    <w:p>
      <w:pPr>
        <w:spacing w:after="120" w:line="276"/>
      </w:pPr>
      <w:r>
        <w:rPr>
          <w:rFonts w:ascii="Arial" w:cs="Arial" w:eastAsia="Arial" w:hAnsi="Arial"/>
          <w:b/>
          <w:bCs/>
          <w:color w:val="333333"/>
          <w:sz w:val="20"/>
          <w:szCs w:val="20"/>
        </w:rPr>
        <w:t xml:space="preserve">Confidence: HIGH | </w:t>
      </w:r>
      <w:r>
        <w:rPr>
          <w:rFonts w:ascii="Arial" w:cs="Arial" w:eastAsia="Arial" w:hAnsi="Arial"/>
          <w:color w:val="333333"/>
          <w:sz w:val="20"/>
          <w:szCs w:val="20"/>
        </w:rPr>
        <w:t xml:space="preserve">Timeline: Announcement Q3 2026, samples Q4 2026</w:t>
      </w:r>
    </w:p>
    <w:p>
      <w:pPr>
        <w:spacing w:after="120" w:line="276"/>
      </w:pPr>
      <w:r>
        <w:rPr>
          <w:rFonts w:ascii="Arial" w:cs="Arial" w:eastAsia="Arial" w:hAnsi="Arial"/>
          <w:color w:val="333333"/>
          <w:sz w:val="20"/>
          <w:szCs w:val="20"/>
        </w:rPr>
        <w:t xml:space="preserve">Evidence: 7 Kinara-entity ASIC design roles (all Hyderabad), Director of Engineering with RISC-V requirement, multiple hardware architect roles, plus 6 Eindhoven interns focused on VLM/LLM edge optimization. NXP paid $284M for Kinara — they need a product launch to justify the acquisition. The Kinara Ara-1 was a standalone NPU; the next generation will likely be integrated into an i.MX application processor die targeting automotive ADAS and industrial vision.</w:t>
      </w:r>
    </w:p>
    <w:p>
      <w:pPr>
        <w:pStyle w:val="Heading2"/>
        <w:spacing w:before="280" w:after="140"/>
      </w:pPr>
      <w:r>
        <w:rPr>
          <w:rFonts w:ascii="Arial" w:cs="Arial" w:eastAsia="Arial" w:hAnsi="Arial"/>
          <w:b/>
          <w:bCs/>
          <w:color w:val="2C3E50"/>
          <w:sz w:val="24"/>
          <w:szCs w:val="24"/>
        </w:rPr>
        <w:t xml:space="preserve">Prediction 2: SDV Middleware Platform Commercial Launch</w:t>
      </w:r>
    </w:p>
    <w:p>
      <w:pPr>
        <w:spacing w:after="120" w:line="276"/>
      </w:pPr>
      <w:r>
        <w:rPr>
          <w:rFonts w:ascii="Arial" w:cs="Arial" w:eastAsia="Arial" w:hAnsi="Arial"/>
          <w:b/>
          <w:bCs/>
          <w:color w:val="333333"/>
          <w:sz w:val="20"/>
          <w:szCs w:val="20"/>
        </w:rPr>
        <w:t xml:space="preserve">Confidence: HIGH | </w:t>
      </w:r>
      <w:r>
        <w:rPr>
          <w:rFonts w:ascii="Arial" w:cs="Arial" w:eastAsia="Arial" w:hAnsi="Arial"/>
          <w:color w:val="333333"/>
          <w:sz w:val="20"/>
          <w:szCs w:val="20"/>
        </w:rPr>
        <w:t xml:space="preserve">Timeline: Announcement Q2-Q3 2026</w:t>
      </w:r>
    </w:p>
    <w:p>
      <w:pPr>
        <w:spacing w:after="120" w:line="276"/>
      </w:pPr>
      <w:r>
        <w:rPr>
          <w:rFonts w:ascii="Arial" w:cs="Arial" w:eastAsia="Arial" w:hAnsi="Arial"/>
          <w:color w:val="333333"/>
          <w:sz w:val="20"/>
          <w:szCs w:val="20"/>
        </w:rPr>
        <w:t xml:space="preserve">Evidence: 28 SDV roles including 4 Architects, TTTech Auto integration underway with dedicated Project Manager in Korea, AUTOSAR Adaptive and service-oriented architecture mentions across multiple roles. The $766M TTTech acquisition was NXP’s largest deal ever. They will launch a branded SDV platform pairing TTTech’s safety-critical middleware with NXP’s S32 processors and Aviva Links’ in-vehicle networking.</w:t>
      </w:r>
    </w:p>
    <w:p>
      <w:pPr>
        <w:pStyle w:val="Heading2"/>
        <w:spacing w:before="280" w:after="140"/>
      </w:pPr>
      <w:r>
        <w:rPr>
          <w:rFonts w:ascii="Arial" w:cs="Arial" w:eastAsia="Arial" w:hAnsi="Arial"/>
          <w:b/>
          <w:bCs/>
          <w:color w:val="2C3E50"/>
          <w:sz w:val="24"/>
          <w:szCs w:val="24"/>
        </w:rPr>
        <w:t xml:space="preserve">Prediction 3: Further Portfolio Pruning (Additional Divestitures)</w:t>
      </w:r>
    </w:p>
    <w:p>
      <w:pPr>
        <w:spacing w:after="120" w:line="276"/>
      </w:pPr>
      <w:r>
        <w:rPr>
          <w:rFonts w:ascii="Arial" w:cs="Arial" w:eastAsia="Arial" w:hAnsi="Arial"/>
          <w:b/>
          <w:bCs/>
          <w:color w:val="333333"/>
          <w:sz w:val="20"/>
          <w:szCs w:val="20"/>
        </w:rPr>
        <w:t xml:space="preserve">Confidence: MEDIUM-HIGH | </w:t>
      </w:r>
      <w:r>
        <w:rPr>
          <w:rFonts w:ascii="Arial" w:cs="Arial" w:eastAsia="Arial" w:hAnsi="Arial"/>
          <w:color w:val="333333"/>
          <w:sz w:val="20"/>
          <w:szCs w:val="20"/>
        </w:rPr>
        <w:t xml:space="preserve">Timeline: Announcement H2 2026</w:t>
      </w:r>
    </w:p>
    <w:p>
      <w:pPr>
        <w:spacing w:after="120" w:line="276"/>
      </w:pPr>
      <w:r>
        <w:rPr>
          <w:rFonts w:ascii="Arial" w:cs="Arial" w:eastAsia="Arial" w:hAnsi="Arial"/>
          <w:color w:val="333333"/>
          <w:sz w:val="20"/>
          <w:szCs w:val="20"/>
        </w:rPr>
        <w:t xml:space="preserve">Evidence: MEMS sold for $900M, Comm Infra revenue down 23.6%, Q4 “non-strategic product line” impairment, new CEO with a mandate to refocus, new restructuring program launched Q4 2025, debt at $12.29B requiring servicing. The pattern is clear: NXP under Sotomayor is trimming anything that doesn’t fit the automotive-software-AI thesis. Candidates for the next divestiture or discontinuation: legacy processors in Comm Infra, lower-end RF power products, and potentially parts of the standard NFC/RFID tag portfolio that don’t align with the high-security direction.</w:t>
      </w:r>
    </w:p>
    <w:p>
      <w:r>
        <w:br w:type="page"/>
      </w:r>
    </w:p>
    <w:p>
      <w:pPr>
        <w:pStyle w:val="Heading1"/>
        <w:spacing w:before="360" w:after="200"/>
      </w:pPr>
      <w:r>
        <w:rPr>
          <w:rFonts w:ascii="Arial" w:cs="Arial" w:eastAsia="Arial" w:hAnsi="Arial"/>
          <w:b/>
          <w:bCs/>
          <w:color w:val="1B3A5C"/>
          <w:sz w:val="28"/>
          <w:szCs w:val="28"/>
        </w:rPr>
        <w:t xml:space="preserve">8. Recommended Actions for SIC</w:t>
      </w:r>
    </w:p>
    <w:p>
      <w:pPr>
        <w:pStyle w:val="ListParagraph"/>
        <w:numPr>
          <w:ilvl w:val="0"/>
          <w:numId w:val="3"/>
        </w:numPr>
        <w:spacing w:after="120" w:line="276"/>
      </w:pPr>
      <w:r>
        <w:rPr>
          <w:rFonts w:ascii="Arial" w:cs="Arial" w:eastAsia="Arial" w:hAnsi="Arial"/>
          <w:b/>
          <w:bCs/>
          <w:sz w:val="20"/>
          <w:szCs w:val="20"/>
        </w:rPr>
        <w:t xml:space="preserve">Target displaced MEMS sensor customers (Q1 2026, immediate). </w:t>
      </w:r>
      <w:r>
        <w:rPr>
          <w:rFonts w:ascii="Arial" w:cs="Arial" w:eastAsia="Arial" w:hAnsi="Arial"/>
          <w:sz w:val="20"/>
          <w:szCs w:val="20"/>
        </w:rPr>
        <w:t xml:space="preserve">Build a hit list of NXP MEMS customers in industrial sensing and healthcare. Lead with SIC’s sensor interface ICs (SIC4340 series) paired with third-party MEMS sensors. The ownership transition creates a 6-12 month window of customer anxiety about supply continuity.</w:t>
      </w:r>
    </w:p>
    <w:p>
      <w:pPr>
        <w:pStyle w:val="ListParagraph"/>
        <w:numPr>
          <w:ilvl w:val="0"/>
          <w:numId w:val="3"/>
        </w:numPr>
        <w:spacing w:after="120" w:line="276"/>
      </w:pPr>
      <w:r>
        <w:rPr>
          <w:rFonts w:ascii="Arial" w:cs="Arial" w:eastAsia="Arial" w:hAnsi="Arial"/>
          <w:b/>
          <w:bCs/>
          <w:sz w:val="20"/>
          <w:szCs w:val="20"/>
        </w:rPr>
        <w:t xml:space="preserve">Accelerate APAC NFC/RFID customer engagement (Q1-Q2 2026). </w:t>
      </w:r>
      <w:r>
        <w:rPr>
          <w:rFonts w:ascii="Arial" w:cs="Arial" w:eastAsia="Arial" w:hAnsi="Arial"/>
          <w:sz w:val="20"/>
          <w:szCs w:val="20"/>
        </w:rPr>
        <w:t xml:space="preserve">NXP has ONE business development person covering all of Japan for UHF RFID and NFC. Their NFC product development is focused entirely on payments/authentication. SIC should target identification and industrial IoT NFC customers in Japan, Korea, and Southeast Asia where NXP’s field support is weakest.</w:t>
      </w:r>
    </w:p>
    <w:p>
      <w:pPr>
        <w:pStyle w:val="ListParagraph"/>
        <w:numPr>
          <w:ilvl w:val="0"/>
          <w:numId w:val="3"/>
        </w:numPr>
        <w:spacing w:after="120" w:line="276"/>
      </w:pPr>
      <w:r>
        <w:rPr>
          <w:rFonts w:ascii="Arial" w:cs="Arial" w:eastAsia="Arial" w:hAnsi="Arial"/>
          <w:b/>
          <w:bCs/>
          <w:sz w:val="20"/>
          <w:szCs w:val="20"/>
        </w:rPr>
        <w:t xml:space="preserve">Monitor NXP’s Comm Infra product EOL announcements (ongoing). </w:t>
      </w:r>
      <w:r>
        <w:rPr>
          <w:rFonts w:ascii="Arial" w:cs="Arial" w:eastAsia="Arial" w:hAnsi="Arial"/>
          <w:sz w:val="20"/>
          <w:szCs w:val="20"/>
        </w:rPr>
        <w:t xml:space="preserve">Set up alerts for NXP product change notifications (PCNs) and end-of-life notices in their Communication Infrastructure and standard products portfolio. Any IoT connectivity or industrial RFID products they discontinue are immediate sales opportunities.</w:t>
      </w:r>
    </w:p>
    <w:p>
      <w:pPr>
        <w:pStyle w:val="ListParagraph"/>
        <w:numPr>
          <w:ilvl w:val="0"/>
          <w:numId w:val="3"/>
        </w:numPr>
        <w:spacing w:after="120" w:line="276"/>
      </w:pPr>
      <w:r>
        <w:rPr>
          <w:rFonts w:ascii="Arial" w:cs="Arial" w:eastAsia="Arial" w:hAnsi="Arial"/>
          <w:b/>
          <w:bCs/>
          <w:sz w:val="20"/>
          <w:szCs w:val="20"/>
        </w:rPr>
        <w:t xml:space="preserve">Position SIC’s Bangkok design team as a Thailand advantage (ongoing). </w:t>
      </w:r>
      <w:r>
        <w:rPr>
          <w:rFonts w:ascii="Arial" w:cs="Arial" w:eastAsia="Arial" w:hAnsi="Arial"/>
          <w:sz w:val="20"/>
          <w:szCs w:val="20"/>
        </w:rPr>
        <w:t xml:space="preserve">NXP’s Thailand presence is manufacturing only. Thai customers needing local IC design support, application engineering, or custom ASIC work have zero access to NXP’s design teams (which sit in Austria, Netherlands, USA, and India). SIC’s co-located design capability is a structural advantage.</w:t>
      </w:r>
    </w:p>
    <w:p>
      <w:pPr>
        <w:pStyle w:val="ListParagraph"/>
        <w:numPr>
          <w:ilvl w:val="0"/>
          <w:numId w:val="3"/>
        </w:numPr>
        <w:spacing w:after="120" w:line="276"/>
      </w:pPr>
      <w:r>
        <w:rPr>
          <w:rFonts w:ascii="Arial" w:cs="Arial" w:eastAsia="Arial" w:hAnsi="Arial"/>
          <w:b/>
          <w:bCs/>
          <w:sz w:val="20"/>
          <w:szCs w:val="20"/>
        </w:rPr>
        <w:t xml:space="preserve">Track post-quantum cryptography timelines (strategic). </w:t>
      </w:r>
      <w:r>
        <w:rPr>
          <w:rFonts w:ascii="Arial" w:cs="Arial" w:eastAsia="Arial" w:hAnsi="Arial"/>
          <w:sz w:val="20"/>
          <w:szCs w:val="20"/>
        </w:rPr>
        <w:t xml:space="preserve">NXP is building PQC capabilities with 26 security roles and 5 Architects. If PQC becomes a requirement for NFC authentication (likely within 3-5 years per NIST timelines), SIC’s authentication products (SIC4310, SIC43NT) will need to keep pace. Begin evaluating PQC readiness now.</w:t>
      </w:r>
    </w:p>
    <w:p>
      <w:pPr>
        <w:spacing w:before="600"/>
      </w:pPr>
    </w:p>
    <w:p>
      <w:pPr>
        <w:pBdr>
          <w:top w:val="single" w:color="1B3A5C" w:sz="4" w:space="8"/>
        </w:pBdr>
        <w:spacing w:before="200"/>
      </w:pPr>
      <w:r>
        <w:rPr>
          <w:rFonts w:ascii="Arial" w:cs="Arial" w:eastAsia="Arial" w:hAnsi="Arial"/>
          <w:b/>
          <w:bCs/>
          <w:color w:val="999999"/>
          <w:sz w:val="18"/>
          <w:szCs w:val="18"/>
        </w:rPr>
        <w:t xml:space="preserve">END OF BRIEFING</w:t>
      </w:r>
    </w:p>
    <w:p>
      <w:pPr>
        <w:spacing w:after="120" w:line="276"/>
      </w:pPr>
      <w:r>
        <w:rPr>
          <w:rFonts w:ascii="Arial" w:cs="Arial" w:eastAsia="Arial" w:hAnsi="Arial"/>
          <w:i/>
          <w:iCs/>
          <w:color w:val="999999"/>
          <w:sz w:val="16"/>
          <w:szCs w:val="16"/>
        </w:rPr>
        <w:t xml:space="preserve">Analysis based on 425 NXP job postings (scraped February 2026) and NXP’s FY2025 10-K filing (SEC, filed February 2026). All predictions and assessments represent analyst judgment and should be validated through direct market intelligence.</w:t>
      </w:r>
    </w:p>
    <w:sectPr>
      <w:headerReference w:type="default" r:id="rId6"/>
      <w:footerReference w:type="default" r:id="rId7"/>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4"/>
        <w:szCs w:val="14"/>
      </w:rPr>
      <w:t xml:space="preserve">NXP Semiconductors — Strategic Intelligence Briefing</w:t>
    </w:r>
    <w:r>
      <w:rPr>
        <w:rFonts w:ascii="Arial" w:cs="Arial" w:eastAsia="Arial" w:hAnsi="Arial"/>
        <w:color w:val="999999"/>
        <w:sz w:val="14"/>
        <w:szCs w:val="14"/>
      </w:rPr>
      <w:t xml:space="preserve">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pPr>
    <w:r>
      <w:rPr>
        <w:rFonts w:ascii="Arial" w:cs="Arial" w:eastAsia="Arial" w:hAnsi="Arial"/>
        <w:b/>
        <w:bCs/>
        <w:color w:val="C0392B"/>
        <w:sz w:val="16"/>
        <w:szCs w:val="16"/>
      </w:rPr>
      <w:t xml:space="preserve">CONFIDENTIAL</w:t>
    </w:r>
    <w:r>
      <w:rPr>
        <w:rFonts w:ascii="Arial" w:cs="Arial" w:eastAsia="Arial" w:hAnsi="Arial"/>
        <w:color w:val="999999"/>
        <w:sz w:val="16"/>
        <w:szCs w:val="16"/>
      </w:rPr>
      <w:t xml:space="preserve">	SIC Competitive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4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2026-02-27T05:48:41.459Z</dcterms:created>
  <dcterms:modified xsi:type="dcterms:W3CDTF">2026-02-27T05:48:41.459Z</dcterms:modified>
</cp:coreProperties>
</file>

<file path=docProps/custom.xml><?xml version="1.0" encoding="utf-8"?>
<Properties xmlns="http://schemas.openxmlformats.org/officeDocument/2006/custom-properties" xmlns:vt="http://schemas.openxmlformats.org/officeDocument/2006/docPropsVTypes"/>
</file>