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36"/>
          <w:szCs w:val="36"/>
        </w:rPr>
        <w:t xml:space="preserve">Silicon Craft Technology PLC</w:t>
      </w:r>
    </w:p>
    <w:p>
      <w:pPr>
        <w:spacing w:after="120"/>
        <w:jc w:val="center"/>
      </w:pPr>
      <w:r>
        <w:rPr>
          <w:rFonts w:ascii="Arial" w:cs="Arial" w:eastAsia="Arial" w:hAnsi="Arial"/>
          <w:color w:val="333333"/>
          <w:sz w:val="28"/>
          <w:szCs w:val="28"/>
        </w:rPr>
        <w:t xml:space="preserve">FY2026 Sales Compensation Plan</w:t>
      </w:r>
    </w:p>
    <w:p>
      <w:pPr>
        <w:spacing w:after="80"/>
        <w:jc w:val="center"/>
      </w:pPr>
      <w:r>
        <w:rPr>
          <w:rFonts w:ascii="Arial" w:cs="Arial" w:eastAsia="Arial" w:hAnsi="Arial"/>
          <w:i/>
          <w:iCs/>
          <w:color w:val="666666"/>
          <w:sz w:val="22"/>
          <w:szCs w:val="22"/>
        </w:rPr>
        <w:t xml:space="preserve">Plan Document</w:t>
      </w:r>
    </w:p>
    <w:p>
      <w:pPr>
        <w:spacing w:after="60"/>
      </w:pPr>
    </w:p>
    <w:p>
      <w:pPr>
        <w:jc w:val="center"/>
      </w:pPr>
      <w:r>
        <w:rPr>
          <w:rFonts w:ascii="Arial" w:cs="Arial" w:eastAsia="Arial" w:hAnsi="Arial"/>
          <w:color w:val="666666"/>
          <w:sz w:val="22"/>
          <w:szCs w:val="22"/>
        </w:rPr>
        <w:t xml:space="preserve">Effective: January 1, 2026 – December 31, 2026</w:t>
      </w:r>
    </w:p>
    <w:p>
      <w:pPr>
        <w:spacing w:after="60"/>
      </w:pPr>
    </w:p>
    <w:p>
      <w:pPr>
        <w:jc w:val="center"/>
      </w:pPr>
      <w:r>
        <w:rPr>
          <w:rFonts w:ascii="Arial" w:cs="Arial" w:eastAsia="Arial" w:hAnsi="Arial"/>
          <w:color w:val="999999"/>
          <w:sz w:val="20"/>
          <w:szCs w:val="20"/>
        </w:rPr>
        <w:t xml:space="preserve">Document No: SA_COM_2026</w:t>
      </w:r>
    </w:p>
    <w:p>
      <w:pPr>
        <w:jc w:val="center"/>
      </w:pPr>
      <w:r>
        <w:rPr>
          <w:rFonts w:ascii="Arial" w:cs="Arial" w:eastAsia="Arial" w:hAnsi="Arial"/>
          <w:color w:val="999999"/>
          <w:sz w:val="20"/>
          <w:szCs w:val="20"/>
        </w:rPr>
        <w:t xml:space="preserve">Internal Use – SIC Sales Team and Relevant Staff Only</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pBdr>
          <w:top w:val="single" w:color="1F4E79" w:sz="6" w:space="8"/>
        </w:pBdr>
        <w:spacing w:before="2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Sales Compensation Plan (“the Plan”) defines how Silicon Craft Technology PLC (“SIC” or “the Company”) compensates its sales team for FY2026. The Plan rewards performance against revenue and profitability objectives that drive long-term business growth.</w:t>
      </w:r>
    </w:p>
    <w:p>
      <w:pPr>
        <w:pStyle w:val="Heading1"/>
      </w:pPr>
      <w:r>
        <w:rPr>
          <w:rFonts w:ascii="Arial" w:cs="Arial" w:eastAsia="Arial" w:hAnsi="Arial"/>
        </w:rPr>
        <w:t xml:space="preserve">2. Plan Objectives</w:t>
      </w:r>
    </w:p>
    <w:p>
      <w:pPr>
        <w:pStyle w:val="ListParagraph"/>
        <w:numPr>
          <w:ilvl w:val="0"/>
          <w:numId w:val="2"/>
        </w:numPr>
        <w:spacing w:after="80"/>
      </w:pPr>
      <w:r>
        <w:rPr>
          <w:rFonts w:ascii="Arial" w:cs="Arial" w:eastAsia="Arial" w:hAnsi="Arial"/>
          <w:sz w:val="22"/>
          <w:szCs w:val="22"/>
        </w:rPr>
        <w:t xml:space="preserve">Attract, motivate, and retain high-performing sales professionals through competitive total compensation.</w:t>
      </w:r>
    </w:p>
    <w:p>
      <w:pPr>
        <w:pStyle w:val="ListParagraph"/>
        <w:numPr>
          <w:ilvl w:val="0"/>
          <w:numId w:val="2"/>
        </w:numPr>
        <w:spacing w:after="80"/>
      </w:pPr>
      <w:r>
        <w:rPr>
          <w:rFonts w:ascii="Arial" w:cs="Arial" w:eastAsia="Arial" w:hAnsi="Arial"/>
          <w:sz w:val="22"/>
          <w:szCs w:val="22"/>
        </w:rPr>
        <w:t xml:space="preserve">Link pay directly to measurable business results that the sales team can influence.</w:t>
      </w:r>
    </w:p>
    <w:p>
      <w:pPr>
        <w:pStyle w:val="ListParagraph"/>
        <w:numPr>
          <w:ilvl w:val="0"/>
          <w:numId w:val="2"/>
        </w:numPr>
        <w:spacing w:after="80"/>
      </w:pPr>
      <w:r>
        <w:rPr>
          <w:rFonts w:ascii="Arial" w:cs="Arial" w:eastAsia="Arial" w:hAnsi="Arial"/>
          <w:sz w:val="22"/>
          <w:szCs w:val="22"/>
        </w:rPr>
        <w:t xml:space="preserve">Support company financial targets and customer commitments.</w:t>
      </w:r>
    </w:p>
    <w:p>
      <w:pPr>
        <w:pStyle w:val="ListParagraph"/>
        <w:numPr>
          <w:ilvl w:val="0"/>
          <w:numId w:val="2"/>
        </w:numPr>
        <w:spacing w:after="120"/>
      </w:pPr>
      <w:r>
        <w:rPr>
          <w:rFonts w:ascii="Arial" w:cs="Arial" w:eastAsia="Arial" w:hAnsi="Arial"/>
          <w:sz w:val="22"/>
          <w:szCs w:val="22"/>
        </w:rPr>
        <w:t xml:space="preserve">Drive both new business acquisition and profitable account management.</w:t>
      </w:r>
    </w:p>
    <w:p>
      <w:pPr>
        <w:pStyle w:val="Heading1"/>
      </w:pPr>
      <w:r>
        <w:rPr>
          <w:rFonts w:ascii="Arial" w:cs="Arial" w:eastAsia="Arial" w:hAnsi="Arial"/>
        </w:rPr>
        <w:t xml:space="preserve">3. Effective Date and Eligibility</w:t>
      </w:r>
    </w:p>
    <w:p>
      <w:pPr>
        <w:spacing w:after="120"/>
      </w:pPr>
      <w:r>
        <w:rPr>
          <w:rFonts w:ascii="Arial" w:cs="Arial" w:eastAsia="Arial" w:hAnsi="Arial"/>
          <w:sz w:val="22"/>
          <w:szCs w:val="22"/>
        </w:rPr>
        <w:t xml:space="preserve">The Plan is effective January 1, 2026 through December 31, 2026, unless modified by the Company. The Plan may be updated or replaced during the fiscal year; any changes will be communicated to participants.</w:t>
      </w:r>
    </w:p>
    <w:p>
      <w:pPr>
        <w:spacing w:after="60"/>
      </w:pPr>
    </w:p>
    <w:p>
      <w:pPr>
        <w:pStyle w:val="Heading3"/>
      </w:pPr>
      <w:r>
        <w:rPr>
          <w:rFonts w:ascii="Arial" w:cs="Arial" w:eastAsia="Arial" w:hAnsi="Arial"/>
        </w:rPr>
        <w:t xml:space="preserve">Eligibility</w:t>
      </w:r>
    </w:p>
    <w:p>
      <w:pPr>
        <w:spacing w:after="120"/>
      </w:pPr>
      <w:r>
        <w:rPr>
          <w:rFonts w:ascii="Arial" w:cs="Arial" w:eastAsia="Arial" w:hAnsi="Arial"/>
          <w:sz w:val="22"/>
          <w:szCs w:val="22"/>
        </w:rPr>
        <w:t xml:space="preserve">To participate, an employee must:</w:t>
      </w:r>
    </w:p>
    <w:p>
      <w:pPr>
        <w:pStyle w:val="ListParagraph"/>
        <w:numPr>
          <w:ilvl w:val="0"/>
          <w:numId w:val="2"/>
        </w:numPr>
        <w:spacing w:after="80"/>
      </w:pPr>
      <w:r>
        <w:rPr>
          <w:rFonts w:ascii="Arial" w:cs="Arial" w:eastAsia="Arial" w:hAnsi="Arial"/>
          <w:sz w:val="22"/>
          <w:szCs w:val="22"/>
        </w:rPr>
        <w:t xml:space="preserve">Be employed by SIC in a commission-eligible sales role, as determined by the Chief Commercial Officer (CCO) and HR.</w:t>
      </w:r>
    </w:p>
    <w:p>
      <w:pPr>
        <w:pStyle w:val="ListParagraph"/>
        <w:numPr>
          <w:ilvl w:val="0"/>
          <w:numId w:val="2"/>
        </w:numPr>
        <w:spacing w:after="80"/>
      </w:pPr>
      <w:r>
        <w:rPr>
          <w:rFonts w:ascii="Arial" w:cs="Arial" w:eastAsia="Arial" w:hAnsi="Arial"/>
          <w:sz w:val="22"/>
          <w:szCs w:val="22"/>
        </w:rPr>
        <w:t xml:space="preserve">Be actively performing job duties on the date commission payments are made.</w:t>
      </w:r>
    </w:p>
    <w:p>
      <w:pPr>
        <w:pStyle w:val="ListParagraph"/>
        <w:numPr>
          <w:ilvl w:val="0"/>
          <w:numId w:val="2"/>
        </w:numPr>
        <w:spacing w:after="120"/>
      </w:pPr>
      <w:r>
        <w:rPr>
          <w:rFonts w:ascii="Arial" w:cs="Arial" w:eastAsia="Arial" w:hAnsi="Arial"/>
          <w:sz w:val="22"/>
          <w:szCs w:val="22"/>
        </w:rPr>
        <w:t xml:space="preserve">Maintain accurate records for all transactions under the Plan.</w:t>
      </w:r>
    </w:p>
    <w:p>
      <w:pPr>
        <w:spacing w:after="120"/>
      </w:pPr>
      <w:r>
        <w:rPr>
          <w:rFonts w:ascii="Arial" w:cs="Arial" w:eastAsia="Arial" w:hAnsi="Arial"/>
          <w:sz w:val="22"/>
          <w:szCs w:val="22"/>
        </w:rPr>
        <w:t xml:space="preserve">Non-FTE sales agents (e.g., external contractors) may be assigned separate commission terms at the discretion of the CCO. Such terms will be documented in individual agreements and are outside the scope of this Plan.</w:t>
      </w:r>
    </w:p>
    <w:p>
      <w:pPr>
        <w:pStyle w:val="Heading1"/>
      </w:pPr>
      <w:r>
        <w:rPr>
          <w:rFonts w:ascii="Arial" w:cs="Arial" w:eastAsia="Arial" w:hAnsi="Arial"/>
        </w:rPr>
        <w:t xml:space="preserve">4. Compensation Structure</w:t>
      </w:r>
    </w:p>
    <w:p>
      <w:pPr>
        <w:shd w:fill="FFF2CC" w:val="clear"/>
        <w:spacing w:after="120" w:before="120"/>
        <w:ind w:left="200" w:right="200"/>
      </w:pPr>
      <w:r>
        <w:rPr>
          <w:rFonts w:ascii="Arial" w:cs="Arial" w:eastAsia="Arial" w:hAnsi="Arial"/>
          <w:b/>
          <w:bCs/>
          <w:color w:val="996600"/>
          <w:sz w:val="20"/>
          <w:szCs w:val="20"/>
        </w:rPr>
        <w:t xml:space="preserve">ACTION REQUIRED: </w:t>
      </w:r>
      <w:r>
        <w:rPr>
          <w:rFonts w:ascii="Arial" w:cs="Arial" w:eastAsia="Arial" w:hAnsi="Arial"/>
          <w:color w:val="996600"/>
          <w:sz w:val="20"/>
          <w:szCs w:val="20"/>
        </w:rPr>
        <w:t xml:space="preserve">Confirm base-to-variable split with HR once salary data is available. Current working assumption: total target compensation = base salary + variable commission (ratio TBD). The variable component is structured as described below.</w:t>
      </w:r>
    </w:p>
    <w:p>
      <w:pPr>
        <w:spacing w:after="60"/>
      </w:pPr>
    </w:p>
    <w:p>
      <w:pPr>
        <w:spacing w:after="120"/>
      </w:pPr>
      <w:r>
        <w:rPr>
          <w:rFonts w:ascii="Arial" w:cs="Arial" w:eastAsia="Arial" w:hAnsi="Arial"/>
          <w:sz w:val="22"/>
          <w:szCs w:val="22"/>
        </w:rPr>
        <w:t xml:space="preserve">Commission earnings are weighted across two performance measures: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 Measure</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c>
          <w:tcPr>
            <w:tcW w:type="dxa" w:w="3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Payment Frequency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Individual Revenue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Quarterly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Gross Profit (GP)</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Quarterly (gate mechanism)</w:t>
            </w:r>
          </w:p>
        </w:tc>
      </w:tr>
    </w:tbl>
    <w:p>
      <w:pPr>
        <w:spacing w:after="60"/>
      </w:pPr>
    </w:p>
    <w:p>
      <w:pPr>
        <w:pStyle w:val="Heading2"/>
      </w:pPr>
      <w:r>
        <w:rPr>
          <w:rFonts w:ascii="Arial" w:cs="Arial" w:eastAsia="Arial" w:hAnsi="Arial"/>
        </w:rPr>
        <w:t xml:space="preserve">4.1 Individual Revenue Commission (80%)</w:t>
      </w:r>
    </w:p>
    <w:p>
      <w:pPr>
        <w:spacing w:after="120"/>
      </w:pPr>
      <w:r>
        <w:rPr>
          <w:rFonts w:ascii="Arial" w:cs="Arial" w:eastAsia="Arial" w:hAnsi="Arial"/>
          <w:sz w:val="22"/>
          <w:szCs w:val="22"/>
        </w:rPr>
        <w:t xml:space="preserve">Revenue commission is calculated on paid and delivered sales orders. Two commission rates apply based on account maturity: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 Type</w:t>
            </w:r>
          </w:p>
        </w:tc>
        <w:tc>
          <w:tcPr>
            <w:tcW w:type="dxa" w:w="25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c>
          <w:tcPr>
            <w:tcW w:type="dxa" w:w="25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Commission Rate</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Business Development</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New account or new application (cross-sell) within first 18 months</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2.5%</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Account Management</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Any account older than 18 months</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0.2%</w:t>
            </w:r>
          </w:p>
        </w:tc>
      </w:tr>
    </w:tbl>
    <w:p>
      <w:pPr>
        <w:spacing w:after="60"/>
      </w:pPr>
    </w:p>
    <w:p>
      <w:pPr>
        <w:spacing w:after="120"/>
      </w:pPr>
      <w:r>
        <w:rPr>
          <w:rFonts w:ascii="Arial" w:cs="Arial" w:eastAsia="Arial" w:hAnsi="Arial"/>
          <w:sz w:val="22"/>
          <w:szCs w:val="22"/>
        </w:rPr>
        <w:t xml:space="preserve">Revenue recognition rules:</w:t>
      </w:r>
    </w:p>
    <w:p>
      <w:pPr>
        <w:pStyle w:val="ListParagraph"/>
        <w:numPr>
          <w:ilvl w:val="0"/>
          <w:numId w:val="3"/>
        </w:numPr>
        <w:spacing w:after="80"/>
      </w:pPr>
      <w:r>
        <w:rPr>
          <w:rFonts w:ascii="Arial" w:cs="Arial" w:eastAsia="Arial" w:hAnsi="Arial"/>
          <w:sz w:val="22"/>
          <w:szCs w:val="22"/>
        </w:rPr>
        <w:t xml:space="preserve">Only delivered orders count as sales revenue.</w:t>
      </w:r>
    </w:p>
    <w:p>
      <w:pPr>
        <w:pStyle w:val="ListParagraph"/>
        <w:numPr>
          <w:ilvl w:val="0"/>
          <w:numId w:val="3"/>
        </w:numPr>
        <w:spacing w:after="80"/>
      </w:pPr>
      <w:r>
        <w:rPr>
          <w:rFonts w:ascii="Arial" w:cs="Arial" w:eastAsia="Arial" w:hAnsi="Arial"/>
          <w:sz w:val="22"/>
          <w:szCs w:val="22"/>
        </w:rPr>
        <w:t xml:space="preserve">Only paid orders are eligible for commission calculation.</w:t>
      </w:r>
    </w:p>
    <w:p>
      <w:pPr>
        <w:pStyle w:val="ListParagraph"/>
        <w:numPr>
          <w:ilvl w:val="0"/>
          <w:numId w:val="3"/>
        </w:numPr>
        <w:spacing w:after="120"/>
      </w:pPr>
      <w:r>
        <w:rPr>
          <w:rFonts w:ascii="Arial" w:cs="Arial" w:eastAsia="Arial" w:hAnsi="Arial"/>
          <w:sz w:val="22"/>
          <w:szCs w:val="22"/>
        </w:rPr>
        <w:t xml:space="preserve">Foreign currency fluctuations do not adjust revenue targets.</w:t>
      </w:r>
    </w:p>
    <w:p>
      <w:pPr>
        <w:pStyle w:val="Heading2"/>
      </w:pPr>
      <w:r>
        <w:rPr>
          <w:rFonts w:ascii="Arial" w:cs="Arial" w:eastAsia="Arial" w:hAnsi="Arial"/>
        </w:rPr>
        <w:t xml:space="preserve">4.2 Performance Payout Curve</w:t>
      </w:r>
    </w:p>
    <w:p>
      <w:pPr>
        <w:spacing w:after="120"/>
      </w:pPr>
      <w:r>
        <w:rPr>
          <w:rFonts w:ascii="Arial" w:cs="Arial" w:eastAsia="Arial" w:hAnsi="Arial"/>
          <w:sz w:val="22"/>
          <w:szCs w:val="22"/>
        </w:rPr>
        <w:t xml:space="preserve">Commission earned is modified by performance against the individual annual revenue target. The following payout curve applies: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 Level</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of Revenue Target</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 of Earned Commission)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Below Minimum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&lt; 88.5%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0%</w:t>
            </w:r>
          </w:p>
        </w:tc>
      </w:tr>
      <w:tr>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Minimum</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88.5%</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Goal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r>
      <w:tr>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Excellence</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130%</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200%</w:t>
            </w:r>
          </w:p>
        </w:tc>
      </w:tr>
    </w:tbl>
    <w:p>
      <w:pPr>
        <w:spacing w:after="60"/>
      </w:pPr>
    </w:p>
    <w:p>
      <w:pPr>
        <w:spacing w:after="120"/>
      </w:pPr>
      <w:r>
        <w:rPr>
          <w:rFonts w:ascii="Arial" w:cs="Arial" w:eastAsia="Arial" w:hAnsi="Arial"/>
          <w:sz w:val="22"/>
          <w:szCs w:val="22"/>
        </w:rPr>
        <w:t xml:space="preserve">Results between Minimum, Goal, and Excellence are interpolated to an exact payout percentage. Payout is capped at 200%.</w:t>
      </w:r>
    </w:p>
    <w:p>
      <w:pPr>
        <w:spacing w:after="120"/>
      </w:pPr>
      <w:r>
        <w:rPr>
          <w:rFonts w:ascii="Arial" w:cs="Arial" w:eastAsia="Arial" w:hAnsi="Arial"/>
          <w:sz w:val="22"/>
          <w:szCs w:val="22"/>
        </w:rPr>
        <w:t xml:space="preserve">Achievement is measured against the quarterly equivalent of the annualized revenue target.</w:t>
      </w:r>
    </w:p>
    <w:p>
      <w:pPr>
        <w:pStyle w:val="Heading2"/>
      </w:pPr>
      <w:r>
        <w:rPr>
          <w:rFonts w:ascii="Arial" w:cs="Arial" w:eastAsia="Arial" w:hAnsi="Arial"/>
        </w:rPr>
        <w:t xml:space="preserve">4.3 Team Gross Profit Gate (20%)</w:t>
      </w:r>
    </w:p>
    <w:p>
      <w:pPr>
        <w:spacing w:after="120"/>
      </w:pPr>
      <w:r>
        <w:rPr>
          <w:rFonts w:ascii="Arial" w:cs="Arial" w:eastAsia="Arial" w:hAnsi="Arial"/>
          <w:sz w:val="22"/>
          <w:szCs w:val="22"/>
        </w:rPr>
        <w:t xml:space="preserve">The GP gate operates as a quarterly eligibility modifier on total compensation: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GP Achievement</w:t>
            </w:r>
          </w:p>
        </w:tc>
        <w:tc>
          <w:tcPr>
            <w:tcW w:type="dxa" w:w="4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 on Quarterly Payout</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GP ≥ 48% ($10.6M annual target)</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Eligible for up to 100% of target payout</w:t>
            </w:r>
          </w:p>
        </w:tc>
      </w:tr>
      <w:tr>
        <w:tc>
          <w:tcPr>
            <w:tcW w:type="dxa" w:w="4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GP &lt; 48%</w:t>
            </w:r>
          </w:p>
        </w:tc>
        <w:tc>
          <w:tcPr>
            <w:tcW w:type="dxa" w:w="4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Maximum payout capped at 80% of target, regardless of individual revenue performance</w:t>
            </w:r>
          </w:p>
        </w:tc>
      </w:tr>
    </w:tbl>
    <w:p>
      <w:pPr>
        <w:spacing w:after="60"/>
      </w:pPr>
    </w:p>
    <w:p>
      <w:pPr>
        <w:spacing w:after="120"/>
      </w:pPr>
      <w:r>
        <w:rPr>
          <w:rFonts w:ascii="Arial" w:cs="Arial" w:eastAsia="Arial" w:hAnsi="Arial"/>
          <w:sz w:val="22"/>
          <w:szCs w:val="22"/>
        </w:rPr>
        <w:t xml:space="preserve">GP is measured at the team level against the global SIC gross profit target. This is not calculated per individual or per account.</w:t>
      </w:r>
    </w:p>
    <w:p>
      <w:pPr>
        <w:spacing w:after="120"/>
      </w:pPr>
      <w:r>
        <w:rPr>
          <w:rFonts w:ascii="Arial" w:cs="Arial" w:eastAsia="Arial" w:hAnsi="Arial"/>
          <w:sz w:val="22"/>
          <w:szCs w:val="22"/>
        </w:rPr>
        <w:t xml:space="preserve">The Company will communicate progress toward the GP target throughout the year.</w:t>
      </w:r>
    </w:p>
    <w:p>
      <w:pPr>
        <w:pStyle w:val="Heading1"/>
      </w:pPr>
      <w:r>
        <w:rPr>
          <w:rFonts w:ascii="Arial" w:cs="Arial" w:eastAsia="Arial" w:hAnsi="Arial"/>
        </w:rPr>
        <w:t xml:space="preserve">5. Payment and Calculation</w:t>
      </w:r>
    </w:p>
    <w:p>
      <w:pPr>
        <w:pStyle w:val="ListParagraph"/>
        <w:numPr>
          <w:ilvl w:val="0"/>
          <w:numId w:val="2"/>
        </w:numPr>
        <w:spacing w:after="80"/>
      </w:pPr>
      <w:r>
        <w:rPr>
          <w:rFonts w:ascii="Arial" w:cs="Arial" w:eastAsia="Arial" w:hAnsi="Arial"/>
          <w:sz w:val="22"/>
          <w:szCs w:val="22"/>
        </w:rPr>
        <w:t xml:space="preserve">Commissions are calculated at the end of each quarter.</w:t>
      </w:r>
    </w:p>
    <w:p>
      <w:pPr>
        <w:pStyle w:val="ListParagraph"/>
        <w:numPr>
          <w:ilvl w:val="0"/>
          <w:numId w:val="2"/>
        </w:numPr>
        <w:spacing w:after="80"/>
      </w:pPr>
      <w:r>
        <w:rPr>
          <w:rFonts w:ascii="Arial" w:cs="Arial" w:eastAsia="Arial" w:hAnsi="Arial"/>
          <w:sz w:val="22"/>
          <w:szCs w:val="22"/>
        </w:rPr>
        <w:t xml:space="preserve">Quarterly payouts are 75% of earned commission based on theoretical annual payout at YTD performance. The remaining 25% is settled in a year-end true-up.</w:t>
      </w:r>
    </w:p>
    <w:p>
      <w:pPr>
        <w:pStyle w:val="ListParagraph"/>
        <w:numPr>
          <w:ilvl w:val="0"/>
          <w:numId w:val="2"/>
        </w:numPr>
        <w:spacing w:after="80"/>
      </w:pPr>
      <w:r>
        <w:rPr>
          <w:rFonts w:ascii="Arial" w:cs="Arial" w:eastAsia="Arial" w:hAnsi="Arial"/>
          <w:sz w:val="22"/>
          <w:szCs w:val="22"/>
        </w:rPr>
        <w:t xml:space="preserve">Year-end true-up includes claw-back provisions: if YTD performance at year-end is lower than quarterly payouts already received, the difference will be deducted from future compensation.</w:t>
      </w:r>
    </w:p>
    <w:p>
      <w:pPr>
        <w:pStyle w:val="ListParagraph"/>
        <w:numPr>
          <w:ilvl w:val="0"/>
          <w:numId w:val="2"/>
        </w:numPr>
        <w:spacing w:after="80"/>
      </w:pPr>
      <w:r>
        <w:rPr>
          <w:rFonts w:ascii="Arial" w:cs="Arial" w:eastAsia="Arial" w:hAnsi="Arial"/>
          <w:sz w:val="22"/>
          <w:szCs w:val="22"/>
        </w:rPr>
        <w:t xml:space="preserve">All quarterly calculations are submitted for CEO approval before payment.</w:t>
      </w:r>
    </w:p>
    <w:p>
      <w:pPr>
        <w:pStyle w:val="ListParagraph"/>
        <w:numPr>
          <w:ilvl w:val="0"/>
          <w:numId w:val="2"/>
        </w:numPr>
        <w:spacing w:after="120"/>
      </w:pPr>
      <w:r>
        <w:rPr>
          <w:rFonts w:ascii="Arial" w:cs="Arial" w:eastAsia="Arial" w:hAnsi="Arial"/>
          <w:sz w:val="22"/>
          <w:szCs w:val="22"/>
        </w:rPr>
        <w:t xml:space="preserve">Participants must be active employees on the payment date to receive commission.</w:t>
      </w:r>
    </w:p>
    <w:p>
      <w:pPr>
        <w:pStyle w:val="Heading3"/>
      </w:pPr>
      <w:r>
        <w:rPr>
          <w:rFonts w:ascii="Arial" w:cs="Arial" w:eastAsia="Arial" w:hAnsi="Arial"/>
        </w:rPr>
        <w:t xml:space="preserve">Worked Example</w:t>
      </w:r>
    </w:p>
    <w:p>
      <w:pPr>
        <w:shd w:fill="F2F2F2" w:val="clear"/>
        <w:spacing w:after="120" w:before="60"/>
        <w:ind w:left="200" w:right="200"/>
      </w:pPr>
      <w:r>
        <w:rPr>
          <w:rFonts w:ascii="Arial" w:cs="Arial" w:eastAsia="Arial" w:hAnsi="Arial"/>
          <w:color w:val="333333"/>
          <w:sz w:val="20"/>
          <w:szCs w:val="20"/>
        </w:rPr>
        <w:t xml:space="preserve">Salesperson A has an annual revenue target of THB 100M. In Q1, they deliver THB 30M in paid revenue (60M new biz, 240M existing annualized pace = 120% of target). Team GP is at 50% (above 48% gate).
</w:t>
      </w:r>
    </w:p>
    <w:p>
      <w:pPr>
        <w:shd w:fill="F2F2F2" w:val="clear"/>
        <w:spacing w:after="120"/>
        <w:ind w:left="200" w:right="200"/>
      </w:pPr>
      <w:r>
        <w:rPr>
          <w:rFonts w:ascii="Arial" w:cs="Arial" w:eastAsia="Arial" w:hAnsi="Arial"/>
          <w:color w:val="333333"/>
          <w:sz w:val="20"/>
          <w:szCs w:val="20"/>
        </w:rPr>
        <w:t xml:space="preserve">Q1 commission earned = (new biz revenue × 2.5%) + (existing revenue × 0.2%). Payout curve applied based on YTD % of annual target. Q1 payment = 75% of calculated amount, subject to CEO approval.</w:t>
      </w:r>
    </w:p>
    <w:p>
      <w:pPr>
        <w:pStyle w:val="Heading1"/>
      </w:pPr>
      <w:r>
        <w:rPr>
          <w:rFonts w:ascii="Arial" w:cs="Arial" w:eastAsia="Arial" w:hAnsi="Arial"/>
        </w:rPr>
        <w:t xml:space="preserve">6. Administrative Guidelines</w:t>
      </w:r>
    </w:p>
    <w:p>
      <w:pPr>
        <w:pStyle w:val="Heading2"/>
      </w:pPr>
      <w:r>
        <w:rPr>
          <w:rFonts w:ascii="Arial" w:cs="Arial" w:eastAsia="Arial" w:hAnsi="Arial"/>
        </w:rPr>
        <w:t xml:space="preserve">6.1 New Participants</w:t>
      </w:r>
    </w:p>
    <w:p>
      <w:pPr>
        <w:spacing w:after="120"/>
      </w:pPr>
      <w:r>
        <w:rPr>
          <w:rFonts w:ascii="Arial" w:cs="Arial" w:eastAsia="Arial" w:hAnsi="Arial"/>
          <w:sz w:val="22"/>
          <w:szCs w:val="22"/>
        </w:rPr>
        <w:t xml:space="preserve">Newly hired or newly eligible employees join the Plan at the start of the first full quarter following their hire or transfer date. Year-end true-up payments are prorated based on the first full quarter of eligibility. The Company reserves the right to adjust targets for mid-year hires.</w:t>
      </w:r>
    </w:p>
    <w:p>
      <w:pPr>
        <w:pStyle w:val="Heading2"/>
      </w:pPr>
      <w:r>
        <w:rPr>
          <w:rFonts w:ascii="Arial" w:cs="Arial" w:eastAsia="Arial" w:hAnsi="Arial"/>
        </w:rPr>
        <w:t xml:space="preserve">6.2 Leave of Absence</w:t>
      </w:r>
    </w:p>
    <w:p>
      <w:pPr>
        <w:spacing w:after="120"/>
      </w:pPr>
      <w:r>
        <w:rPr>
          <w:rFonts w:ascii="Arial" w:cs="Arial" w:eastAsia="Arial" w:hAnsi="Arial"/>
          <w:sz w:val="22"/>
          <w:szCs w:val="22"/>
        </w:rPr>
        <w:t xml:space="preserve">A participant remains eligible for commission as long as they are on the regular payroll. Extended leave (medical, family, injury, or other) may change payroll status and commission eligibility. The participant must return to active duty and normal payroll to resume Plan eligibility on a pro-rata basis.</w:t>
      </w:r>
    </w:p>
    <w:p>
      <w:pPr>
        <w:pStyle w:val="Heading2"/>
      </w:pPr>
      <w:r>
        <w:rPr>
          <w:rFonts w:ascii="Arial" w:cs="Arial" w:eastAsia="Arial" w:hAnsi="Arial"/>
        </w:rPr>
        <w:t xml:space="preserve">6.3 Termination</w:t>
      </w:r>
    </w:p>
    <w:p>
      <w:pPr>
        <w:spacing w:after="120"/>
      </w:pPr>
      <w:r>
        <w:rPr>
          <w:rFonts w:ascii="Arial" w:cs="Arial" w:eastAsia="Arial" w:hAnsi="Arial"/>
          <w:sz w:val="22"/>
          <w:szCs w:val="22"/>
        </w:rPr>
        <w:t xml:space="preserve">A participant may resign at any time. The Company may terminate a participant according to Thai labor law and applicable regulations.</w:t>
      </w:r>
    </w:p>
    <w:p>
      <w:pPr>
        <w:spacing w:after="120"/>
      </w:pPr>
      <w:r>
        <w:rPr>
          <w:rFonts w:ascii="Arial" w:cs="Arial" w:eastAsia="Arial" w:hAnsi="Arial"/>
          <w:sz w:val="22"/>
          <w:szCs w:val="22"/>
        </w:rPr>
        <w:t xml:space="preserve">If a participant dies, becomes disabled, or retires, commissions are paid through the period of employment. A participant who voluntarily terminates employment forfeits any unpaid commissions.</w:t>
      </w:r>
    </w:p>
    <w:p>
      <w:pPr>
        <w:pStyle w:val="Heading2"/>
      </w:pPr>
      <w:r>
        <w:rPr>
          <w:rFonts w:ascii="Arial" w:cs="Arial" w:eastAsia="Arial" w:hAnsi="Arial"/>
        </w:rPr>
        <w:t xml:space="preserve">6.4 Exceptional Situations</w:t>
      </w:r>
    </w:p>
    <w:p>
      <w:pPr>
        <w:spacing w:after="120"/>
      </w:pPr>
      <w:r>
        <w:rPr>
          <w:rFonts w:ascii="Arial" w:cs="Arial" w:eastAsia="Arial" w:hAnsi="Arial"/>
          <w:sz w:val="22"/>
          <w:szCs w:val="22"/>
        </w:rPr>
        <w:t xml:space="preserve">The Company retains the right to review and adjust team or individual targets at any time to reflect: windfall gains or shortfall losses, significant price or cost changes, product schedule delays, account realignments, epidemic or force majeure events, or other unusual circumstances as determined by the CCO and CEO.</w:t>
      </w:r>
    </w:p>
    <w:p>
      <w:pPr>
        <w:pStyle w:val="Heading1"/>
      </w:pPr>
      <w:r>
        <w:rPr>
          <w:rFonts w:ascii="Arial" w:cs="Arial" w:eastAsia="Arial" w:hAnsi="Arial"/>
        </w:rPr>
        <w:t xml:space="preserve">7. Governance</w:t>
      </w:r>
    </w:p>
    <w:p>
      <w:pPr>
        <w:pStyle w:val="ListParagraph"/>
        <w:numPr>
          <w:ilvl w:val="0"/>
          <w:numId w:val="2"/>
        </w:numPr>
        <w:spacing w:after="80"/>
      </w:pPr>
      <w:r>
        <w:rPr>
          <w:rFonts w:ascii="Arial" w:cs="Arial" w:eastAsia="Arial" w:hAnsi="Arial"/>
          <w:sz w:val="22"/>
          <w:szCs w:val="22"/>
        </w:rPr>
        <w:t xml:space="preserve">The Plan is administered by SIC Finance.</w:t>
      </w:r>
    </w:p>
    <w:p>
      <w:pPr>
        <w:pStyle w:val="ListParagraph"/>
        <w:numPr>
          <w:ilvl w:val="0"/>
          <w:numId w:val="2"/>
        </w:numPr>
        <w:spacing w:after="80"/>
      </w:pPr>
      <w:r>
        <w:rPr>
          <w:rFonts w:ascii="Arial" w:cs="Arial" w:eastAsia="Arial" w:hAnsi="Arial"/>
          <w:sz w:val="22"/>
          <w:szCs w:val="22"/>
        </w:rPr>
        <w:t xml:space="preserve">The CCO determines Plan eligibility.</w:t>
      </w:r>
    </w:p>
    <w:p>
      <w:pPr>
        <w:pStyle w:val="ListParagraph"/>
        <w:numPr>
          <w:ilvl w:val="0"/>
          <w:numId w:val="2"/>
        </w:numPr>
        <w:spacing w:after="80"/>
      </w:pPr>
      <w:r>
        <w:rPr>
          <w:rFonts w:ascii="Arial" w:cs="Arial" w:eastAsia="Arial" w:hAnsi="Arial"/>
          <w:sz w:val="22"/>
          <w:szCs w:val="22"/>
        </w:rPr>
        <w:t xml:space="preserve">The CEO approves all quarterly commission payments.</w:t>
      </w:r>
    </w:p>
    <w:p>
      <w:pPr>
        <w:pStyle w:val="ListParagraph"/>
        <w:numPr>
          <w:ilvl w:val="0"/>
          <w:numId w:val="2"/>
        </w:numPr>
        <w:spacing w:after="80"/>
      </w:pPr>
      <w:r>
        <w:rPr>
          <w:rFonts w:ascii="Arial" w:cs="Arial" w:eastAsia="Arial" w:hAnsi="Arial"/>
          <w:sz w:val="22"/>
          <w:szCs w:val="22"/>
        </w:rPr>
        <w:t xml:space="preserve">The Company reserves the right to modify, suspend, or terminate the Plan at its sole discretion.</w:t>
      </w:r>
    </w:p>
    <w:p>
      <w:pPr>
        <w:pStyle w:val="ListParagraph"/>
        <w:numPr>
          <w:ilvl w:val="0"/>
          <w:numId w:val="2"/>
        </w:numPr>
        <w:spacing w:after="80"/>
      </w:pPr>
      <w:r>
        <w:rPr>
          <w:rFonts w:ascii="Arial" w:cs="Arial" w:eastAsia="Arial" w:hAnsi="Arial"/>
          <w:sz w:val="22"/>
          <w:szCs w:val="22"/>
        </w:rPr>
        <w:t xml:space="preserve">All interpretations by the Company are final.</w:t>
      </w:r>
    </w:p>
    <w:p>
      <w:pPr>
        <w:pStyle w:val="ListParagraph"/>
        <w:numPr>
          <w:ilvl w:val="0"/>
          <w:numId w:val="2"/>
        </w:numPr>
        <w:spacing w:after="120"/>
      </w:pPr>
      <w:r>
        <w:rPr>
          <w:rFonts w:ascii="Arial" w:cs="Arial" w:eastAsia="Arial" w:hAnsi="Arial"/>
          <w:sz w:val="22"/>
          <w:szCs w:val="22"/>
        </w:rPr>
        <w:t xml:space="preserve">This Plan is not a contract of employment.</w:t>
      </w:r>
    </w:p>
    <w:p>
      <w:pPr>
        <w:spacing w:after="120"/>
      </w:pPr>
      <w:r>
        <w:rPr>
          <w:rFonts w:ascii="Arial" w:cs="Arial" w:eastAsia="Arial" w:hAnsi="Arial"/>
          <w:sz w:val="22"/>
          <w:szCs w:val="22"/>
        </w:rPr>
        <w:t xml:space="preserve">The Plan shall be administered in compliance with applicable Thai law and regulations.</w:t>
      </w:r>
    </w:p>
    <w:p>
      <w:pPr>
        <w:spacing w:after="120"/>
      </w:pPr>
      <w:r>
        <w:rPr>
          <w:rFonts w:ascii="Arial" w:cs="Arial" w:eastAsia="Arial" w:hAnsi="Arial"/>
          <w:sz w:val="22"/>
          <w:szCs w:val="22"/>
        </w:rPr>
        <w:t xml:space="preserve">Disputes regarding the Plan should be raised with the CCO or HR for resolution in good faith.</w:t>
      </w:r>
    </w:p>
    <w:p>
      <w:pPr>
        <w:pStyle w:val="Heading1"/>
      </w:pPr>
      <w:r>
        <w:rPr>
          <w:rFonts w:ascii="Arial" w:cs="Arial" w:eastAsia="Arial" w:hAnsi="Arial"/>
        </w:rPr>
        <w:t xml:space="preserve">8. Individual Targets</w:t>
      </w:r>
    </w:p>
    <w:p>
      <w:pPr>
        <w:spacing w:after="120"/>
      </w:pPr>
      <w:r>
        <w:rPr>
          <w:rFonts w:ascii="Arial" w:cs="Arial" w:eastAsia="Arial" w:hAnsi="Arial"/>
          <w:sz w:val="22"/>
          <w:szCs w:val="22"/>
        </w:rPr>
        <w:t xml:space="preserve">Each participant will receive a separate communication detailing their individual annual revenue target, account assignments (Business Development vs. Account Management), and target compensation for FY2026. These individual target letters form part of the Plan and are subject to modification each plan year.</w:t>
      </w:r>
    </w:p>
    <w:p>
      <w:pPr>
        <w:spacing w:after="60"/>
      </w:pPr>
    </w:p>
    <w:p>
      <w:pPr>
        <w:spacing w:after="60"/>
      </w:pPr>
    </w:p>
    <w:p>
      <w:pPr>
        <w:pBdr>
          <w:top w:val="single" w:color="1F4E79" w:sz="6" w:space="8"/>
        </w:pBdr>
      </w:pPr>
    </w:p>
    <w:p>
      <w:pPr>
        <w:spacing w:after="60"/>
      </w:pPr>
    </w:p>
    <w:p>
      <w:pPr>
        <w:jc w:val="left"/>
      </w:pPr>
      <w:r>
        <w:rPr>
          <w:rFonts w:ascii="Arial" w:cs="Arial" w:eastAsia="Arial" w:hAnsi="Arial"/>
          <w:color w:val="666666"/>
          <w:sz w:val="20"/>
          <w:szCs w:val="20"/>
        </w:rPr>
        <w:t xml:space="preserve">Prepared by:</w:t>
      </w:r>
    </w:p>
    <w:p>
      <w:pPr>
        <w:spacing w:after="60"/>
      </w:pPr>
    </w:p>
    <w:p>
      <w:pPr>
        <w:spacing w:after="60"/>
      </w:pPr>
    </w:p>
    <w:p>
      <w:r>
        <w:rPr>
          <w:rFonts w:ascii="Arial" w:cs="Arial" w:eastAsia="Arial" w:hAnsi="Arial"/>
          <w:color w:val="666666"/>
          <w:sz w:val="20"/>
          <w:szCs w:val="20"/>
        </w:rPr>
        <w:t xml:space="preserve">________________________________________</w:t>
      </w:r>
    </w:p>
    <w:p>
      <w:r>
        <w:rPr>
          <w:rFonts w:ascii="Arial" w:cs="Arial" w:eastAsia="Arial" w:hAnsi="Arial"/>
          <w:sz w:val="20"/>
          <w:szCs w:val="20"/>
        </w:rPr>
        <w:t xml:space="preserve">Marc Spiegel, Chief Commercial Officer</w:t>
      </w:r>
    </w:p>
    <w:p>
      <w:r>
        <w:rPr>
          <w:rFonts w:ascii="Arial" w:cs="Arial" w:eastAsia="Arial" w:hAnsi="Arial"/>
          <w:color w:val="666666"/>
          <w:sz w:val="20"/>
          <w:szCs w:val="20"/>
        </w:rPr>
        <w:t xml:space="preserve">Silicon Craft Technology PLC</w:t>
      </w:r>
    </w:p>
    <w:p>
      <w:pPr>
        <w:spacing w:after="60"/>
      </w:pPr>
    </w:p>
    <w:p>
      <w:pPr>
        <w:jc w:val="left"/>
      </w:pPr>
      <w:r>
        <w:rPr>
          <w:rFonts w:ascii="Arial" w:cs="Arial" w:eastAsia="Arial" w:hAnsi="Arial"/>
          <w:color w:val="666666"/>
          <w:sz w:val="20"/>
          <w:szCs w:val="20"/>
        </w:rPr>
        <w:t xml:space="preserve">Approved by:</w:t>
      </w:r>
    </w:p>
    <w:p>
      <w:pPr>
        <w:spacing w:after="60"/>
      </w:pPr>
    </w:p>
    <w:p>
      <w:pPr>
        <w:spacing w:after="60"/>
      </w:pPr>
    </w:p>
    <w:p>
      <w:r>
        <w:rPr>
          <w:rFonts w:ascii="Arial" w:cs="Arial" w:eastAsia="Arial" w:hAnsi="Arial"/>
          <w:color w:val="666666"/>
          <w:sz w:val="20"/>
          <w:szCs w:val="20"/>
        </w:rPr>
        <w:t xml:space="preserve">________________________________________</w:t>
      </w:r>
    </w:p>
    <w:p>
      <w:r>
        <w:rPr>
          <w:rFonts w:ascii="Arial" w:cs="Arial" w:eastAsia="Arial" w:hAnsi="Arial"/>
          <w:sz w:val="20"/>
          <w:szCs w:val="20"/>
        </w:rPr>
        <w:t xml:space="preserve">CEO, Silicon Craft Technology PLC</w:t>
      </w:r>
    </w:p>
    <w:p>
      <w:r>
        <w:rPr>
          <w:rFonts w:ascii="Arial" w:cs="Arial" w:eastAsia="Arial" w:hAnsi="Arial"/>
          <w:color w:val="666666"/>
          <w:sz w:val="20"/>
          <w:szCs w:val="20"/>
        </w:rPr>
        <w:t xml:space="preserve">Date: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SIC FY2026 Sales Compensation Plan</w:t>
    </w:r>
    <w:r>
      <w:rPr>
        <w:rFonts w:ascii="Arial" w:cs="Arial" w:eastAsia="Arial" w:hAnsi="Arial"/>
        <w:color w:val="999999"/>
        <w:sz w:val="16"/>
        <w:szCs w:val="16"/>
      </w:rPr>
      <w:t xml:space="preserve">	SA_COM_2026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2026-03-08T06:26:57.340Z</dcterms:created>
  <dcterms:modified xsi:type="dcterms:W3CDTF">2026-03-08T06:26:57.340Z</dcterms:modified>
</cp:coreProperties>
</file>

<file path=docProps/custom.xml><?xml version="1.0" encoding="utf-8"?>
<Properties xmlns="http://schemas.openxmlformats.org/officeDocument/2006/custom-properties" xmlns:vt="http://schemas.openxmlformats.org/officeDocument/2006/docPropsVTypes"/>
</file>