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300"/>
        <w:jc w:val="center"/>
      </w:pPr>
      <w:r>
        <w:rPr>
          <w:rFonts w:ascii="Arial" w:cs="Arial" w:eastAsia="Arial" w:hAnsi="Arial"/>
          <w:b/>
          <w:bCs/>
          <w:color w:val="2E5090"/>
          <w:sz w:val="32"/>
          <w:szCs w:val="32"/>
        </w:rPr>
        <w:t xml:space="preserve">Job Description</w:t>
      </w:r>
    </w:p>
    <w:p>
      <w:pPr>
        <w:spacing w:after="6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Date: </w:t>
      </w:r>
      <w:r>
        <w:rPr>
          <w:rFonts w:ascii="Arial" w:cs="Arial" w:eastAsia="Arial" w:hAnsi="Arial"/>
          <w:sz w:val="22"/>
          <w:szCs w:val="22"/>
        </w:rPr>
        <w:t xml:space="preserve">March 2026</w:t>
      </w:r>
    </w:p>
    <w:p>
      <w:pPr>
        <w:spacing w:after="6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Position: </w:t>
      </w:r>
      <w:r>
        <w:rPr>
          <w:rFonts w:ascii="Arial" w:cs="Arial" w:eastAsia="Arial" w:hAnsi="Arial"/>
          <w:sz w:val="22"/>
          <w:szCs w:val="22"/>
        </w:rPr>
        <w:t xml:space="preserve">Senior Business Development Manager – Thailand &amp; ASEAN</w:t>
      </w:r>
    </w:p>
    <w:p>
      <w:pPr>
        <w:spacing w:after="6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Department: </w:t>
      </w:r>
      <w:r>
        <w:rPr>
          <w:rFonts w:ascii="Arial" w:cs="Arial" w:eastAsia="Arial" w:hAnsi="Arial"/>
          <w:sz w:val="22"/>
          <w:szCs w:val="22"/>
        </w:rPr>
        <w:t xml:space="preserve">Sales</w:t>
      </w:r>
    </w:p>
    <w:p>
      <w:pPr>
        <w:spacing w:after="6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Division: </w:t>
      </w:r>
      <w:r>
        <w:rPr>
          <w:rFonts w:ascii="Arial" w:cs="Arial" w:eastAsia="Arial" w:hAnsi="Arial"/>
          <w:sz w:val="22"/>
          <w:szCs w:val="22"/>
        </w:rPr>
        <w:t xml:space="preserve">Global Sales &amp; Marketing</w:t>
      </w:r>
    </w:p>
    <w:p>
      <w:pPr>
        <w:spacing w:after="6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Reports to: </w:t>
      </w:r>
      <w:r>
        <w:rPr>
          <w:rFonts w:ascii="Arial" w:cs="Arial" w:eastAsia="Arial" w:hAnsi="Arial"/>
          <w:sz w:val="22"/>
          <w:szCs w:val="22"/>
        </w:rPr>
        <w:t xml:space="preserve">Senior Sales Manager (Nuttapon Boonto)</w:t>
      </w:r>
    </w:p>
    <w:p>
      <w:pPr>
        <w:spacing w:after="6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Job Grade: </w:t>
      </w:r>
      <w:r>
        <w:rPr>
          <w:rFonts w:ascii="Arial" w:cs="Arial" w:eastAsia="Arial" w:hAnsi="Arial"/>
          <w:sz w:val="22"/>
          <w:szCs w:val="22"/>
        </w:rPr>
        <w:t xml:space="preserve">Senior (JG 8–10)</w:t>
      </w:r>
    </w:p>
    <w:p>
      <w:pPr>
        <w:spacing w:after="6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Location: </w:t>
      </w:r>
      <w:r>
        <w:rPr>
          <w:rFonts w:ascii="Arial" w:cs="Arial" w:eastAsia="Arial" w:hAnsi="Arial"/>
          <w:sz w:val="22"/>
          <w:szCs w:val="22"/>
        </w:rPr>
        <w:t xml:space="preserve">Bangkok, Thailand (with regional travel across ASEAN)</w:t>
      </w:r>
    </w:p>
    <w:p>
      <w:pPr>
        <w:pBdr>
          <w:bottom w:val="single" w:color="2E5090" w:sz="4" w:space="4"/>
        </w:pBdr>
        <w:spacing w:after="120" w:before="120"/>
      </w:pPr>
    </w:p>
    <w:p>
      <w:pPr>
        <w:pBdr>
          <w:bottom w:val="single" w:color="2E5090" w:sz="6" w:space="4"/>
        </w:pBdr>
        <w:spacing w:after="120" w:before="28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Company Context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Silicon Craft Technology PLC (SET: SICT) is a Thai-listed fabless semiconductor company specializing in RFID and NFC IC design. Founded in 2002 and headquartered in Bangkok, SICT has sold over 164 million chips across 40+ countries. The company’s core product families cover animal identification, automotive immobilizers, industrial IoT, advanced NFC, and sensor interfaces. SICT’s revenue for FY2024 was approximately THB 662 million (~USD 19M).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The company is pursuing a growth strategy to double revenue within 3 years, with a focus on expanding its Industrial IoT and Animal ID segments across ASEAN and globally, while building strategic semiconductor alliances with major players.</w:t>
      </w:r>
    </w:p>
    <w:p>
      <w:pPr>
        <w:pBdr>
          <w:bottom w:val="single" w:color="2E5090" w:sz="6" w:space="4"/>
        </w:pBdr>
        <w:spacing w:after="120" w:before="28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Job Purpose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Drive revenue growth across Thailand and ASEAN markets by identifying, qualifying, and closing new business opportunities. Own the full business development cycle—from market mapping and prospecting through to design-win and production ramp—across all SICT product families. Build and maintain a pipeline of OEM, system integrator, and distributor relationships that convert into sustainable, recurring revenue.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This is a senior commercial role with significant autonomy. The successful candidate will work with sales leadership to shape regional go-to-market strategy, develop strategic partnerships, and represent SICT at the executive level with customers and industry partners.</w:t>
      </w:r>
    </w:p>
    <w:p>
      <w:pPr>
        <w:pBdr>
          <w:bottom w:val="single" w:color="2E5090" w:sz="6" w:space="4"/>
        </w:pBdr>
        <w:spacing w:after="120" w:before="28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Key Accountabilities</w:t>
      </w:r>
    </w:p>
    <w:p>
      <w:pPr>
        <w:pStyle w:val="ListParagraph"/>
        <w:numPr>
          <w:ilvl w:val="0"/>
          <w:numId w:val="2"/>
        </w:numPr>
        <w:spacing w:after="100"/>
      </w:pPr>
      <w:r>
        <w:rPr>
          <w:rFonts w:ascii="Arial" w:cs="Arial" w:eastAsia="Arial" w:hAnsi="Arial"/>
          <w:sz w:val="22"/>
          <w:szCs w:val="22"/>
        </w:rPr>
        <w:t xml:space="preserve">Own the Thailand and ASEAN sales pipeline end-to-end: prospect identification, qualification, technical engagement (with application engineering support), commercial negotiation, and close.</w:t>
      </w:r>
    </w:p>
    <w:p>
      <w:pPr>
        <w:pStyle w:val="ListParagraph"/>
        <w:numPr>
          <w:ilvl w:val="0"/>
          <w:numId w:val="2"/>
        </w:numPr>
        <w:spacing w:after="100"/>
      </w:pPr>
      <w:r>
        <w:rPr>
          <w:rFonts w:ascii="Arial" w:cs="Arial" w:eastAsia="Arial" w:hAnsi="Arial"/>
          <w:sz w:val="22"/>
          <w:szCs w:val="22"/>
        </w:rPr>
        <w:t xml:space="preserve">Develop and execute a regional business development plan with quarterly targets, account prioritization, and clear win strategies for each named opportunity.</w:t>
      </w:r>
    </w:p>
    <w:p>
      <w:pPr>
        <w:pStyle w:val="ListParagraph"/>
        <w:numPr>
          <w:ilvl w:val="0"/>
          <w:numId w:val="2"/>
        </w:numPr>
        <w:spacing w:after="100"/>
      </w:pPr>
      <w:r>
        <w:rPr>
          <w:rFonts w:ascii="Arial" w:cs="Arial" w:eastAsia="Arial" w:hAnsi="Arial"/>
          <w:sz w:val="22"/>
          <w:szCs w:val="22"/>
        </w:rPr>
        <w:t xml:space="preserve">Build relationships with OEMs, tag manufacturers, system integrators, and distributors across ASEAN to create pull-through demand for SICT’s RFID/NFC ICs.</w:t>
      </w:r>
    </w:p>
    <w:p>
      <w:pPr>
        <w:pStyle w:val="ListParagraph"/>
        <w:numPr>
          <w:ilvl w:val="0"/>
          <w:numId w:val="2"/>
        </w:numPr>
        <w:spacing w:after="100"/>
      </w:pPr>
      <w:r>
        <w:rPr>
          <w:rFonts w:ascii="Arial" w:cs="Arial" w:eastAsia="Arial" w:hAnsi="Arial"/>
          <w:sz w:val="22"/>
          <w:szCs w:val="22"/>
        </w:rPr>
        <w:t xml:space="preserve">Identify and pursue strategic alliance opportunities with Tier-1 semiconductor companies (e.g., TI, NXP, Nordic, STMicroelectronics) for deal referral and co-development in niche/custom IC projects.</w:t>
      </w:r>
    </w:p>
    <w:p>
      <w:pPr>
        <w:pStyle w:val="ListParagraph"/>
        <w:numPr>
          <w:ilvl w:val="0"/>
          <w:numId w:val="2"/>
        </w:numPr>
        <w:spacing w:after="100"/>
      </w:pPr>
      <w:r>
        <w:rPr>
          <w:rFonts w:ascii="Arial" w:cs="Arial" w:eastAsia="Arial" w:hAnsi="Arial"/>
          <w:sz w:val="22"/>
          <w:szCs w:val="22"/>
        </w:rPr>
        <w:t xml:space="preserve">Provide market intelligence on competitive activity, customer requirements, pricing benchmarks, and segment trends to inform product roadmap and commercial strategy.</w:t>
      </w:r>
    </w:p>
    <w:p>
      <w:pPr>
        <w:pStyle w:val="ListParagraph"/>
        <w:numPr>
          <w:ilvl w:val="0"/>
          <w:numId w:val="2"/>
        </w:numPr>
        <w:spacing w:after="100"/>
      </w:pPr>
      <w:r>
        <w:rPr>
          <w:rFonts w:ascii="Arial" w:cs="Arial" w:eastAsia="Arial" w:hAnsi="Arial"/>
          <w:sz w:val="22"/>
          <w:szCs w:val="22"/>
        </w:rPr>
        <w:t xml:space="preserve">Coordinate closely with Customer Application Engineering to ensure technical fit, design-in support, and smooth production ramp for new accounts.</w:t>
      </w:r>
    </w:p>
    <w:p>
      <w:pPr>
        <w:pStyle w:val="ListParagraph"/>
        <w:numPr>
          <w:ilvl w:val="0"/>
          <w:numId w:val="2"/>
        </w:numPr>
        <w:spacing w:after="100"/>
      </w:pPr>
      <w:r>
        <w:rPr>
          <w:rFonts w:ascii="Arial" w:cs="Arial" w:eastAsia="Arial" w:hAnsi="Arial"/>
          <w:sz w:val="22"/>
          <w:szCs w:val="22"/>
        </w:rPr>
        <w:t xml:space="preserve">Negotiate contracts, pricing, and commercial terms in line with company policies. Manage key account relationships post-award to protect margins and grow wallet share.</w:t>
      </w:r>
    </w:p>
    <w:p>
      <w:pPr>
        <w:pStyle w:val="ListParagraph"/>
        <w:numPr>
          <w:ilvl w:val="0"/>
          <w:numId w:val="2"/>
        </w:numPr>
        <w:spacing w:after="100"/>
      </w:pPr>
      <w:r>
        <w:rPr>
          <w:rFonts w:ascii="Arial" w:cs="Arial" w:eastAsia="Arial" w:hAnsi="Arial"/>
          <w:sz w:val="22"/>
          <w:szCs w:val="22"/>
        </w:rPr>
        <w:t xml:space="preserve">Represent SICT at trade shows, industry conferences, and customer events across the region.</w:t>
      </w:r>
    </w:p>
    <w:p>
      <w:pPr>
        <w:pStyle w:val="ListParagraph"/>
        <w:numPr>
          <w:ilvl w:val="0"/>
          <w:numId w:val="2"/>
        </w:numPr>
        <w:spacing w:after="100"/>
      </w:pPr>
      <w:r>
        <w:rPr>
          <w:rFonts w:ascii="Arial" w:cs="Arial" w:eastAsia="Arial" w:hAnsi="Arial"/>
          <w:sz w:val="22"/>
          <w:szCs w:val="22"/>
        </w:rPr>
        <w:t xml:space="preserve">Maintain accurate CRM records, pipeline reports, and forecasts. Deliver weekly and monthly business reviews to sales leadership.</w:t>
      </w:r>
    </w:p>
    <w:p>
      <w:pPr>
        <w:pStyle w:val="ListParagraph"/>
        <w:numPr>
          <w:ilvl w:val="0"/>
          <w:numId w:val="2"/>
        </w:numPr>
        <w:spacing w:after="100"/>
      </w:pPr>
      <w:r>
        <w:rPr>
          <w:rFonts w:ascii="Arial" w:cs="Arial" w:eastAsia="Arial" w:hAnsi="Arial"/>
          <w:sz w:val="22"/>
          <w:szCs w:val="22"/>
        </w:rPr>
        <w:t xml:space="preserve">Contribute to marketing activities including customer case studies, segment messaging, and regional campaign planning.</w:t>
      </w:r>
    </w:p>
    <w:p>
      <w:pPr>
        <w:pBdr>
          <w:bottom w:val="single" w:color="2E5090" w:sz="6" w:space="4"/>
        </w:pBdr>
        <w:spacing w:after="120" w:before="28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Key Performance Indicators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Revenue vs. target (quarterly and annual)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Number of new design-wins secured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Pipeline coverage ratio (3x minimum)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New accounts opened per quarter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Strategic partnership engagements initiated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Gross margin on new business</w:t>
      </w:r>
    </w:p>
    <w:p>
      <w:pPr>
        <w:pBdr>
          <w:bottom w:val="single" w:color="2E5090" w:sz="6" w:space="4"/>
        </w:pBdr>
        <w:spacing w:after="120" w:before="28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Specification</w:t>
      </w:r>
    </w:p>
    <w:p>
      <w:pPr>
        <w:spacing w:after="80" w:before="16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Educational Qualifications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Bachelor’s degree in Engineering, Business, or a related technical field. MBA or advanced degree is a plus.</w:t>
      </w:r>
    </w:p>
    <w:p>
      <w:pPr>
        <w:spacing w:after="80" w:before="16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Professional Experience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Minimum 10 years in B2B business development, technical sales, or key account management.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At least 5 years selling semiconductors, electronic components, or related technology products (RFID, NFC, IoT, sensors).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Demonstrated track record of winning new business at the USD 1M+ annual level.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Experience working with OEMs, system integrators, or distributors in ASEAN markets.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Familiarity with design-win sales cycles in the semiconductor or component industry.</w:t>
      </w:r>
    </w:p>
    <w:p>
      <w:pPr>
        <w:pBdr>
          <w:bottom w:val="single" w:color="2E5090" w:sz="6" w:space="4"/>
        </w:pBdr>
        <w:spacing w:after="120" w:before="28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Other Requirements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Fluent in English (written and spoken). Thai language ability is required. Additional ASEAN languages are a plus.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Strong commercial instincts: ability to read a customer’s buying process, identify decision-makers, and structure a winning proposal.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Comfortable operating at executive level with customer C-suite and technical leadership.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Hands-on approach—willing to do the groundwork, not just manage from a distance.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Able to translate technical product capabilities into clear customer value and ROI.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Willingness to travel across ASEAN (estimated 30–40% of time).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Proficient in CRM tools, MS Office, and standard business reporting.</w:t>
      </w:r>
    </w:p>
    <w:p>
      <w:pPr>
        <w:pBdr>
          <w:bottom w:val="single" w:color="2E5090" w:sz="6" w:space="4"/>
        </w:pBdr>
        <w:spacing w:after="120" w:before="28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Preferred (Not Required)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Existing network of contacts in animal ID, automotive, industrial automation, or smart logistics segments in ASEAN.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Experience in fabless semiconductor or IC design house environments.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Understanding of RFID/NFC standards and applications (ISO 11784/85, ISO 14443, ISO 15693).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Experience managing channel partners and distribution agreements.</w:t>
      </w:r>
    </w:p>
    <w:p>
      <w:pPr>
        <w:pBdr>
          <w:bottom w:val="single" w:color="2E5090" w:sz="4" w:space="4"/>
        </w:pBdr>
        <w:spacing w:after="200" w:before="400"/>
      </w:pP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13"/>
        <w:gridCol w:w="3213"/>
        <w:gridCol w:w="3212"/>
      </w:tblGrid>
      <w:tr>
        <w:tc>
          <w:tcPr>
            <w:tcW w:type="dxa" w:w="3213"/>
            <w:tcBorders>
              <w:top w:val="none" w:sz="0"/>
              <w:left w:val="none" w:sz="0"/>
              <w:bottom w:val="none" w:sz="0"/>
              <w:right w:val="none" w:sz="0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/>
          <w:p/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(………………………………………)</w:t>
            </w:r>
          </w:p>
        </w:tc>
        <w:tc>
          <w:tcPr>
            <w:tcW w:type="dxa" w:w="3213"/>
            <w:tcBorders>
              <w:top w:val="none" w:sz="0"/>
              <w:left w:val="none" w:sz="0"/>
              <w:bottom w:val="none" w:sz="0"/>
              <w:right w:val="none" w:sz="0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/>
          <w:p/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(………………………………………)</w:t>
            </w:r>
          </w:p>
        </w:tc>
        <w:tc>
          <w:tcPr>
            <w:tcW w:type="dxa" w:w="3212"/>
            <w:tcBorders>
              <w:top w:val="none" w:sz="0"/>
              <w:left w:val="none" w:sz="0"/>
              <w:bottom w:val="none" w:sz="0"/>
              <w:right w:val="none" w:sz="0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/>
          <w:p/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(………………………………………)</w:t>
            </w:r>
          </w:p>
        </w:tc>
      </w:tr>
      <w:tr>
        <w:tc>
          <w:tcPr>
            <w:tcW w:type="dxa" w:w="3213"/>
            <w:tcBorders>
              <w:top w:val="none" w:sz="0"/>
              <w:left w:val="none" w:sz="0"/>
              <w:bottom w:val="none" w:sz="0"/>
              <w:right w:val="none" w:sz="0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Proposed by</w:t>
            </w:r>
          </w:p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Sales Department</w:t>
            </w:r>
          </w:p>
        </w:tc>
        <w:tc>
          <w:tcPr>
            <w:tcW w:type="dxa" w:w="3213"/>
            <w:tcBorders>
              <w:top w:val="none" w:sz="0"/>
              <w:left w:val="none" w:sz="0"/>
              <w:bottom w:val="none" w:sz="0"/>
              <w:right w:val="none" w:sz="0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Reviewed by</w:t>
            </w:r>
          </w:p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CCO</w:t>
            </w:r>
          </w:p>
        </w:tc>
        <w:tc>
          <w:tcPr>
            <w:tcW w:type="dxa" w:w="3212"/>
            <w:tcBorders>
              <w:top w:val="none" w:sz="0"/>
              <w:left w:val="none" w:sz="0"/>
              <w:bottom w:val="none" w:sz="0"/>
              <w:right w:val="none" w:sz="0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Approved by</w:t>
            </w:r>
          </w:p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CEO</w:t>
            </w:r>
          </w:p>
        </w:tc>
      </w:tr>
    </w:tbl>
    <w:sectPr>
      <w:headerReference w:type="default" r:id="rId7"/>
      <w:footerReference w:type="default" r:id="rId8"/>
      <w:pgSz w:w="11906" w:h="16838" w:orient="portrait"/>
      <w:pgMar w:top="1134" w:right="1134" w:bottom="1134" w:left="1134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Arial" w:cs="Arial" w:eastAsia="Arial" w:hAnsi="Arial"/>
        <w:color w:val="999999"/>
        <w:sz w:val="16"/>
        <w:szCs w:val="16"/>
      </w:rPr>
      <w:t xml:space="preserve">Page </w:t>
    </w:r>
    <w:r>
      <w:rPr>
        <w:rFonts w:ascii="Arial" w:cs="Arial" w:eastAsia="Arial" w:hAnsi="Arial"/>
        <w:color w:val="999999"/>
        <w:sz w:val="16"/>
        <w:szCs w:val="16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jc w:val="left"/>
    </w:pPr>
    <w:r>
      <w:rPr>
        <w:rFonts w:ascii="Arial" w:cs="Arial" w:eastAsia="Arial" w:hAnsi="Arial"/>
        <w:i/>
        <w:iCs/>
        <w:color w:val="666666"/>
        <w:sz w:val="18"/>
        <w:szCs w:val="18"/>
      </w:rPr>
      <w:t xml:space="preserve">Silicon Craft Technology PLC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04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504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  <w:num w:numId="3">
    <w:abstractNumId w:val="3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2026-03-11T06:44:16.371Z</dcterms:created>
  <dcterms:modified xsi:type="dcterms:W3CDTF">2026-03-11T06:44:16.372Z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