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rFonts w:ascii="Arial" w:cs="Arial" w:eastAsia="Arial" w:hAnsi="Arial"/>
          <w:b/>
          <w:bCs/>
          <w:caps/>
          <w:color w:val="7F8C8D"/>
          <w:sz w:val="28"/>
          <w:szCs w:val="28"/>
        </w:rPr>
        <w:t xml:space="preserve">SILICON CRAFT TECHNOLOGY</w:t>
      </w:r>
    </w:p>
    <w:p>
      <w:pPr>
        <w:spacing w:after="120"/>
        <w:jc w:val="center"/>
      </w:pPr>
      <w:r>
        <w:rPr>
          <w:rFonts w:ascii="Arial" w:cs="Arial" w:eastAsia="Arial" w:hAnsi="Arial"/>
          <w:b/>
          <w:bCs/>
          <w:color w:val="1B4F72"/>
          <w:sz w:val="56"/>
          <w:szCs w:val="56"/>
        </w:rPr>
        <w:t xml:space="preserve">Q2 FY2026</w:t>
      </w:r>
    </w:p>
    <w:p>
      <w:pPr>
        <w:spacing w:after="80"/>
        <w:jc w:val="center"/>
      </w:pPr>
      <w:r>
        <w:rPr>
          <w:rFonts w:ascii="Arial" w:cs="Arial" w:eastAsia="Arial" w:hAnsi="Arial"/>
          <w:b/>
          <w:bCs/>
          <w:color w:val="0D3B66"/>
          <w:sz w:val="44"/>
          <w:szCs w:val="44"/>
        </w:rPr>
        <w:t xml:space="preserve">Sales Coaching Playbook</w:t>
      </w:r>
    </w:p>
    <w:p>
      <w:pPr>
        <w:spacing w:after="400"/>
        <w:jc w:val="center"/>
      </w:pPr>
      <w:r>
        <w:rPr>
          <w:rFonts w:ascii="Arial" w:cs="Arial" w:eastAsia="Arial" w:hAnsi="Arial"/>
          <w:color w:val="7F8C8D"/>
          <w:sz w:val="24"/>
          <w:szCs w:val="24"/>
        </w:rPr>
        <w:t xml:space="preserve">Revenue Recovery &amp; Pipeline Development Process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c>
          <w:tcPr>
            <w:tcW w:type="dxa" w:w="2000"/>
            <w:tcBorders>
              <w:top w:val="none" w:sz="0"/>
              <w:left w:val="none" w:sz="0"/>
              <w:bottom w:val="none" w:sz="0"/>
              <w:right w:val="none" w:sz="0"/>
            </w:tcBorders>
            <w:shd w:fill="C0392B" w:val="clear"/>
            <w:tcMar>
              <w:top w:type="dxa" w:w="120"/>
              <w:left w:type="dxa" w:w="80"/>
              <w:bottom w:type="dxa" w:w="120"/>
              <w:right w:type="dxa" w:w="80"/>
            </w:tcMar>
          </w:tcPr>
          <w:p>
            <w:pPr>
              <w:jc w:val="center"/>
            </w:pPr>
            <w:r>
              <w:rPr>
                <w:rFonts w:ascii="Arial" w:cs="Arial" w:eastAsia="Arial" w:hAnsi="Arial"/>
                <w:b/>
                <w:bCs/>
                <w:color w:val="FFFFFF"/>
                <w:sz w:val="16"/>
                <w:szCs w:val="16"/>
              </w:rPr>
              <w:t xml:space="preserve">Q2 GAP</w:t>
            </w:r>
          </w:p>
          <w:p>
            <w:pPr>
              <w:jc w:val="center"/>
            </w:pPr>
            <w:r>
              <w:rPr>
                <w:rFonts w:ascii="Arial" w:cs="Arial" w:eastAsia="Arial" w:hAnsi="Arial"/>
                <w:b/>
                <w:bCs/>
                <w:color w:val="FFFFFF"/>
                <w:sz w:val="28"/>
                <w:szCs w:val="28"/>
              </w:rPr>
              <w:t xml:space="preserve">-$0.81M</w:t>
            </w:r>
          </w:p>
        </w:tc>
        <w:tc>
          <w:tcPr>
            <w:tcW w:type="dxa" w:w="2000"/>
            <w:tcBorders>
              <w:top w:val="none" w:sz="0"/>
              <w:left w:val="none" w:sz="0"/>
              <w:bottom w:val="none" w:sz="0"/>
              <w:right w:val="none" w:sz="0"/>
            </w:tcBorders>
            <w:shd w:fill="D68910" w:val="clear"/>
            <w:tcMar>
              <w:top w:type="dxa" w:w="120"/>
              <w:left w:type="dxa" w:w="80"/>
              <w:bottom w:type="dxa" w:w="120"/>
              <w:right w:type="dxa" w:w="80"/>
            </w:tcMar>
          </w:tcPr>
          <w:p>
            <w:pPr>
              <w:jc w:val="center"/>
            </w:pPr>
            <w:r>
              <w:rPr>
                <w:rFonts w:ascii="Arial" w:cs="Arial" w:eastAsia="Arial" w:hAnsi="Arial"/>
                <w:b/>
                <w:bCs/>
                <w:color w:val="FFFFFF"/>
                <w:sz w:val="16"/>
                <w:szCs w:val="16"/>
              </w:rPr>
              <w:t xml:space="preserve">SO COVERAGE</w:t>
            </w:r>
          </w:p>
          <w:p>
            <w:pPr>
              <w:jc w:val="center"/>
            </w:pPr>
            <w:r>
              <w:rPr>
                <w:rFonts w:ascii="Arial" w:cs="Arial" w:eastAsia="Arial" w:hAnsi="Arial"/>
                <w:b/>
                <w:bCs/>
                <w:color w:val="FFFFFF"/>
                <w:sz w:val="28"/>
                <w:szCs w:val="28"/>
              </w:rPr>
              <w:t xml:space="preserve">72.2%</w:t>
            </w:r>
          </w:p>
        </w:tc>
        <w:tc>
          <w:tcPr>
            <w:tcW w:type="dxa" w:w="2000"/>
            <w:tcBorders>
              <w:top w:val="none" w:sz="0"/>
              <w:left w:val="none" w:sz="0"/>
              <w:bottom w:val="none" w:sz="0"/>
              <w:right w:val="none" w:sz="0"/>
            </w:tcBorders>
            <w:shd w:fill="1B4F72" w:val="clear"/>
            <w:tcMar>
              <w:top w:type="dxa" w:w="120"/>
              <w:left w:type="dxa" w:w="80"/>
              <w:bottom w:type="dxa" w:w="120"/>
              <w:right w:type="dxa" w:w="80"/>
            </w:tcMar>
          </w:tcPr>
          <w:p>
            <w:pPr>
              <w:jc w:val="center"/>
            </w:pPr>
            <w:r>
              <w:rPr>
                <w:rFonts w:ascii="Arial" w:cs="Arial" w:eastAsia="Arial" w:hAnsi="Arial"/>
                <w:b/>
                <w:bCs/>
                <w:color w:val="FFFFFF"/>
                <w:sz w:val="16"/>
                <w:szCs w:val="16"/>
              </w:rPr>
              <w:t xml:space="preserve">FY GAP</w:t>
            </w:r>
          </w:p>
          <w:p>
            <w:pPr>
              <w:jc w:val="center"/>
            </w:pPr>
            <w:r>
              <w:rPr>
                <w:rFonts w:ascii="Arial" w:cs="Arial" w:eastAsia="Arial" w:hAnsi="Arial"/>
                <w:b/>
                <w:bCs/>
                <w:color w:val="FFFFFF"/>
                <w:sz w:val="28"/>
                <w:szCs w:val="28"/>
              </w:rPr>
              <w:t xml:space="preserve">-$2.90M</w:t>
            </w:r>
          </w:p>
        </w:tc>
        <w:tc>
          <w:tcPr>
            <w:tcW w:type="dxa" w:w="2000"/>
            <w:tcBorders>
              <w:top w:val="none" w:sz="0"/>
              <w:left w:val="none" w:sz="0"/>
              <w:bottom w:val="none" w:sz="0"/>
              <w:right w:val="none" w:sz="0"/>
            </w:tcBorders>
            <w:shd w:fill="27AE60" w:val="clear"/>
            <w:tcMar>
              <w:top w:type="dxa" w:w="120"/>
              <w:left w:type="dxa" w:w="80"/>
              <w:bottom w:type="dxa" w:w="120"/>
              <w:right w:type="dxa" w:w="80"/>
            </w:tcMar>
          </w:tcPr>
          <w:p>
            <w:pPr>
              <w:jc w:val="center"/>
            </w:pPr>
            <w:r>
              <w:rPr>
                <w:rFonts w:ascii="Arial" w:cs="Arial" w:eastAsia="Arial" w:hAnsi="Arial"/>
                <w:b/>
                <w:bCs/>
                <w:color w:val="FFFFFF"/>
                <w:sz w:val="16"/>
                <w:szCs w:val="16"/>
              </w:rPr>
              <w:t xml:space="preserve">B2B RATIO</w:t>
            </w:r>
          </w:p>
          <w:p>
            <w:pPr>
              <w:jc w:val="center"/>
            </w:pPr>
            <w:r>
              <w:rPr>
                <w:rFonts w:ascii="Arial" w:cs="Arial" w:eastAsia="Arial" w:hAnsi="Arial"/>
                <w:b/>
                <w:bCs/>
                <w:color w:val="FFFFFF"/>
                <w:sz w:val="28"/>
                <w:szCs w:val="28"/>
              </w:rPr>
              <w:t xml:space="preserve">0.63x</w:t>
            </w:r>
          </w:p>
        </w:tc>
      </w:tr>
    </w:tbl>
    <w:p>
      <w:pPr>
        <w:spacing w:after="600"/>
      </w:pPr>
    </w:p>
    <w:p>
      <w:pPr>
        <w:spacing w:after="60"/>
        <w:jc w:val="center"/>
      </w:pPr>
      <w:r>
        <w:rPr>
          <w:rFonts w:ascii="Arial" w:cs="Arial" w:eastAsia="Arial" w:hAnsi="Arial"/>
          <w:color w:val="7F8C8D"/>
          <w:sz w:val="20"/>
          <w:szCs w:val="20"/>
        </w:rPr>
        <w:t xml:space="preserve">Data as of March 17, 2026  |  Prepared for Sales Management</w:t>
      </w:r>
    </w:p>
    <w:p>
      <w:pPr>
        <w:jc w:val="center"/>
      </w:pPr>
      <w:r>
        <w:rPr>
          <w:rFonts w:ascii="Arial" w:cs="Arial" w:eastAsia="Arial" w:hAnsi="Arial"/>
          <w:i/>
          <w:iCs/>
          <w:color w:val="95A5A6"/>
          <w:sz w:val="18"/>
          <w:szCs w:val="18"/>
        </w:rPr>
        <w:t xml:space="preserve">For use in weekly 1:1 coaching sessions and Monday pipeline reviews</w:t>
      </w:r>
    </w:p>
    <w:p>
      <w:pPr>
        <w:sectPr>
          <w:headerReference w:type="default" r:id="rId7"/>
          <w:pgSz w:w="12240" w:h="15840" w:orient="portrait"/>
          <w:pgMar w:top="1080" w:right="1080" w:bottom="1080" w:left="1080" w:header="708" w:footer="708" w:gutter="0"/>
          <w:pgNumType/>
          <w:docGrid w:linePitch="360"/>
        </w:sectPr>
      </w:pPr>
    </w:p>
    <w:p>
      <w:pPr>
        <w:pStyle w:val="Heading1"/>
        <w:spacing w:after="120" w:before="360"/>
      </w:pPr>
      <w:r>
        <w:rPr>
          <w:rFonts w:ascii="Arial" w:cs="Arial" w:eastAsia="Arial" w:hAnsi="Arial"/>
          <w:b/>
          <w:bCs/>
          <w:color w:val="1B4F72"/>
          <w:sz w:val="32"/>
          <w:szCs w:val="32"/>
        </w:rPr>
        <w:t xml:space="preserve">1. Situation Assessment: Where We Stand</w:t>
      </w:r>
    </w:p>
    <w:p>
      <w:pPr>
        <w:spacing w:after="120"/>
      </w:pPr>
      <w:r>
        <w:rPr>
          <w:rFonts w:ascii="Arial" w:cs="Arial" w:eastAsia="Arial" w:hAnsi="Arial"/>
          <w:color w:val="2C3E50"/>
          <w:sz w:val="21"/>
          <w:szCs w:val="21"/>
        </w:rPr>
        <w:t xml:space="preserve">This playbook gives you a structured, data-driven coaching process to close the Q2 revenue gap and build pipeline for H2. Every number below comes directly from the Mar 17 dashboard.</w:t>
      </w:r>
    </w:p>
    <w:p>
      <w:pPr>
        <w:spacing w:after="60"/>
      </w:pPr>
    </w:p>
    <w:p>
      <w:pPr>
        <w:pStyle w:val="Heading2"/>
        <w:spacing w:after="120" w:before="240"/>
      </w:pPr>
      <w:r>
        <w:rPr>
          <w:rFonts w:ascii="Arial" w:cs="Arial" w:eastAsia="Arial" w:hAnsi="Arial"/>
          <w:b/>
          <w:bCs/>
          <w:color w:val="0D3B66"/>
          <w:sz w:val="26"/>
          <w:szCs w:val="26"/>
        </w:rPr>
        <w:t xml:space="preserve">Q2 At-a-Glance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Metric</w:t>
            </w:r>
          </w:p>
        </w:tc>
        <w:tc>
          <w:tcPr>
            <w:tcW w:type="dxa" w:w="25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c>
          <w:tcPr>
            <w:tcW w:type="dxa" w:w="25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vs Budget</w:t>
            </w:r>
          </w:p>
        </w:tc>
        <w:tc>
          <w:tcPr>
            <w:tcW w:type="dxa" w:w="25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w:t>
            </w:r>
          </w:p>
        </w:tc>
      </w:tr>
      <w:tr>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Q2 Budget</w:t>
            </w:r>
          </w:p>
        </w:tc>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$5.53M</w:t>
            </w:r>
          </w:p>
        </w:tc>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w:t>
            </w:r>
          </w:p>
        </w:tc>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Baseline</w:t>
            </w:r>
          </w:p>
        </w:tc>
      </w:tr>
      <w:tr>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Q2 80% FCST</w:t>
            </w:r>
          </w:p>
        </w:tc>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2C3E50"/>
                <w:sz w:val="18"/>
                <w:szCs w:val="18"/>
              </w:rPr>
              <w:t xml:space="preserve">$4.72M</w:t>
            </w:r>
          </w:p>
        </w:tc>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D68910"/>
                <w:sz w:val="18"/>
                <w:szCs w:val="18"/>
              </w:rPr>
              <w:t xml:space="preserve">85.4%</w:t>
            </w:r>
          </w:p>
        </w:tc>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D68910"/>
                <w:sz w:val="18"/>
                <w:szCs w:val="18"/>
              </w:rPr>
              <w:t xml:space="preserve">AT RISK</w:t>
            </w:r>
          </w:p>
        </w:tc>
      </w:tr>
      <w:tr>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Q2 Open SO</w:t>
            </w:r>
          </w:p>
        </w:tc>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2C3E50"/>
                <w:sz w:val="18"/>
                <w:szCs w:val="18"/>
              </w:rPr>
              <w:t xml:space="preserve">$3.99M</w:t>
            </w:r>
          </w:p>
        </w:tc>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D68910"/>
                <w:sz w:val="18"/>
                <w:szCs w:val="18"/>
              </w:rPr>
              <w:t xml:space="preserve">72.2%</w:t>
            </w:r>
          </w:p>
        </w:tc>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C0392B"/>
                <w:sz w:val="18"/>
                <w:szCs w:val="18"/>
              </w:rPr>
              <w:t xml:space="preserve">Need +$1.54M</w:t>
            </w:r>
          </w:p>
        </w:tc>
      </w:tr>
      <w:tr>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Q2 Gap (FCST-Budget)</w:t>
            </w:r>
          </w:p>
        </w:tc>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C0392B"/>
                <w:sz w:val="18"/>
                <w:szCs w:val="18"/>
              </w:rPr>
              <w:t xml:space="preserve">-$0.81M</w:t>
            </w:r>
          </w:p>
        </w:tc>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C0392B"/>
                <w:sz w:val="18"/>
                <w:szCs w:val="18"/>
              </w:rPr>
              <w:t xml:space="preserve">-14.6%</w:t>
            </w:r>
          </w:p>
        </w:tc>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7AE60"/>
                <w:sz w:val="18"/>
                <w:szCs w:val="18"/>
              </w:rPr>
              <w:t xml:space="preserve">Recoverable</w:t>
            </w:r>
          </w:p>
        </w:tc>
      </w:tr>
      <w:tr>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Book-to-Bill (YTD)</w:t>
            </w:r>
          </w:p>
        </w:tc>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D68910"/>
                <w:sz w:val="18"/>
                <w:szCs w:val="18"/>
              </w:rPr>
              <w:t xml:space="preserve">0.63x</w:t>
            </w:r>
          </w:p>
        </w:tc>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Target: 1.0x</w:t>
            </w:r>
          </w:p>
        </w:tc>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D68910"/>
                <w:sz w:val="18"/>
                <w:szCs w:val="18"/>
              </w:rPr>
              <w:t xml:space="preserve">Improving</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sz="0"/>
              <w:left w:val="single" w:color="D68910" w:sz="12"/>
              <w:bottom w:val="none" w:sz="0"/>
              <w:right w:val="none" w:sz="0"/>
            </w:tcBorders>
          </w:tcPr>
          <w:p/>
        </w:tc>
        <w:tc>
          <w:tcPr>
            <w:tcW w:type="dxa" w:w="9960"/>
            <w:tcBorders>
              <w:top w:val="none" w:sz="0"/>
              <w:left w:val="none" w:sz="0"/>
              <w:bottom w:val="none" w:sz="0"/>
              <w:right w:val="none" w:sz="0"/>
            </w:tcBorders>
            <w:shd w:fill="F2F3F4" w:val="clear"/>
            <w:tcMar>
              <w:top w:type="dxa" w:w="120"/>
              <w:left w:type="dxa" w:w="200"/>
              <w:bottom w:type="dxa" w:w="120"/>
              <w:right w:type="dxa" w:w="200"/>
            </w:tcMar>
          </w:tcPr>
          <w:p>
            <w:pPr>
              <w:spacing w:after="60"/>
            </w:pPr>
            <w:r>
              <w:rPr>
                <w:rFonts w:ascii="Arial" w:cs="Arial" w:eastAsia="Arial" w:hAnsi="Arial"/>
                <w:b/>
                <w:bCs/>
                <w:color w:val="D68910"/>
                <w:sz w:val="22"/>
                <w:szCs w:val="22"/>
              </w:rPr>
              <w:t xml:space="preserve">Key Insight</w:t>
            </w:r>
          </w:p>
          <w:p>
            <w:pPr>
              <w:spacing w:after="60"/>
            </w:pPr>
            <w:r>
              <w:rPr>
                <w:rFonts w:ascii="Arial" w:cs="Arial" w:eastAsia="Arial" w:hAnsi="Arial"/>
                <w:color w:val="2C3E50"/>
                <w:sz w:val="21"/>
                <w:szCs w:val="21"/>
              </w:rPr>
              <w:t xml:space="preserve">Q2 is recoverable but requires immediate action. The $0.81M gap is concentrated in 3 deals: STRATTEC ($680K potential), Freevision SIC5777 ($294K), and KKP Bank NFC ($200K). If even one converts, Q2 shifts from AT RISK to ON TRACK.</w:t>
            </w:r>
          </w:p>
          <w:p>
            <w:pPr>
              <w:spacing w:after="60"/>
            </w:pPr>
            <w:r>
              <w:rPr>
                <w:rFonts w:ascii="Arial" w:cs="Arial" w:eastAsia="Arial" w:hAnsi="Arial"/>
                <w:color w:val="2C3E50"/>
                <w:sz w:val="21"/>
                <w:szCs w:val="21"/>
              </w:rPr>
              <w:t xml:space="preserve">Book-to-Bill at 0.63x means we are shipping faster than booking. This is normal for Q1 (2025 backlog), but must reverse in Q2 to sustain H2.</w:t>
            </w:r>
          </w:p>
        </w:tc>
      </w:tr>
    </w:tbl>
    <w:p>
      <w:pPr>
        <w:spacing w:after="200"/>
      </w:pPr>
    </w:p>
    <w:p>
      <w:pPr>
        <w:pStyle w:val="Heading1"/>
        <w:spacing w:after="120" w:before="360"/>
      </w:pPr>
      <w:r>
        <w:rPr>
          <w:rFonts w:ascii="Arial" w:cs="Arial" w:eastAsia="Arial" w:hAnsi="Arial"/>
          <w:b/>
          <w:bCs/>
          <w:color w:val="1B4F72"/>
          <w:sz w:val="32"/>
          <w:szCs w:val="32"/>
        </w:rPr>
        <w:t xml:space="preserve">2. Rep-by-Rep Coaching Cards</w:t>
      </w:r>
    </w:p>
    <w:p>
      <w:pPr>
        <w:spacing w:after="120"/>
      </w:pPr>
      <w:r>
        <w:rPr>
          <w:rFonts w:ascii="Arial" w:cs="Arial" w:eastAsia="Arial" w:hAnsi="Arial"/>
          <w:color w:val="2C3E50"/>
          <w:sz w:val="21"/>
          <w:szCs w:val="21"/>
        </w:rPr>
        <w:t xml:space="preserve">Use these in your weekly 1:1s. Each card shows the rep's position, their specific gap, and the exact conversations to coach on.</w:t>
      </w:r>
    </w:p>
    <w:p>
      <w:pPr>
        <w:spacing w:after="60"/>
      </w:pPr>
    </w:p>
    <w:p>
      <w:pPr>
        <w:pStyle w:val="Heading2"/>
        <w:spacing w:after="120" w:before="240"/>
      </w:pPr>
      <w:r>
        <w:rPr>
          <w:rFonts w:ascii="Arial" w:cs="Arial" w:eastAsia="Arial" w:hAnsi="Arial"/>
          <w:b/>
          <w:bCs/>
          <w:color w:val="0D3B66"/>
          <w:sz w:val="26"/>
          <w:szCs w:val="26"/>
        </w:rPr>
        <w:t xml:space="preserve">SHAN  |  OFF TRACK  |  Gap: -$278K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Budget</w:t>
            </w:r>
          </w:p>
        </w:tc>
        <w:tc>
          <w:tcPr>
            <w:tcW w:type="dxa" w:w="25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FCST (80%)</w:t>
            </w:r>
          </w:p>
        </w:tc>
        <w:tc>
          <w:tcPr>
            <w:tcW w:type="dxa" w:w="25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YTD Actual</w:t>
            </w:r>
          </w:p>
        </w:tc>
        <w:tc>
          <w:tcPr>
            <w:tcW w:type="dxa" w:w="25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Open SO</w:t>
            </w:r>
          </w:p>
        </w:tc>
      </w:tr>
      <w:tr>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$0.44M</w:t>
            </w:r>
          </w:p>
        </w:tc>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C0392B"/>
                <w:sz w:val="18"/>
                <w:szCs w:val="18"/>
              </w:rPr>
              <w:t xml:space="preserve">$0.16M (37%)</w:t>
            </w:r>
          </w:p>
        </w:tc>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$0.02M</w:t>
            </w:r>
          </w:p>
        </w:tc>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$0.14M</w:t>
            </w:r>
          </w:p>
        </w:tc>
      </w:tr>
    </w:tbl>
    <w:p>
      <w:pPr>
        <w:spacing w:after="60"/>
      </w:pPr>
    </w:p>
    <w:p>
      <w:pPr>
        <w:spacing w:after="120"/>
      </w:pPr>
      <w:r>
        <w:rPr>
          <w:rFonts w:ascii="Arial" w:cs="Arial" w:eastAsia="Arial" w:hAnsi="Arial"/>
          <w:color w:val="2C3E50"/>
          <w:sz w:val="21"/>
          <w:szCs w:val="21"/>
        </w:rPr>
        <w:t xml:space="preserve"/>
      </w:r>
      <w:r>
        <w:rPr>
          <w:rFonts w:ascii="Arial" w:cs="Arial" w:eastAsia="Arial" w:hAnsi="Arial"/>
          <w:b/>
          <w:bCs/>
          <w:color w:val="000000"/>
          <w:sz w:val="21"/>
          <w:szCs w:val="21"/>
        </w:rPr>
        <w:t xml:space="preserve">Diagnosis:</w:t>
      </w:r>
      <w:r>
        <w:rPr>
          <w:rFonts w:ascii="Arial" w:cs="Arial" w:eastAsia="Arial" w:hAnsi="Arial"/>
          <w:color w:val="2C3E50"/>
          <w:sz w:val="21"/>
          <w:szCs w:val="21"/>
        </w:rPr>
        <w:t xml:space="preserve"> Shan is the most critical coaching priority. At 37% FCST-to-budget, this is the only rep in RED. But the single STRATTEC qualification ($680K across 4 products ULTX/THV46) represents more than the entire budget. This is a qualification-stage deal that needs process discipline, not more prospecting.</w:t>
      </w:r>
    </w:p>
    <w:p>
      <w:pPr>
        <w:spacing w:after="40"/>
      </w:pPr>
    </w:p>
    <w:p>
      <w:pPr>
        <w:spacing w:after="120"/>
      </w:pPr>
      <w:r>
        <w:rPr>
          <w:rFonts w:ascii="Arial" w:cs="Arial" w:eastAsia="Arial" w:hAnsi="Arial"/>
          <w:color w:val="2C3E50"/>
          <w:sz w:val="21"/>
          <w:szCs w:val="21"/>
        </w:rPr>
        <w:t xml:space="preserve"/>
      </w:r>
      <w:r>
        <w:rPr>
          <w:rFonts w:ascii="Arial" w:cs="Arial" w:eastAsia="Arial" w:hAnsi="Arial"/>
          <w:b/>
          <w:bCs/>
          <w:color w:val="000000"/>
          <w:sz w:val="21"/>
          <w:szCs w:val="21"/>
        </w:rPr>
        <w:t xml:space="preserve">Coaching Focus for 1:1s:</w:t>
      </w:r>
      <w:r>
        <w:rPr>
          <w:rFonts w:ascii="Arial" w:cs="Arial" w:eastAsia="Arial" w:hAnsi="Arial"/>
          <w:color w:val="2C3E50"/>
          <w:sz w:val="21"/>
          <w:szCs w:val="21"/>
        </w:rPr>
        <w:t xml:space="preserve"/>
      </w:r>
    </w:p>
    <w:p>
      <w:pPr>
        <w:pStyle w:val="ListParagraph"/>
        <w:numPr>
          <w:ilvl w:val="0"/>
          <w:numId w:val="2"/>
        </w:numPr>
        <w:spacing w:after="80"/>
      </w:pPr>
      <w:r>
        <w:rPr>
          <w:rFonts w:ascii="Arial" w:cs="Arial" w:eastAsia="Arial" w:hAnsi="Arial"/>
          <w:color w:val="2C3E50"/>
          <w:sz w:val="21"/>
          <w:szCs w:val="21"/>
        </w:rPr>
        <w:t xml:space="preserve"/>
      </w:r>
      <w:r>
        <w:rPr>
          <w:rFonts w:ascii="Arial" w:cs="Arial" w:eastAsia="Arial" w:hAnsi="Arial"/>
          <w:b/>
          <w:bCs/>
          <w:color w:val="2C3E50"/>
          <w:sz w:val="21"/>
          <w:szCs w:val="21"/>
        </w:rPr>
        <w:t xml:space="preserve">STRATTEC (the $680K swing):</w:t>
      </w:r>
      <w:r>
        <w:rPr>
          <w:rFonts w:ascii="Arial" w:cs="Arial" w:eastAsia="Arial" w:hAnsi="Arial"/>
          <w:color w:val="2C3E50"/>
          <w:sz w:val="21"/>
          <w:szCs w:val="21"/>
        </w:rPr>
        <w:t xml:space="preserve"> Coach Shan through the qualification milestones. What are the 4 products? Where is each in the eval cycle? Who is the decision-maker vs. technical evaluator? Get a written commitment timeline from the customer for Q2 purchase plan.</w:t>
      </w:r>
    </w:p>
    <w:p>
      <w:pPr>
        <w:pStyle w:val="ListParagraph"/>
        <w:numPr>
          <w:ilvl w:val="0"/>
          <w:numId w:val="2"/>
        </w:numPr>
        <w:spacing w:after="80"/>
      </w:pPr>
      <w:r>
        <w:rPr>
          <w:rFonts w:ascii="Arial" w:cs="Arial" w:eastAsia="Arial" w:hAnsi="Arial"/>
          <w:color w:val="2C3E50"/>
          <w:sz w:val="21"/>
          <w:szCs w:val="21"/>
        </w:rPr>
        <w:t xml:space="preserve"/>
      </w:r>
      <w:r>
        <w:rPr>
          <w:rFonts w:ascii="Arial" w:cs="Arial" w:eastAsia="Arial" w:hAnsi="Arial"/>
          <w:b/>
          <w:bCs/>
          <w:color w:val="2C3E50"/>
          <w:sz w:val="21"/>
          <w:szCs w:val="21"/>
        </w:rPr>
        <w:t xml:space="preserve">TYMA Animal ID encoder:</w:t>
      </w:r>
      <w:r>
        <w:rPr>
          <w:rFonts w:ascii="Arial" w:cs="Arial" w:eastAsia="Arial" w:hAnsi="Arial"/>
          <w:color w:val="2C3E50"/>
          <w:sz w:val="21"/>
          <w:szCs w:val="21"/>
        </w:rPr>
        <w:t xml:space="preserve"> Secondary opportunity. What is the realistic $ value? When does the eval complete? This is pipeline development, not Q2 recovery.</w:t>
      </w:r>
    </w:p>
    <w:p>
      <w:pPr>
        <w:pStyle w:val="ListParagraph"/>
        <w:numPr>
          <w:ilvl w:val="0"/>
          <w:numId w:val="2"/>
        </w:numPr>
        <w:spacing w:after="80"/>
      </w:pPr>
      <w:r>
        <w:rPr>
          <w:rFonts w:ascii="Arial" w:cs="Arial" w:eastAsia="Arial" w:hAnsi="Arial"/>
          <w:color w:val="2C3E50"/>
          <w:sz w:val="21"/>
          <w:szCs w:val="21"/>
        </w:rPr>
        <w:t xml:space="preserve"/>
      </w:r>
      <w:r>
        <w:rPr>
          <w:rFonts w:ascii="Arial" w:cs="Arial" w:eastAsia="Arial" w:hAnsi="Arial"/>
          <w:b/>
          <w:bCs/>
          <w:color w:val="2C3E50"/>
          <w:sz w:val="21"/>
          <w:szCs w:val="21"/>
        </w:rPr>
        <w:t xml:space="preserve">Weekly ask:</w:t>
      </w:r>
      <w:r>
        <w:rPr>
          <w:rFonts w:ascii="Arial" w:cs="Arial" w:eastAsia="Arial" w:hAnsi="Arial"/>
          <w:color w:val="2C3E50"/>
          <w:sz w:val="21"/>
          <w:szCs w:val="21"/>
        </w:rPr>
        <w:t xml:space="preserve"> What specific blocker did you remove this week on STRATTEC? Show me the customer's test schedule.</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sz="0"/>
              <w:left w:val="single" w:color="C0392B" w:sz="12"/>
              <w:bottom w:val="none" w:sz="0"/>
              <w:right w:val="none" w:sz="0"/>
            </w:tcBorders>
          </w:tcPr>
          <w:p/>
        </w:tc>
        <w:tc>
          <w:tcPr>
            <w:tcW w:type="dxa" w:w="9960"/>
            <w:tcBorders>
              <w:top w:val="none" w:sz="0"/>
              <w:left w:val="none" w:sz="0"/>
              <w:bottom w:val="none" w:sz="0"/>
              <w:right w:val="none" w:sz="0"/>
            </w:tcBorders>
            <w:shd w:fill="F2F3F4" w:val="clear"/>
            <w:tcMar>
              <w:top w:type="dxa" w:w="120"/>
              <w:left w:type="dxa" w:w="200"/>
              <w:bottom w:type="dxa" w:w="120"/>
              <w:right w:type="dxa" w:w="200"/>
            </w:tcMar>
          </w:tcPr>
          <w:p>
            <w:pPr>
              <w:spacing w:after="60"/>
            </w:pPr>
            <w:r>
              <w:rPr>
                <w:rFonts w:ascii="Arial" w:cs="Arial" w:eastAsia="Arial" w:hAnsi="Arial"/>
                <w:b/>
                <w:bCs/>
                <w:color w:val="C0392B"/>
                <w:sz w:val="22"/>
                <w:szCs w:val="22"/>
              </w:rPr>
              <w:t xml:space="preserve">Coaching Question for Shan</w:t>
            </w:r>
          </w:p>
          <w:p>
            <w:pPr>
              <w:spacing w:after="60"/>
            </w:pPr>
            <w:r>
              <w:rPr>
                <w:rFonts w:ascii="Arial" w:cs="Arial" w:eastAsia="Arial" w:hAnsi="Arial"/>
                <w:color w:val="2C3E50"/>
                <w:sz w:val="21"/>
                <w:szCs w:val="21"/>
              </w:rPr>
              <w:t xml:space="preserve">"Walk me through the STRATTEC decision process. Who signs the PO? Have you spoken to them directly, or only through engineering? What happens if the qualification passes in April vs. June?"</w:t>
            </w:r>
          </w:p>
        </w:tc>
      </w:tr>
    </w:tbl>
    <w:p>
      <w:pPr>
        <w:spacing w:after="200"/>
      </w:pPr>
    </w:p>
    <w:p>
      <w:pPr>
        <w:pStyle w:val="Heading2"/>
        <w:spacing w:after="120" w:before="240"/>
      </w:pPr>
      <w:r>
        <w:rPr>
          <w:rFonts w:ascii="Arial" w:cs="Arial" w:eastAsia="Arial" w:hAnsi="Arial"/>
          <w:b/>
          <w:bCs/>
          <w:color w:val="0D3B66"/>
          <w:sz w:val="26"/>
          <w:szCs w:val="26"/>
        </w:rPr>
        <w:t xml:space="preserve">INTIRA  |  ON TRACK  |  Gap: -$1.56M  |  48% of Team Budget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Budget</w:t>
            </w:r>
          </w:p>
        </w:tc>
        <w:tc>
          <w:tcPr>
            <w:tcW w:type="dxa" w:w="25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FCST (80%)</w:t>
            </w:r>
          </w:p>
        </w:tc>
        <w:tc>
          <w:tcPr>
            <w:tcW w:type="dxa" w:w="25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YTD Actual</w:t>
            </w:r>
          </w:p>
        </w:tc>
        <w:tc>
          <w:tcPr>
            <w:tcW w:type="dxa" w:w="25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Open SO</w:t>
            </w:r>
          </w:p>
        </w:tc>
      </w:tr>
      <w:tr>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$10.58M</w:t>
            </w:r>
          </w:p>
        </w:tc>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27AE60"/>
                <w:sz w:val="18"/>
                <w:szCs w:val="18"/>
              </w:rPr>
              <w:t xml:space="preserve">$9.02M (85%)</w:t>
            </w:r>
          </w:p>
        </w:tc>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$2.07M</w:t>
            </w:r>
          </w:p>
        </w:tc>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$6.89M</w:t>
            </w:r>
          </w:p>
        </w:tc>
      </w:tr>
    </w:tbl>
    <w:p>
      <w:pPr>
        <w:spacing w:after="60"/>
      </w:pPr>
    </w:p>
    <w:p>
      <w:pPr>
        <w:spacing w:after="120"/>
      </w:pPr>
      <w:r>
        <w:rPr>
          <w:rFonts w:ascii="Arial" w:cs="Arial" w:eastAsia="Arial" w:hAnsi="Arial"/>
          <w:color w:val="2C3E50"/>
          <w:sz w:val="21"/>
          <w:szCs w:val="21"/>
        </w:rPr>
        <w:t xml:space="preserve"/>
      </w:r>
      <w:r>
        <w:rPr>
          <w:rFonts w:ascii="Arial" w:cs="Arial" w:eastAsia="Arial" w:hAnsi="Arial"/>
          <w:b/>
          <w:bCs/>
          <w:color w:val="000000"/>
          <w:sz w:val="21"/>
          <w:szCs w:val="21"/>
        </w:rPr>
        <w:t xml:space="preserve">Diagnosis:</w:t>
      </w:r>
      <w:r>
        <w:rPr>
          <w:rFonts w:ascii="Arial" w:cs="Arial" w:eastAsia="Arial" w:hAnsi="Arial"/>
          <w:color w:val="2C3E50"/>
          <w:sz w:val="21"/>
          <w:szCs w:val="21"/>
        </w:rPr>
        <w:t xml:space="preserve"> Intira is green but her territory IS the company. At $10.58M (48% of team budget), any slippage from Intira hits the entire team. The $6.89M open SO is strong, but Allflex push-out risk and the Caisley SIC279 price negotiation are the two things that could swing $1M+ either way. GP is 33.5% (below 48% target), driven by AFX product mix.</w:t>
      </w:r>
    </w:p>
    <w:p>
      <w:pPr>
        <w:spacing w:after="40"/>
      </w:pPr>
    </w:p>
    <w:p>
      <w:pPr>
        <w:spacing w:after="120"/>
      </w:pPr>
      <w:r>
        <w:rPr>
          <w:rFonts w:ascii="Arial" w:cs="Arial" w:eastAsia="Arial" w:hAnsi="Arial"/>
          <w:color w:val="2C3E50"/>
          <w:sz w:val="21"/>
          <w:szCs w:val="21"/>
        </w:rPr>
        <w:t xml:space="preserve"/>
      </w:r>
      <w:r>
        <w:rPr>
          <w:rFonts w:ascii="Arial" w:cs="Arial" w:eastAsia="Arial" w:hAnsi="Arial"/>
          <w:b/>
          <w:bCs/>
          <w:color w:val="000000"/>
          <w:sz w:val="21"/>
          <w:szCs w:val="21"/>
        </w:rPr>
        <w:t xml:space="preserve">Coaching Focus for 1:1s:</w:t>
      </w:r>
      <w:r>
        <w:rPr>
          <w:rFonts w:ascii="Arial" w:cs="Arial" w:eastAsia="Arial" w:hAnsi="Arial"/>
          <w:color w:val="2C3E50"/>
          <w:sz w:val="21"/>
          <w:szCs w:val="21"/>
        </w:rPr>
        <w:t xml:space="preserve"/>
      </w:r>
    </w:p>
    <w:p>
      <w:pPr>
        <w:pStyle w:val="ListParagraph"/>
        <w:numPr>
          <w:ilvl w:val="0"/>
          <w:numId w:val="2"/>
        </w:numPr>
        <w:spacing w:after="80"/>
      </w:pPr>
      <w:r>
        <w:rPr>
          <w:rFonts w:ascii="Arial" w:cs="Arial" w:eastAsia="Arial" w:hAnsi="Arial"/>
          <w:color w:val="2C3E50"/>
          <w:sz w:val="21"/>
          <w:szCs w:val="21"/>
        </w:rPr>
        <w:t xml:space="preserve"/>
      </w:r>
      <w:r>
        <w:rPr>
          <w:rFonts w:ascii="Arial" w:cs="Arial" w:eastAsia="Arial" w:hAnsi="Arial"/>
          <w:b/>
          <w:bCs/>
          <w:color w:val="2C3E50"/>
          <w:sz w:val="21"/>
          <w:szCs w:val="21"/>
        </w:rPr>
        <w:t xml:space="preserve">Allflex ($1.62M YTD, largest customer):</w:t>
      </w:r>
      <w:r>
        <w:rPr>
          <w:rFonts w:ascii="Arial" w:cs="Arial" w:eastAsia="Arial" w:hAnsi="Arial"/>
          <w:color w:val="2C3E50"/>
          <w:sz w:val="21"/>
          <w:szCs w:val="21"/>
        </w:rPr>
        <w:t xml:space="preserve"> Coach on managing the push-out risk. What is the delivery schedule for Q2? Are there any signals of schedule change? Maintain weekly contact with Allflex procurement.</w:t>
      </w:r>
    </w:p>
    <w:p>
      <w:pPr>
        <w:pStyle w:val="ListParagraph"/>
        <w:numPr>
          <w:ilvl w:val="0"/>
          <w:numId w:val="2"/>
        </w:numPr>
        <w:spacing w:after="80"/>
      </w:pPr>
      <w:r>
        <w:rPr>
          <w:rFonts w:ascii="Arial" w:cs="Arial" w:eastAsia="Arial" w:hAnsi="Arial"/>
          <w:color w:val="2C3E50"/>
          <w:sz w:val="21"/>
          <w:szCs w:val="21"/>
        </w:rPr>
        <w:t xml:space="preserve"/>
      </w:r>
      <w:r>
        <w:rPr>
          <w:rFonts w:ascii="Arial" w:cs="Arial" w:eastAsia="Arial" w:hAnsi="Arial"/>
          <w:b/>
          <w:bCs/>
          <w:color w:val="2C3E50"/>
          <w:sz w:val="21"/>
          <w:szCs w:val="21"/>
        </w:rPr>
        <w:t xml:space="preserve">Caisley SIC279 460K pcs:</w:t>
      </w:r>
      <w:r>
        <w:rPr>
          <w:rFonts w:ascii="Arial" w:cs="Arial" w:eastAsia="Arial" w:hAnsi="Arial"/>
          <w:color w:val="2C3E50"/>
          <w:sz w:val="21"/>
          <w:szCs w:val="21"/>
        </w:rPr>
        <w:t xml:space="preserve"> Price confirmation is pending. This is a negotiations coaching moment. What is our floor price? What is the volume commitment? Coach Intira to anchor on value, not just match a lower price.</w:t>
      </w:r>
    </w:p>
    <w:p>
      <w:pPr>
        <w:pStyle w:val="ListParagraph"/>
        <w:numPr>
          <w:ilvl w:val="0"/>
          <w:numId w:val="2"/>
        </w:numPr>
        <w:spacing w:after="80"/>
      </w:pPr>
      <w:r>
        <w:rPr>
          <w:rFonts w:ascii="Arial" w:cs="Arial" w:eastAsia="Arial" w:hAnsi="Arial"/>
          <w:color w:val="2C3E50"/>
          <w:sz w:val="21"/>
          <w:szCs w:val="21"/>
        </w:rPr>
        <w:t xml:space="preserve"/>
      </w:r>
      <w:r>
        <w:rPr>
          <w:rFonts w:ascii="Arial" w:cs="Arial" w:eastAsia="Arial" w:hAnsi="Arial"/>
          <w:b/>
          <w:bCs/>
          <w:color w:val="2C3E50"/>
          <w:sz w:val="21"/>
          <w:szCs w:val="21"/>
        </w:rPr>
        <w:t xml:space="preserve">AEG SIC73F1 (Q4 target):</w:t>
      </w:r>
      <w:r>
        <w:rPr>
          <w:rFonts w:ascii="Arial" w:cs="Arial" w:eastAsia="Arial" w:hAnsi="Arial"/>
          <w:color w:val="2C3E50"/>
          <w:sz w:val="21"/>
          <w:szCs w:val="21"/>
        </w:rPr>
        <w:t xml:space="preserve"> This is pipeline seeding for H2. Keep it moving but don't distract from Q2 execution.</w:t>
      </w:r>
    </w:p>
    <w:p>
      <w:pPr>
        <w:pStyle w:val="ListParagraph"/>
        <w:numPr>
          <w:ilvl w:val="0"/>
          <w:numId w:val="2"/>
        </w:numPr>
        <w:spacing w:after="80"/>
      </w:pPr>
      <w:r>
        <w:rPr>
          <w:rFonts w:ascii="Arial" w:cs="Arial" w:eastAsia="Arial" w:hAnsi="Arial"/>
          <w:color w:val="2C3E50"/>
          <w:sz w:val="21"/>
          <w:szCs w:val="21"/>
        </w:rPr>
        <w:t xml:space="preserve"/>
      </w:r>
      <w:r>
        <w:rPr>
          <w:rFonts w:ascii="Arial" w:cs="Arial" w:eastAsia="Arial" w:hAnsi="Arial"/>
          <w:b/>
          <w:bCs/>
          <w:color w:val="2C3E50"/>
          <w:sz w:val="21"/>
          <w:szCs w:val="21"/>
        </w:rPr>
        <w:t xml:space="preserve">ULTX Wedge 10K Mar + 10K Apr:</w:t>
      </w:r>
      <w:r>
        <w:rPr>
          <w:rFonts w:ascii="Arial" w:cs="Arial" w:eastAsia="Arial" w:hAnsi="Arial"/>
          <w:color w:val="2C3E50"/>
          <w:sz w:val="21"/>
          <w:szCs w:val="21"/>
        </w:rPr>
        <w:t xml:space="preserve"> Expedite is critical. Coach on escalation: who at operations can she partner with to accelerate?</w:t>
      </w:r>
    </w:p>
    <w:p>
      <w:pPr>
        <w:pStyle w:val="ListParagraph"/>
        <w:numPr>
          <w:ilvl w:val="0"/>
          <w:numId w:val="2"/>
        </w:numPr>
        <w:spacing w:after="80"/>
      </w:pPr>
      <w:r>
        <w:rPr>
          <w:rFonts w:ascii="Arial" w:cs="Arial" w:eastAsia="Arial" w:hAnsi="Arial"/>
          <w:color w:val="2C3E50"/>
          <w:sz w:val="21"/>
          <w:szCs w:val="21"/>
        </w:rPr>
        <w:t xml:space="preserve"/>
      </w:r>
      <w:r>
        <w:rPr>
          <w:rFonts w:ascii="Arial" w:cs="Arial" w:eastAsia="Arial" w:hAnsi="Arial"/>
          <w:b/>
          <w:bCs/>
          <w:color w:val="2C3E50"/>
          <w:sz w:val="21"/>
          <w:szCs w:val="21"/>
        </w:rPr>
        <w:t xml:space="preserve">GP improvement:</w:t>
      </w:r>
      <w:r>
        <w:rPr>
          <w:rFonts w:ascii="Arial" w:cs="Arial" w:eastAsia="Arial" w:hAnsi="Arial"/>
          <w:color w:val="2C3E50"/>
          <w:sz w:val="21"/>
          <w:szCs w:val="21"/>
        </w:rPr>
        <w:t xml:space="preserve"> Coach on product mix awareness. Every deal conversation should include: "What does this do to our margin?"</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sz="0"/>
              <w:left w:val="single" w:color="27AE60" w:sz="12"/>
              <w:bottom w:val="none" w:sz="0"/>
              <w:right w:val="none" w:sz="0"/>
            </w:tcBorders>
          </w:tcPr>
          <w:p/>
        </w:tc>
        <w:tc>
          <w:tcPr>
            <w:tcW w:type="dxa" w:w="9960"/>
            <w:tcBorders>
              <w:top w:val="none" w:sz="0"/>
              <w:left w:val="none" w:sz="0"/>
              <w:bottom w:val="none" w:sz="0"/>
              <w:right w:val="none" w:sz="0"/>
            </w:tcBorders>
            <w:shd w:fill="F2F3F4" w:val="clear"/>
            <w:tcMar>
              <w:top w:type="dxa" w:w="120"/>
              <w:left w:type="dxa" w:w="200"/>
              <w:bottom w:type="dxa" w:w="120"/>
              <w:right w:type="dxa" w:w="200"/>
            </w:tcMar>
          </w:tcPr>
          <w:p>
            <w:pPr>
              <w:spacing w:after="60"/>
            </w:pPr>
            <w:r>
              <w:rPr>
                <w:rFonts w:ascii="Arial" w:cs="Arial" w:eastAsia="Arial" w:hAnsi="Arial"/>
                <w:b/>
                <w:bCs/>
                <w:color w:val="27AE60"/>
                <w:sz w:val="22"/>
                <w:szCs w:val="22"/>
              </w:rPr>
              <w:t xml:space="preserve">Coaching Question for Intira</w:t>
            </w:r>
          </w:p>
          <w:p>
            <w:pPr>
              <w:spacing w:after="60"/>
            </w:pPr>
            <w:r>
              <w:rPr>
                <w:rFonts w:ascii="Arial" w:cs="Arial" w:eastAsia="Arial" w:hAnsi="Arial"/>
                <w:color w:val="2C3E50"/>
                <w:sz w:val="21"/>
                <w:szCs w:val="21"/>
              </w:rPr>
              <w:t xml:space="preserve">"For your top 3 Q2 shipments by dollar value, tell me: confirmed ship date, PO in hand yes/no, and any risk to that date. What do you need from me to de-risk Allflex?"</w:t>
            </w:r>
          </w:p>
        </w:tc>
      </w:tr>
    </w:tbl>
    <w:p>
      <w:pPr>
        <w:spacing w:after="200"/>
      </w:pPr>
    </w:p>
    <w:p>
      <w:pPr>
        <w:pStyle w:val="Heading2"/>
        <w:spacing w:after="120" w:before="240"/>
      </w:pPr>
      <w:r>
        <w:rPr>
          <w:rFonts w:ascii="Arial" w:cs="Arial" w:eastAsia="Arial" w:hAnsi="Arial"/>
          <w:b/>
          <w:bCs/>
          <w:color w:val="0D3B66"/>
          <w:sz w:val="26"/>
          <w:szCs w:val="26"/>
        </w:rPr>
        <w:t xml:space="preserve">TERRY  |  ON TRACK  |  Gap: -$696K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Budget</w:t>
            </w:r>
          </w:p>
        </w:tc>
        <w:tc>
          <w:tcPr>
            <w:tcW w:type="dxa" w:w="25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FCST (80%)</w:t>
            </w:r>
          </w:p>
        </w:tc>
        <w:tc>
          <w:tcPr>
            <w:tcW w:type="dxa" w:w="25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YTD Actual</w:t>
            </w:r>
          </w:p>
        </w:tc>
        <w:tc>
          <w:tcPr>
            <w:tcW w:type="dxa" w:w="25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Open SO</w:t>
            </w:r>
          </w:p>
        </w:tc>
      </w:tr>
      <w:tr>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$3.50M</w:t>
            </w:r>
          </w:p>
        </w:tc>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27AE60"/>
                <w:sz w:val="18"/>
                <w:szCs w:val="18"/>
              </w:rPr>
              <w:t xml:space="preserve">$2.81M (80%)</w:t>
            </w:r>
          </w:p>
        </w:tc>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$0.64M</w:t>
            </w:r>
          </w:p>
        </w:tc>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$2.04M</w:t>
            </w:r>
          </w:p>
        </w:tc>
      </w:tr>
    </w:tbl>
    <w:p>
      <w:pPr>
        <w:spacing w:after="60"/>
      </w:pPr>
    </w:p>
    <w:p>
      <w:pPr>
        <w:spacing w:after="120"/>
      </w:pPr>
      <w:r>
        <w:rPr>
          <w:rFonts w:ascii="Arial" w:cs="Arial" w:eastAsia="Arial" w:hAnsi="Arial"/>
          <w:color w:val="2C3E50"/>
          <w:sz w:val="21"/>
          <w:szCs w:val="21"/>
        </w:rPr>
        <w:t xml:space="preserve"/>
      </w:r>
      <w:r>
        <w:rPr>
          <w:rFonts w:ascii="Arial" w:cs="Arial" w:eastAsia="Arial" w:hAnsi="Arial"/>
          <w:b/>
          <w:bCs/>
          <w:color w:val="000000"/>
          <w:sz w:val="21"/>
          <w:szCs w:val="21"/>
        </w:rPr>
        <w:t xml:space="preserve">Diagnosis:</w:t>
      </w:r>
      <w:r>
        <w:rPr>
          <w:rFonts w:ascii="Arial" w:cs="Arial" w:eastAsia="Arial" w:hAnsi="Arial"/>
          <w:color w:val="2C3E50"/>
          <w:sz w:val="21"/>
          <w:szCs w:val="21"/>
        </w:rPr>
        <w:t xml:space="preserve"> Terry is at exactly 80% FCST and has a solid $2.04M in open SO (58% coverage). The gap is -$696K, but Freevision SIC5777 ($294K in May-Jun) and E-Garde Miwa ($260K pending reliability test) are both real, near-term opportunities. GP is healthy at 51.3%. Terry needs to close deals, not find new ones.</w:t>
      </w:r>
    </w:p>
    <w:p>
      <w:pPr>
        <w:spacing w:after="40"/>
      </w:pPr>
    </w:p>
    <w:p>
      <w:pPr>
        <w:spacing w:after="120"/>
      </w:pPr>
      <w:r>
        <w:rPr>
          <w:rFonts w:ascii="Arial" w:cs="Arial" w:eastAsia="Arial" w:hAnsi="Arial"/>
          <w:color w:val="2C3E50"/>
          <w:sz w:val="21"/>
          <w:szCs w:val="21"/>
        </w:rPr>
        <w:t xml:space="preserve"/>
      </w:r>
      <w:r>
        <w:rPr>
          <w:rFonts w:ascii="Arial" w:cs="Arial" w:eastAsia="Arial" w:hAnsi="Arial"/>
          <w:b/>
          <w:bCs/>
          <w:color w:val="000000"/>
          <w:sz w:val="21"/>
          <w:szCs w:val="21"/>
        </w:rPr>
        <w:t xml:space="preserve">Coaching Focus for 1:1s:</w:t>
      </w:r>
      <w:r>
        <w:rPr>
          <w:rFonts w:ascii="Arial" w:cs="Arial" w:eastAsia="Arial" w:hAnsi="Arial"/>
          <w:color w:val="2C3E50"/>
          <w:sz w:val="21"/>
          <w:szCs w:val="21"/>
        </w:rPr>
        <w:t xml:space="preserve"/>
      </w:r>
    </w:p>
    <w:p>
      <w:pPr>
        <w:pStyle w:val="ListParagraph"/>
        <w:numPr>
          <w:ilvl w:val="0"/>
          <w:numId w:val="2"/>
        </w:numPr>
        <w:spacing w:after="80"/>
      </w:pPr>
      <w:r>
        <w:rPr>
          <w:rFonts w:ascii="Arial" w:cs="Arial" w:eastAsia="Arial" w:hAnsi="Arial"/>
          <w:color w:val="2C3E50"/>
          <w:sz w:val="21"/>
          <w:szCs w:val="21"/>
        </w:rPr>
        <w:t xml:space="preserve"/>
      </w:r>
      <w:r>
        <w:rPr>
          <w:rFonts w:ascii="Arial" w:cs="Arial" w:eastAsia="Arial" w:hAnsi="Arial"/>
          <w:b/>
          <w:bCs/>
          <w:color w:val="2C3E50"/>
          <w:sz w:val="21"/>
          <w:szCs w:val="21"/>
        </w:rPr>
        <w:t xml:space="preserve">Freevision SIC5777 (~50 wafers, $294K, May-Jun):</w:t>
      </w:r>
      <w:r>
        <w:rPr>
          <w:rFonts w:ascii="Arial" w:cs="Arial" w:eastAsia="Arial" w:hAnsi="Arial"/>
          <w:color w:val="2C3E50"/>
          <w:sz w:val="21"/>
          <w:szCs w:val="21"/>
        </w:rPr>
        <w:t xml:space="preserve"> This is the highest-confidence Q2 deal in Terry's pipeline. Coach on confirming the wafer schedule and ensuring production readiness. What is our lead time to ship?</w:t>
      </w:r>
    </w:p>
    <w:p>
      <w:pPr>
        <w:pStyle w:val="ListParagraph"/>
        <w:numPr>
          <w:ilvl w:val="0"/>
          <w:numId w:val="2"/>
        </w:numPr>
        <w:spacing w:after="80"/>
      </w:pPr>
      <w:r>
        <w:rPr>
          <w:rFonts w:ascii="Arial" w:cs="Arial" w:eastAsia="Arial" w:hAnsi="Arial"/>
          <w:color w:val="2C3E50"/>
          <w:sz w:val="21"/>
          <w:szCs w:val="21"/>
        </w:rPr>
        <w:t xml:space="preserve"/>
      </w:r>
      <w:r>
        <w:rPr>
          <w:rFonts w:ascii="Arial" w:cs="Arial" w:eastAsia="Arial" w:hAnsi="Arial"/>
          <w:b/>
          <w:bCs/>
          <w:color w:val="2C3E50"/>
          <w:sz w:val="21"/>
          <w:szCs w:val="21"/>
        </w:rPr>
        <w:t xml:space="preserve">E-Garde Miwa reliability test:</w:t>
      </w:r>
      <w:r>
        <w:rPr>
          <w:rFonts w:ascii="Arial" w:cs="Arial" w:eastAsia="Arial" w:hAnsi="Arial"/>
          <w:color w:val="2C3E50"/>
          <w:sz w:val="21"/>
          <w:szCs w:val="21"/>
        </w:rPr>
        <w:t xml:space="preserve"> This is a gate. Coach Terry to manage the test timeline. When does the result come? What is Plan B if it takes longer? Can we offer expedited test support?</w:t>
      </w:r>
    </w:p>
    <w:p>
      <w:pPr>
        <w:pStyle w:val="ListParagraph"/>
        <w:numPr>
          <w:ilvl w:val="0"/>
          <w:numId w:val="2"/>
        </w:numPr>
        <w:spacing w:after="80"/>
      </w:pPr>
      <w:r>
        <w:rPr>
          <w:rFonts w:ascii="Arial" w:cs="Arial" w:eastAsia="Arial" w:hAnsi="Arial"/>
          <w:color w:val="2C3E50"/>
          <w:sz w:val="21"/>
          <w:szCs w:val="21"/>
        </w:rPr>
        <w:t xml:space="preserve"/>
      </w:r>
      <w:r>
        <w:rPr>
          <w:rFonts w:ascii="Arial" w:cs="Arial" w:eastAsia="Arial" w:hAnsi="Arial"/>
          <w:b/>
          <w:bCs/>
          <w:color w:val="2C3E50"/>
          <w:sz w:val="21"/>
          <w:szCs w:val="21"/>
        </w:rPr>
        <w:t xml:space="preserve">Changjo RA10 ($159K PO received):</w:t>
      </w:r>
      <w:r>
        <w:rPr>
          <w:rFonts w:ascii="Arial" w:cs="Arial" w:eastAsia="Arial" w:hAnsi="Arial"/>
          <w:color w:val="2C3E50"/>
          <w:sz w:val="21"/>
          <w:szCs w:val="21"/>
        </w:rPr>
        <w:t xml:space="preserve"> Already won. Coach on delivery execution to protect this revenue.</w:t>
      </w:r>
    </w:p>
    <w:p>
      <w:pPr>
        <w:pStyle w:val="ListParagraph"/>
        <w:numPr>
          <w:ilvl w:val="0"/>
          <w:numId w:val="2"/>
        </w:numPr>
        <w:spacing w:after="80"/>
      </w:pPr>
      <w:r>
        <w:rPr>
          <w:rFonts w:ascii="Arial" w:cs="Arial" w:eastAsia="Arial" w:hAnsi="Arial"/>
          <w:color w:val="2C3E50"/>
          <w:sz w:val="21"/>
          <w:szCs w:val="21"/>
        </w:rPr>
        <w:t xml:space="preserve"/>
      </w:r>
      <w:r>
        <w:rPr>
          <w:rFonts w:ascii="Arial" w:cs="Arial" w:eastAsia="Arial" w:hAnsi="Arial"/>
          <w:b/>
          <w:bCs/>
          <w:color w:val="2C3E50"/>
          <w:sz w:val="21"/>
          <w:szCs w:val="21"/>
        </w:rPr>
        <w:t xml:space="preserve">Astag RE41 pre-prod lot:</w:t>
      </w:r>
      <w:r>
        <w:rPr>
          <w:rFonts w:ascii="Arial" w:cs="Arial" w:eastAsia="Arial" w:hAnsi="Arial"/>
          <w:color w:val="2C3E50"/>
          <w:sz w:val="21"/>
          <w:szCs w:val="21"/>
        </w:rPr>
        <w:t xml:space="preserve"> Imminent decision. Coach on follow-up cadence: weekly check-in minimum.</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sz="0"/>
              <w:left w:val="single" w:color="1B4F72" w:sz="12"/>
              <w:bottom w:val="none" w:sz="0"/>
              <w:right w:val="none" w:sz="0"/>
            </w:tcBorders>
          </w:tcPr>
          <w:p/>
        </w:tc>
        <w:tc>
          <w:tcPr>
            <w:tcW w:type="dxa" w:w="9960"/>
            <w:tcBorders>
              <w:top w:val="none" w:sz="0"/>
              <w:left w:val="none" w:sz="0"/>
              <w:bottom w:val="none" w:sz="0"/>
              <w:right w:val="none" w:sz="0"/>
            </w:tcBorders>
            <w:shd w:fill="F2F3F4"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Coaching Question for Terry</w:t>
            </w:r>
          </w:p>
          <w:p>
            <w:pPr>
              <w:spacing w:after="60"/>
            </w:pPr>
            <w:r>
              <w:rPr>
                <w:rFonts w:ascii="Arial" w:cs="Arial" w:eastAsia="Arial" w:hAnsi="Arial"/>
                <w:color w:val="2C3E50"/>
                <w:sz w:val="21"/>
                <w:szCs w:val="21"/>
              </w:rPr>
              <w:t xml:space="preserve">"Freevision 50 wafers in May-Jun: is this a confirmed schedule or a forecast? Have they issued a PO? If not, what's the trigger? And on E-Garde: when exactly do we get the reliability test result?"</w:t>
            </w:r>
          </w:p>
        </w:tc>
      </w:tr>
    </w:tbl>
    <w:p>
      <w:pPr>
        <w:spacing w:after="200"/>
      </w:pPr>
    </w:p>
    <w:p>
      <w:pPr>
        <w:pStyle w:val="Heading2"/>
        <w:spacing w:after="120" w:before="240"/>
      </w:pPr>
      <w:r>
        <w:rPr>
          <w:rFonts w:ascii="Arial" w:cs="Arial" w:eastAsia="Arial" w:hAnsi="Arial"/>
          <w:b/>
          <w:bCs/>
          <w:color w:val="0D3B66"/>
          <w:sz w:val="26"/>
          <w:szCs w:val="26"/>
        </w:rPr>
        <w:t xml:space="preserve">TUNN  |  ON TRACK  |  Surplus: +$514K  |  Top Performer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Budget</w:t>
            </w:r>
          </w:p>
        </w:tc>
        <w:tc>
          <w:tcPr>
            <w:tcW w:type="dxa" w:w="25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FCST (80%)</w:t>
            </w:r>
          </w:p>
        </w:tc>
        <w:tc>
          <w:tcPr>
            <w:tcW w:type="dxa" w:w="25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YTD Actual</w:t>
            </w:r>
          </w:p>
        </w:tc>
        <w:tc>
          <w:tcPr>
            <w:tcW w:type="dxa" w:w="25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Open SO</w:t>
            </w:r>
          </w:p>
        </w:tc>
      </w:tr>
      <w:tr>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$4.63M</w:t>
            </w:r>
          </w:p>
        </w:tc>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27AE60"/>
                <w:sz w:val="18"/>
                <w:szCs w:val="18"/>
              </w:rPr>
              <w:t xml:space="preserve">$5.14M (111%)</w:t>
            </w:r>
          </w:p>
        </w:tc>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$1.53M</w:t>
            </w:r>
          </w:p>
        </w:tc>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$1.84M</w:t>
            </w:r>
          </w:p>
        </w:tc>
      </w:tr>
    </w:tbl>
    <w:p>
      <w:pPr>
        <w:spacing w:after="60"/>
      </w:pPr>
    </w:p>
    <w:p>
      <w:pPr>
        <w:spacing w:after="120"/>
      </w:pPr>
      <w:r>
        <w:rPr>
          <w:rFonts w:ascii="Arial" w:cs="Arial" w:eastAsia="Arial" w:hAnsi="Arial"/>
          <w:color w:val="2C3E50"/>
          <w:sz w:val="21"/>
          <w:szCs w:val="21"/>
        </w:rPr>
        <w:t xml:space="preserve"/>
      </w:r>
      <w:r>
        <w:rPr>
          <w:rFonts w:ascii="Arial" w:cs="Arial" w:eastAsia="Arial" w:hAnsi="Arial"/>
          <w:b/>
          <w:bCs/>
          <w:color w:val="000000"/>
          <w:sz w:val="21"/>
          <w:szCs w:val="21"/>
        </w:rPr>
        <w:t xml:space="preserve">Diagnosis:</w:t>
      </w:r>
      <w:r>
        <w:rPr>
          <w:rFonts w:ascii="Arial" w:cs="Arial" w:eastAsia="Arial" w:hAnsi="Arial"/>
          <w:color w:val="2C3E50"/>
          <w:sz w:val="21"/>
          <w:szCs w:val="21"/>
        </w:rPr>
        <w:t xml:space="preserve"> Tunn is the clear star. FCST at 111% of budget, driven by HID Global ($3.73M anchor). GP is excellent at 50.2%. The coaching goal here is NOT pressure, it's acceleration and pipeline development for FY27.</w:t>
      </w:r>
    </w:p>
    <w:p>
      <w:pPr>
        <w:spacing w:after="40"/>
      </w:pPr>
    </w:p>
    <w:p>
      <w:pPr>
        <w:spacing w:after="120"/>
      </w:pPr>
      <w:r>
        <w:rPr>
          <w:rFonts w:ascii="Arial" w:cs="Arial" w:eastAsia="Arial" w:hAnsi="Arial"/>
          <w:color w:val="2C3E50"/>
          <w:sz w:val="21"/>
          <w:szCs w:val="21"/>
        </w:rPr>
        <w:t xml:space="preserve"/>
      </w:r>
      <w:r>
        <w:rPr>
          <w:rFonts w:ascii="Arial" w:cs="Arial" w:eastAsia="Arial" w:hAnsi="Arial"/>
          <w:b/>
          <w:bCs/>
          <w:color w:val="000000"/>
          <w:sz w:val="21"/>
          <w:szCs w:val="21"/>
        </w:rPr>
        <w:t xml:space="preserve">Coaching Focus for 1:1s:</w:t>
      </w:r>
      <w:r>
        <w:rPr>
          <w:rFonts w:ascii="Arial" w:cs="Arial" w:eastAsia="Arial" w:hAnsi="Arial"/>
          <w:color w:val="2C3E50"/>
          <w:sz w:val="21"/>
          <w:szCs w:val="21"/>
        </w:rPr>
        <w:t xml:space="preserve"/>
      </w:r>
    </w:p>
    <w:p>
      <w:pPr>
        <w:pStyle w:val="ListParagraph"/>
        <w:numPr>
          <w:ilvl w:val="0"/>
          <w:numId w:val="2"/>
        </w:numPr>
        <w:spacing w:after="80"/>
      </w:pPr>
      <w:r>
        <w:rPr>
          <w:rFonts w:ascii="Arial" w:cs="Arial" w:eastAsia="Arial" w:hAnsi="Arial"/>
          <w:color w:val="2C3E50"/>
          <w:sz w:val="21"/>
          <w:szCs w:val="21"/>
        </w:rPr>
        <w:t xml:space="preserve"/>
      </w:r>
      <w:r>
        <w:rPr>
          <w:rFonts w:ascii="Arial" w:cs="Arial" w:eastAsia="Arial" w:hAnsi="Arial"/>
          <w:b/>
          <w:bCs/>
          <w:color w:val="2C3E50"/>
          <w:sz w:val="21"/>
          <w:szCs w:val="21"/>
        </w:rPr>
        <w:t xml:space="preserve">HID Global relationship depth:</w:t>
      </w:r>
      <w:r>
        <w:rPr>
          <w:rFonts w:ascii="Arial" w:cs="Arial" w:eastAsia="Arial" w:hAnsi="Arial"/>
          <w:color w:val="2C3E50"/>
          <w:sz w:val="21"/>
          <w:szCs w:val="21"/>
        </w:rPr>
        <w:t xml:space="preserve"> Coach Tunn to expand contacts at HID beyond the current buyer. Who else at HID makes product decisions? Can we get a multi-year framework agreement?</w:t>
      </w:r>
    </w:p>
    <w:p>
      <w:pPr>
        <w:pStyle w:val="ListParagraph"/>
        <w:numPr>
          <w:ilvl w:val="0"/>
          <w:numId w:val="2"/>
        </w:numPr>
        <w:spacing w:after="80"/>
      </w:pPr>
      <w:r>
        <w:rPr>
          <w:rFonts w:ascii="Arial" w:cs="Arial" w:eastAsia="Arial" w:hAnsi="Arial"/>
          <w:color w:val="2C3E50"/>
          <w:sz w:val="21"/>
          <w:szCs w:val="21"/>
        </w:rPr>
        <w:t xml:space="preserve"/>
      </w:r>
      <w:r>
        <w:rPr>
          <w:rFonts w:ascii="Arial" w:cs="Arial" w:eastAsia="Arial" w:hAnsi="Arial"/>
          <w:b/>
          <w:bCs/>
          <w:color w:val="2C3E50"/>
          <w:sz w:val="21"/>
          <w:szCs w:val="21"/>
        </w:rPr>
        <w:t xml:space="preserve">APKID TMV48 (DAF truck OEM, $39K):</w:t>
      </w:r>
      <w:r>
        <w:rPr>
          <w:rFonts w:ascii="Arial" w:cs="Arial" w:eastAsia="Arial" w:hAnsi="Arial"/>
          <w:color w:val="2C3E50"/>
          <w:sz w:val="21"/>
          <w:szCs w:val="21"/>
        </w:rPr>
        <w:t xml:space="preserve"> Small but strategic. This is an automotive OEM entry point. Coach on treating this as a beachhead, not just a PO.</w:t>
      </w:r>
    </w:p>
    <w:p>
      <w:pPr>
        <w:pStyle w:val="ListParagraph"/>
        <w:numPr>
          <w:ilvl w:val="0"/>
          <w:numId w:val="2"/>
        </w:numPr>
        <w:spacing w:after="80"/>
      </w:pPr>
      <w:r>
        <w:rPr>
          <w:rFonts w:ascii="Arial" w:cs="Arial" w:eastAsia="Arial" w:hAnsi="Arial"/>
          <w:color w:val="2C3E50"/>
          <w:sz w:val="21"/>
          <w:szCs w:val="21"/>
        </w:rPr>
        <w:t xml:space="preserve"/>
      </w:r>
      <w:r>
        <w:rPr>
          <w:rFonts w:ascii="Arial" w:cs="Arial" w:eastAsia="Arial" w:hAnsi="Arial"/>
          <w:b/>
          <w:bCs/>
          <w:color w:val="2C3E50"/>
          <w:sz w:val="21"/>
          <w:szCs w:val="21"/>
        </w:rPr>
        <w:t xml:space="preserve">HID SIC56NL/72A1 price negotiation:</w:t>
      </w:r>
      <w:r>
        <w:rPr>
          <w:rFonts w:ascii="Arial" w:cs="Arial" w:eastAsia="Arial" w:hAnsi="Arial"/>
          <w:color w:val="2C3E50"/>
          <w:sz w:val="21"/>
          <w:szCs w:val="21"/>
        </w:rPr>
        <w:t xml:space="preserve"> Protect GP while keeping HID committed. Coach on value positioning: what do we offer that alternatives don't?</w:t>
      </w:r>
    </w:p>
    <w:p>
      <w:pPr>
        <w:pStyle w:val="ListParagraph"/>
        <w:numPr>
          <w:ilvl w:val="0"/>
          <w:numId w:val="2"/>
        </w:numPr>
        <w:spacing w:after="80"/>
      </w:pPr>
      <w:r>
        <w:rPr>
          <w:rFonts w:ascii="Arial" w:cs="Arial" w:eastAsia="Arial" w:hAnsi="Arial"/>
          <w:color w:val="2C3E50"/>
          <w:sz w:val="21"/>
          <w:szCs w:val="21"/>
        </w:rPr>
        <w:t xml:space="preserve"/>
      </w:r>
      <w:r>
        <w:rPr>
          <w:rFonts w:ascii="Arial" w:cs="Arial" w:eastAsia="Arial" w:hAnsi="Arial"/>
          <w:b/>
          <w:bCs/>
          <w:color w:val="2C3E50"/>
          <w:sz w:val="21"/>
          <w:szCs w:val="21"/>
        </w:rPr>
        <w:t xml:space="preserve">Pipeline development:</w:t>
      </w:r>
      <w:r>
        <w:rPr>
          <w:rFonts w:ascii="Arial" w:cs="Arial" w:eastAsia="Arial" w:hAnsi="Arial"/>
          <w:color w:val="2C3E50"/>
          <w:sz w:val="21"/>
          <w:szCs w:val="21"/>
        </w:rPr>
        <w:t xml:space="preserve"> Tunn has capacity. Ask: who are the next 3 accounts that look like HID? Start seeding H2/FY27 pipeline now.</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sz="0"/>
              <w:left w:val="single" w:color="27AE60" w:sz="12"/>
              <w:bottom w:val="none" w:sz="0"/>
              <w:right w:val="none" w:sz="0"/>
            </w:tcBorders>
          </w:tcPr>
          <w:p/>
        </w:tc>
        <w:tc>
          <w:tcPr>
            <w:tcW w:type="dxa" w:w="9960"/>
            <w:tcBorders>
              <w:top w:val="none" w:sz="0"/>
              <w:left w:val="none" w:sz="0"/>
              <w:bottom w:val="none" w:sz="0"/>
              <w:right w:val="none" w:sz="0"/>
            </w:tcBorders>
            <w:shd w:fill="F2F3F4" w:val="clear"/>
            <w:tcMar>
              <w:top w:type="dxa" w:w="120"/>
              <w:left w:type="dxa" w:w="200"/>
              <w:bottom w:type="dxa" w:w="120"/>
              <w:right w:type="dxa" w:w="200"/>
            </w:tcMar>
          </w:tcPr>
          <w:p>
            <w:pPr>
              <w:spacing w:after="60"/>
            </w:pPr>
            <w:r>
              <w:rPr>
                <w:rFonts w:ascii="Arial" w:cs="Arial" w:eastAsia="Arial" w:hAnsi="Arial"/>
                <w:b/>
                <w:bCs/>
                <w:color w:val="27AE60"/>
                <w:sz w:val="22"/>
                <w:szCs w:val="22"/>
              </w:rPr>
              <w:t xml:space="preserve">Coaching Question for Tunn</w:t>
            </w:r>
          </w:p>
          <w:p>
            <w:pPr>
              <w:spacing w:after="60"/>
            </w:pPr>
            <w:r>
              <w:rPr>
                <w:rFonts w:ascii="Arial" w:cs="Arial" w:eastAsia="Arial" w:hAnsi="Arial"/>
                <w:color w:val="2C3E50"/>
                <w:sz w:val="21"/>
                <w:szCs w:val="21"/>
              </w:rPr>
              <w:t xml:space="preserve">"You're our top performer. Let's invest some of your time in pipeline building. If HID is our $3.7M anchor, who are the next 2 accounts that could become $500K+ accounts in FY27? Let's map them together."</w:t>
            </w:r>
          </w:p>
        </w:tc>
      </w:tr>
    </w:tbl>
    <w:p>
      <w:pPr>
        <w:spacing w:after="200"/>
      </w:pPr>
    </w:p>
    <w:p>
      <w:pPr>
        <w:pStyle w:val="Heading2"/>
        <w:spacing w:after="120" w:before="240"/>
      </w:pPr>
      <w:r>
        <w:rPr>
          <w:rFonts w:ascii="Arial" w:cs="Arial" w:eastAsia="Arial" w:hAnsi="Arial"/>
          <w:b/>
          <w:bCs/>
          <w:color w:val="0D3B66"/>
          <w:sz w:val="26"/>
          <w:szCs w:val="26"/>
        </w:rPr>
        <w:t xml:space="preserve">LISA  |  ON TRACK  |  Gap: -$88K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Budget</w:t>
            </w:r>
          </w:p>
        </w:tc>
        <w:tc>
          <w:tcPr>
            <w:tcW w:type="dxa" w:w="25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FCST (80%)</w:t>
            </w:r>
          </w:p>
        </w:tc>
        <w:tc>
          <w:tcPr>
            <w:tcW w:type="dxa" w:w="25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YTD Actual</w:t>
            </w:r>
          </w:p>
        </w:tc>
        <w:tc>
          <w:tcPr>
            <w:tcW w:type="dxa" w:w="25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Open SO</w:t>
            </w:r>
          </w:p>
        </w:tc>
      </w:tr>
      <w:tr>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$1.92M</w:t>
            </w:r>
          </w:p>
        </w:tc>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27AE60"/>
                <w:sz w:val="18"/>
                <w:szCs w:val="18"/>
              </w:rPr>
              <w:t xml:space="preserve">$1.84M (95%)</w:t>
            </w:r>
          </w:p>
        </w:tc>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$0.33M</w:t>
            </w:r>
          </w:p>
        </w:tc>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$1.16M</w:t>
            </w:r>
          </w:p>
        </w:tc>
      </w:tr>
    </w:tbl>
    <w:p>
      <w:pPr>
        <w:spacing w:after="60"/>
      </w:pPr>
    </w:p>
    <w:p>
      <w:pPr>
        <w:spacing w:after="120"/>
      </w:pPr>
      <w:r>
        <w:rPr>
          <w:rFonts w:ascii="Arial" w:cs="Arial" w:eastAsia="Arial" w:hAnsi="Arial"/>
          <w:color w:val="2C3E50"/>
          <w:sz w:val="21"/>
          <w:szCs w:val="21"/>
        </w:rPr>
        <w:t xml:space="preserve"/>
      </w:r>
      <w:r>
        <w:rPr>
          <w:rFonts w:ascii="Arial" w:cs="Arial" w:eastAsia="Arial" w:hAnsi="Arial"/>
          <w:b/>
          <w:bCs/>
          <w:color w:val="000000"/>
          <w:sz w:val="21"/>
          <w:szCs w:val="21"/>
        </w:rPr>
        <w:t xml:space="preserve">Diagnosis:</w:t>
      </w:r>
      <w:r>
        <w:rPr>
          <w:rFonts w:ascii="Arial" w:cs="Arial" w:eastAsia="Arial" w:hAnsi="Arial"/>
          <w:color w:val="2C3E50"/>
          <w:sz w:val="21"/>
          <w:szCs w:val="21"/>
        </w:rPr>
        <w:t xml:space="preserve"> Lisa is in solid shape at 95% FCST with $1.16M open SO (60% coverage). The $88K gap is small and closeable. GP at 31.5% is the concern, driven by low-margin SIC278/7888 mix. Coach on margin-aware selling.</w:t>
      </w:r>
    </w:p>
    <w:p>
      <w:pPr>
        <w:spacing w:after="40"/>
      </w:pPr>
    </w:p>
    <w:p>
      <w:pPr>
        <w:spacing w:after="120"/>
      </w:pPr>
      <w:r>
        <w:rPr>
          <w:rFonts w:ascii="Arial" w:cs="Arial" w:eastAsia="Arial" w:hAnsi="Arial"/>
          <w:color w:val="2C3E50"/>
          <w:sz w:val="21"/>
          <w:szCs w:val="21"/>
        </w:rPr>
        <w:t xml:space="preserve"/>
      </w:r>
      <w:r>
        <w:rPr>
          <w:rFonts w:ascii="Arial" w:cs="Arial" w:eastAsia="Arial" w:hAnsi="Arial"/>
          <w:b/>
          <w:bCs/>
          <w:color w:val="000000"/>
          <w:sz w:val="21"/>
          <w:szCs w:val="21"/>
        </w:rPr>
        <w:t xml:space="preserve">Coaching Focus for 1:1s:</w:t>
      </w:r>
      <w:r>
        <w:rPr>
          <w:rFonts w:ascii="Arial" w:cs="Arial" w:eastAsia="Arial" w:hAnsi="Arial"/>
          <w:color w:val="2C3E50"/>
          <w:sz w:val="21"/>
          <w:szCs w:val="21"/>
        </w:rPr>
        <w:t xml:space="preserve"/>
      </w:r>
    </w:p>
    <w:p>
      <w:pPr>
        <w:pStyle w:val="ListParagraph"/>
        <w:numPr>
          <w:ilvl w:val="0"/>
          <w:numId w:val="2"/>
        </w:numPr>
        <w:spacing w:after="80"/>
      </w:pPr>
      <w:r>
        <w:rPr>
          <w:rFonts w:ascii="Arial" w:cs="Arial" w:eastAsia="Arial" w:hAnsi="Arial"/>
          <w:color w:val="2C3E50"/>
          <w:sz w:val="21"/>
          <w:szCs w:val="21"/>
        </w:rPr>
        <w:t xml:space="preserve"/>
      </w:r>
      <w:r>
        <w:rPr>
          <w:rFonts w:ascii="Arial" w:cs="Arial" w:eastAsia="Arial" w:hAnsi="Arial"/>
          <w:b/>
          <w:bCs/>
          <w:color w:val="2C3E50"/>
          <w:sz w:val="21"/>
          <w:szCs w:val="21"/>
        </w:rPr>
        <w:t xml:space="preserve">Lanhai + Tatwah Q2 ($104K combined):</w:t>
      </w:r>
      <w:r>
        <w:rPr>
          <w:rFonts w:ascii="Arial" w:cs="Arial" w:eastAsia="Arial" w:hAnsi="Arial"/>
          <w:color w:val="2C3E50"/>
          <w:sz w:val="21"/>
          <w:szCs w:val="21"/>
        </w:rPr>
        <w:t xml:space="preserve"> RE31/RA10 new PO. Coach on moving these from forecast to confirmed order. What is Lanhai's purchase cycle?</w:t>
      </w:r>
    </w:p>
    <w:p>
      <w:pPr>
        <w:pStyle w:val="ListParagraph"/>
        <w:numPr>
          <w:ilvl w:val="0"/>
          <w:numId w:val="2"/>
        </w:numPr>
        <w:spacing w:after="80"/>
      </w:pPr>
      <w:r>
        <w:rPr>
          <w:rFonts w:ascii="Arial" w:cs="Arial" w:eastAsia="Arial" w:hAnsi="Arial"/>
          <w:color w:val="2C3E50"/>
          <w:sz w:val="21"/>
          <w:szCs w:val="21"/>
        </w:rPr>
        <w:t xml:space="preserve"/>
      </w:r>
      <w:r>
        <w:rPr>
          <w:rFonts w:ascii="Arial" w:cs="Arial" w:eastAsia="Arial" w:hAnsi="Arial"/>
          <w:b/>
          <w:bCs/>
          <w:color w:val="2C3E50"/>
          <w:sz w:val="21"/>
          <w:szCs w:val="21"/>
        </w:rPr>
        <w:t xml:space="preserve">SIC278 Lanhai close ($56K, March target):</w:t>
      </w:r>
      <w:r>
        <w:rPr>
          <w:rFonts w:ascii="Arial" w:cs="Arial" w:eastAsia="Arial" w:hAnsi="Arial"/>
          <w:color w:val="2C3E50"/>
          <w:sz w:val="21"/>
          <w:szCs w:val="21"/>
        </w:rPr>
        <w:t xml:space="preserve"> This should be closing NOW. Coach urgency: what's needed to get the PO this week?</w:t>
      </w:r>
    </w:p>
    <w:p>
      <w:pPr>
        <w:pStyle w:val="ListParagraph"/>
        <w:numPr>
          <w:ilvl w:val="0"/>
          <w:numId w:val="2"/>
        </w:numPr>
        <w:spacing w:after="80"/>
      </w:pPr>
      <w:r>
        <w:rPr>
          <w:rFonts w:ascii="Arial" w:cs="Arial" w:eastAsia="Arial" w:hAnsi="Arial"/>
          <w:color w:val="2C3E50"/>
          <w:sz w:val="21"/>
          <w:szCs w:val="21"/>
        </w:rPr>
        <w:t xml:space="preserve"/>
      </w:r>
      <w:r>
        <w:rPr>
          <w:rFonts w:ascii="Arial" w:cs="Arial" w:eastAsia="Arial" w:hAnsi="Arial"/>
          <w:b/>
          <w:bCs/>
          <w:color w:val="2C3E50"/>
          <w:sz w:val="21"/>
          <w:szCs w:val="21"/>
        </w:rPr>
        <w:t xml:space="preserve">Waferwon SIC73F1 (150K pcs pending HID qualification):</w:t>
      </w:r>
      <w:r>
        <w:rPr>
          <w:rFonts w:ascii="Arial" w:cs="Arial" w:eastAsia="Arial" w:hAnsi="Arial"/>
          <w:color w:val="2C3E50"/>
          <w:sz w:val="21"/>
          <w:szCs w:val="21"/>
        </w:rPr>
        <w:t xml:space="preserve"> This is Lisa's pipeline item. When does HID qual complete? This bridges to H2.</w:t>
      </w:r>
    </w:p>
    <w:p>
      <w:pPr>
        <w:pStyle w:val="ListParagraph"/>
        <w:numPr>
          <w:ilvl w:val="0"/>
          <w:numId w:val="2"/>
        </w:numPr>
        <w:spacing w:after="80"/>
      </w:pPr>
      <w:r>
        <w:rPr>
          <w:rFonts w:ascii="Arial" w:cs="Arial" w:eastAsia="Arial" w:hAnsi="Arial"/>
          <w:color w:val="2C3E50"/>
          <w:sz w:val="21"/>
          <w:szCs w:val="21"/>
        </w:rPr>
        <w:t xml:space="preserve"/>
      </w:r>
      <w:r>
        <w:rPr>
          <w:rFonts w:ascii="Arial" w:cs="Arial" w:eastAsia="Arial" w:hAnsi="Arial"/>
          <w:b/>
          <w:bCs/>
          <w:color w:val="2C3E50"/>
          <w:sz w:val="21"/>
          <w:szCs w:val="21"/>
        </w:rPr>
        <w:t xml:space="preserve">GP coaching:</w:t>
      </w:r>
      <w:r>
        <w:rPr>
          <w:rFonts w:ascii="Arial" w:cs="Arial" w:eastAsia="Arial" w:hAnsi="Arial"/>
          <w:color w:val="2C3E50"/>
          <w:sz w:val="21"/>
          <w:szCs w:val="21"/>
        </w:rPr>
        <w:t xml:space="preserve"> Lisa's 31.5% GP is below target. Coach awareness: "For every deal, what is the margin? Can we bundle higher-margin products?"</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sz="0"/>
              <w:left w:val="single" w:color="1B4F72" w:sz="12"/>
              <w:bottom w:val="none" w:sz="0"/>
              <w:right w:val="none" w:sz="0"/>
            </w:tcBorders>
          </w:tcPr>
          <w:p/>
        </w:tc>
        <w:tc>
          <w:tcPr>
            <w:tcW w:type="dxa" w:w="9960"/>
            <w:tcBorders>
              <w:top w:val="none" w:sz="0"/>
              <w:left w:val="none" w:sz="0"/>
              <w:bottom w:val="none" w:sz="0"/>
              <w:right w:val="none" w:sz="0"/>
            </w:tcBorders>
            <w:shd w:fill="F2F3F4"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Coaching Question for Lisa</w:t>
            </w:r>
          </w:p>
          <w:p>
            <w:pPr>
              <w:spacing w:after="60"/>
            </w:pPr>
            <w:r>
              <w:rPr>
                <w:rFonts w:ascii="Arial" w:cs="Arial" w:eastAsia="Arial" w:hAnsi="Arial"/>
                <w:color w:val="2C3E50"/>
                <w:sz w:val="21"/>
                <w:szCs w:val="21"/>
              </w:rPr>
              <w:t xml:space="preserve">"Your FCST is strong but your GP is 31.5% vs. 48% target. Walk me through your Q2 product mix. Where can we shift volume toward higher-margin products without losing the deal?"</w:t>
            </w:r>
          </w:p>
        </w:tc>
      </w:tr>
    </w:tbl>
    <w:p>
      <w:pPr>
        <w:spacing w:after="200"/>
      </w:pPr>
    </w:p>
    <w:p>
      <w:pPr>
        <w:pStyle w:val="Heading2"/>
        <w:spacing w:after="120" w:before="240"/>
      </w:pPr>
      <w:r>
        <w:rPr>
          <w:rFonts w:ascii="Arial" w:cs="Arial" w:eastAsia="Arial" w:hAnsi="Arial"/>
          <w:b/>
          <w:bCs/>
          <w:color w:val="0D3B66"/>
          <w:sz w:val="26"/>
          <w:szCs w:val="26"/>
        </w:rPr>
        <w:t xml:space="preserve">NUTTAPON  |  ON TRACK  |  Surplus: +$25K  |  Smallest Territory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Budget</w:t>
            </w:r>
          </w:p>
        </w:tc>
        <w:tc>
          <w:tcPr>
            <w:tcW w:type="dxa" w:w="25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FCST (80%)</w:t>
            </w:r>
          </w:p>
        </w:tc>
        <w:tc>
          <w:tcPr>
            <w:tcW w:type="dxa" w:w="25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YTD Actual</w:t>
            </w:r>
          </w:p>
        </w:tc>
        <w:tc>
          <w:tcPr>
            <w:tcW w:type="dxa" w:w="25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Open SO</w:t>
            </w:r>
          </w:p>
        </w:tc>
      </w:tr>
      <w:tr>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$0.10M</w:t>
            </w:r>
          </w:p>
        </w:tc>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27AE60"/>
                <w:sz w:val="18"/>
                <w:szCs w:val="18"/>
              </w:rPr>
              <w:t xml:space="preserve">$0.13M (124%)</w:t>
            </w:r>
          </w:p>
        </w:tc>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$0.03M</w:t>
            </w:r>
          </w:p>
        </w:tc>
        <w:tc>
          <w:tcPr>
            <w:tcW w:type="dxa" w:w="25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$0.06M</w:t>
            </w:r>
          </w:p>
        </w:tc>
      </w:tr>
    </w:tbl>
    <w:p>
      <w:pPr>
        <w:spacing w:after="60"/>
      </w:pPr>
    </w:p>
    <w:p>
      <w:pPr>
        <w:spacing w:after="120"/>
      </w:pPr>
      <w:r>
        <w:rPr>
          <w:rFonts w:ascii="Arial" w:cs="Arial" w:eastAsia="Arial" w:hAnsi="Arial"/>
          <w:color w:val="2C3E50"/>
          <w:sz w:val="21"/>
          <w:szCs w:val="21"/>
        </w:rPr>
        <w:t xml:space="preserve"/>
      </w:r>
      <w:r>
        <w:rPr>
          <w:rFonts w:ascii="Arial" w:cs="Arial" w:eastAsia="Arial" w:hAnsi="Arial"/>
          <w:b/>
          <w:bCs/>
          <w:color w:val="000000"/>
          <w:sz w:val="21"/>
          <w:szCs w:val="21"/>
        </w:rPr>
        <w:t xml:space="preserve">Diagnosis:</w:t>
      </w:r>
      <w:r>
        <w:rPr>
          <w:rFonts w:ascii="Arial" w:cs="Arial" w:eastAsia="Arial" w:hAnsi="Arial"/>
          <w:color w:val="2C3E50"/>
          <w:sz w:val="21"/>
          <w:szCs w:val="21"/>
        </w:rPr>
        <w:t xml:space="preserve"> Nuttapon over-indexes on FCST at 124%. Small territory ($100K budget) but the KKP Bank Fido NFC project ($200K) is a potential breakout. This is a development coaching opportunity: help Nuttapon level up from $100K rep to $500K+ territory.</w:t>
      </w:r>
    </w:p>
    <w:p>
      <w:pPr>
        <w:spacing w:after="40"/>
      </w:pPr>
    </w:p>
    <w:p>
      <w:pPr>
        <w:spacing w:after="120"/>
      </w:pPr>
      <w:r>
        <w:rPr>
          <w:rFonts w:ascii="Arial" w:cs="Arial" w:eastAsia="Arial" w:hAnsi="Arial"/>
          <w:color w:val="2C3E50"/>
          <w:sz w:val="21"/>
          <w:szCs w:val="21"/>
        </w:rPr>
        <w:t xml:space="preserve"/>
      </w:r>
      <w:r>
        <w:rPr>
          <w:rFonts w:ascii="Arial" w:cs="Arial" w:eastAsia="Arial" w:hAnsi="Arial"/>
          <w:b/>
          <w:bCs/>
          <w:color w:val="000000"/>
          <w:sz w:val="21"/>
          <w:szCs w:val="21"/>
        </w:rPr>
        <w:t xml:space="preserve">Coaching Focus for 1:1s:</w:t>
      </w:r>
      <w:r>
        <w:rPr>
          <w:rFonts w:ascii="Arial" w:cs="Arial" w:eastAsia="Arial" w:hAnsi="Arial"/>
          <w:color w:val="2C3E50"/>
          <w:sz w:val="21"/>
          <w:szCs w:val="21"/>
        </w:rPr>
        <w:t xml:space="preserve"/>
      </w:r>
    </w:p>
    <w:p>
      <w:pPr>
        <w:pStyle w:val="ListParagraph"/>
        <w:numPr>
          <w:ilvl w:val="0"/>
          <w:numId w:val="2"/>
        </w:numPr>
        <w:spacing w:after="80"/>
      </w:pPr>
      <w:r>
        <w:rPr>
          <w:rFonts w:ascii="Arial" w:cs="Arial" w:eastAsia="Arial" w:hAnsi="Arial"/>
          <w:color w:val="2C3E50"/>
          <w:sz w:val="21"/>
          <w:szCs w:val="21"/>
        </w:rPr>
        <w:t xml:space="preserve"/>
      </w:r>
      <w:r>
        <w:rPr>
          <w:rFonts w:ascii="Arial" w:cs="Arial" w:eastAsia="Arial" w:hAnsi="Arial"/>
          <w:b/>
          <w:bCs/>
          <w:color w:val="2C3E50"/>
          <w:sz w:val="21"/>
          <w:szCs w:val="21"/>
        </w:rPr>
        <w:t xml:space="preserve">KKP Bank Fido NFC ($200K):</w:t>
      </w:r>
      <w:r>
        <w:rPr>
          <w:rFonts w:ascii="Arial" w:cs="Arial" w:eastAsia="Arial" w:hAnsi="Arial"/>
          <w:color w:val="2C3E50"/>
          <w:sz w:val="21"/>
          <w:szCs w:val="21"/>
        </w:rPr>
        <w:t xml:space="preserve"> This is 2x his entire budget. Coach on executive selling: who at KKP Bank owns the decision? The IDEX reseller agreement must close Q1 to enable Q2 order. This is the critical path. Coach escalation if needed.</w:t>
      </w:r>
    </w:p>
    <w:p>
      <w:pPr>
        <w:pStyle w:val="ListParagraph"/>
        <w:numPr>
          <w:ilvl w:val="0"/>
          <w:numId w:val="2"/>
        </w:numPr>
        <w:spacing w:after="80"/>
      </w:pPr>
      <w:r>
        <w:rPr>
          <w:rFonts w:ascii="Arial" w:cs="Arial" w:eastAsia="Arial" w:hAnsi="Arial"/>
          <w:color w:val="2C3E50"/>
          <w:sz w:val="21"/>
          <w:szCs w:val="21"/>
        </w:rPr>
        <w:t xml:space="preserve"/>
      </w:r>
      <w:r>
        <w:rPr>
          <w:rFonts w:ascii="Arial" w:cs="Arial" w:eastAsia="Arial" w:hAnsi="Arial"/>
          <w:b/>
          <w:bCs/>
          <w:color w:val="2C3E50"/>
          <w:sz w:val="21"/>
          <w:szCs w:val="21"/>
        </w:rPr>
        <w:t xml:space="preserve">Hitachi JP SIC73F1 frame order (24-36K units, $110K):</w:t>
      </w:r>
      <w:r>
        <w:rPr>
          <w:rFonts w:ascii="Arial" w:cs="Arial" w:eastAsia="Arial" w:hAnsi="Arial"/>
          <w:color w:val="2C3E50"/>
          <w:sz w:val="21"/>
          <w:szCs w:val="21"/>
        </w:rPr>
        <w:t xml:space="preserve"> Another budget-doubler. Coach on managing the J-customer relationship cadence and decision timeline.</w:t>
      </w:r>
    </w:p>
    <w:p>
      <w:pPr>
        <w:pStyle w:val="ListParagraph"/>
        <w:numPr>
          <w:ilvl w:val="0"/>
          <w:numId w:val="2"/>
        </w:numPr>
        <w:spacing w:after="80"/>
      </w:pPr>
      <w:r>
        <w:rPr>
          <w:rFonts w:ascii="Arial" w:cs="Arial" w:eastAsia="Arial" w:hAnsi="Arial"/>
          <w:color w:val="2C3E50"/>
          <w:sz w:val="21"/>
          <w:szCs w:val="21"/>
        </w:rPr>
        <w:t xml:space="preserve"/>
      </w:r>
      <w:r>
        <w:rPr>
          <w:rFonts w:ascii="Arial" w:cs="Arial" w:eastAsia="Arial" w:hAnsi="Arial"/>
          <w:b/>
          <w:bCs/>
          <w:color w:val="2C3E50"/>
          <w:sz w:val="21"/>
          <w:szCs w:val="21"/>
        </w:rPr>
        <w:t xml:space="preserve">Territory expansion:</w:t>
      </w:r>
      <w:r>
        <w:rPr>
          <w:rFonts w:ascii="Arial" w:cs="Arial" w:eastAsia="Arial" w:hAnsi="Arial"/>
          <w:color w:val="2C3E50"/>
          <w:sz w:val="21"/>
          <w:szCs w:val="21"/>
        </w:rPr>
        <w:t xml:space="preserve"> Nuttapon has bandwidth. Assign 2-3 prospecting targets. Who are the Thai domestic accounts that could be $100K+?</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sz="0"/>
              <w:left w:val="single" w:color="1B4F72" w:sz="12"/>
              <w:bottom w:val="none" w:sz="0"/>
              <w:right w:val="none" w:sz="0"/>
            </w:tcBorders>
          </w:tcPr>
          <w:p/>
        </w:tc>
        <w:tc>
          <w:tcPr>
            <w:tcW w:type="dxa" w:w="9960"/>
            <w:tcBorders>
              <w:top w:val="none" w:sz="0"/>
              <w:left w:val="none" w:sz="0"/>
              <w:bottom w:val="none" w:sz="0"/>
              <w:right w:val="none" w:sz="0"/>
            </w:tcBorders>
            <w:shd w:fill="F2F3F4"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Coaching Question for Nuttapon</w:t>
            </w:r>
          </w:p>
          <w:p>
            <w:pPr>
              <w:spacing w:after="60"/>
            </w:pPr>
            <w:r>
              <w:rPr>
                <w:rFonts w:ascii="Arial" w:cs="Arial" w:eastAsia="Arial" w:hAnsi="Arial"/>
                <w:color w:val="2C3E50"/>
                <w:sz w:val="21"/>
                <w:szCs w:val="21"/>
              </w:rPr>
              <w:t xml:space="preserve">"The KKP Bank deal could be bigger than your whole year. What is the single biggest risk to this deal closing in Q2? What can we do together to remove that risk this week?"</w:t>
            </w:r>
          </w:p>
        </w:tc>
      </w:tr>
    </w:tbl>
    <w:p>
      <w:r>
        <w:br w:type="page"/>
      </w:r>
    </w:p>
    <w:p>
      <w:pPr>
        <w:pStyle w:val="Heading1"/>
        <w:spacing w:after="120" w:before="360"/>
      </w:pPr>
      <w:r>
        <w:rPr>
          <w:rFonts w:ascii="Arial" w:cs="Arial" w:eastAsia="Arial" w:hAnsi="Arial"/>
          <w:b/>
          <w:bCs/>
          <w:color w:val="1B4F72"/>
          <w:sz w:val="32"/>
          <w:szCs w:val="32"/>
        </w:rPr>
        <w:t xml:space="preserve">3. Weekly Coaching Cadence</w:t>
      </w:r>
    </w:p>
    <w:p>
      <w:pPr>
        <w:spacing w:after="120"/>
      </w:pPr>
      <w:r>
        <w:rPr>
          <w:rFonts w:ascii="Arial" w:cs="Arial" w:eastAsia="Arial" w:hAnsi="Arial"/>
          <w:color w:val="2C3E50"/>
          <w:sz w:val="21"/>
          <w:szCs w:val="21"/>
        </w:rPr>
        <w:t xml:space="preserve">Structure your week around these three touchpoints:</w:t>
      </w:r>
    </w:p>
    <w:p>
      <w:pPr>
        <w:spacing w:after="60"/>
      </w:pPr>
    </w:p>
    <w:p>
      <w:pPr>
        <w:pStyle w:val="Heading2"/>
        <w:spacing w:after="120" w:before="240"/>
      </w:pPr>
      <w:r>
        <w:rPr>
          <w:rFonts w:ascii="Arial" w:cs="Arial" w:eastAsia="Arial" w:hAnsi="Arial"/>
          <w:b/>
          <w:bCs/>
          <w:color w:val="0D3B66"/>
          <w:sz w:val="26"/>
          <w:szCs w:val="26"/>
        </w:rPr>
        <w:t xml:space="preserve">Monday: Pipeline Review (Team, 60 min)</w:t>
      </w:r>
    </w:p>
    <w:p>
      <w:pPr>
        <w:spacing w:after="120"/>
      </w:pPr>
      <w:r>
        <w:rPr>
          <w:rFonts w:ascii="Arial" w:cs="Arial" w:eastAsia="Arial" w:hAnsi="Arial"/>
          <w:color w:val="2C3E50"/>
          <w:sz w:val="21"/>
          <w:szCs w:val="21"/>
        </w:rPr>
        <w:t xml:space="preserve">Purpose: Update forecast, identify blockers, assign actions for the week.</w:t>
      </w:r>
    </w:p>
    <w:p>
      <w:pPr>
        <w:pStyle w:val="ListParagraph"/>
        <w:numPr>
          <w:ilvl w:val="0"/>
          <w:numId w:val="3"/>
        </w:numPr>
        <w:spacing w:after="80"/>
      </w:pPr>
      <w:r>
        <w:rPr>
          <w:rFonts w:ascii="Arial" w:cs="Arial" w:eastAsia="Arial" w:hAnsi="Arial"/>
          <w:sz w:val="21"/>
          <w:szCs w:val="21"/>
        </w:rPr>
        <w:t xml:space="preserve">Dashboard walk-through: Review the v11 dashboard together. What changed since last week?</w:t>
      </w:r>
    </w:p>
    <w:p>
      <w:pPr>
        <w:pStyle w:val="ListParagraph"/>
        <w:numPr>
          <w:ilvl w:val="0"/>
          <w:numId w:val="3"/>
        </w:numPr>
        <w:spacing w:after="80"/>
      </w:pPr>
      <w:r>
        <w:rPr>
          <w:rFonts w:ascii="Arial" w:cs="Arial" w:eastAsia="Arial" w:hAnsi="Arial"/>
          <w:sz w:val="21"/>
          <w:szCs w:val="21"/>
        </w:rPr>
        <w:t xml:space="preserve">Each rep states: (a) their #1 deal to close this week, (b) their #1 blocker, (c) help needed from management.</w:t>
      </w:r>
    </w:p>
    <w:p>
      <w:pPr>
        <w:pStyle w:val="ListParagraph"/>
        <w:numPr>
          <w:ilvl w:val="0"/>
          <w:numId w:val="3"/>
        </w:numPr>
        <w:spacing w:after="80"/>
      </w:pPr>
      <w:r>
        <w:rPr>
          <w:rFonts w:ascii="Arial" w:cs="Arial" w:eastAsia="Arial" w:hAnsi="Arial"/>
          <w:sz w:val="21"/>
          <w:szCs w:val="21"/>
        </w:rPr>
        <w:t xml:space="preserve">Update the Open SO column live. Any SO that shipped = celebrate. Any SO that slipped = discuss.</w:t>
      </w:r>
    </w:p>
    <w:p>
      <w:pPr>
        <w:pStyle w:val="ListParagraph"/>
        <w:numPr>
          <w:ilvl w:val="0"/>
          <w:numId w:val="3"/>
        </w:numPr>
        <w:spacing w:after="80"/>
      </w:pPr>
      <w:r>
        <w:rPr>
          <w:rFonts w:ascii="Arial" w:cs="Arial" w:eastAsia="Arial" w:hAnsi="Arial"/>
          <w:sz w:val="21"/>
          <w:szCs w:val="21"/>
        </w:rPr>
        <w:t xml:space="preserve">Close with: "What are we doing THIS WEEK to close the Q2 gap?" Assign specific, named actions.</w:t>
      </w:r>
    </w:p>
    <w:p>
      <w:pPr>
        <w:spacing w:after="120"/>
      </w:pPr>
    </w:p>
    <w:p>
      <w:pPr>
        <w:pStyle w:val="Heading2"/>
        <w:spacing w:after="120" w:before="240"/>
      </w:pPr>
      <w:r>
        <w:rPr>
          <w:rFonts w:ascii="Arial" w:cs="Arial" w:eastAsia="Arial" w:hAnsi="Arial"/>
          <w:b/>
          <w:bCs/>
          <w:color w:val="0D3B66"/>
          <w:sz w:val="26"/>
          <w:szCs w:val="26"/>
        </w:rPr>
        <w:t xml:space="preserve">Wednesday/Thursday: 1:1 Coaching (30 min per rep)</w:t>
      </w:r>
    </w:p>
    <w:p>
      <w:pPr>
        <w:spacing w:after="120"/>
      </w:pPr>
      <w:r>
        <w:rPr>
          <w:rFonts w:ascii="Arial" w:cs="Arial" w:eastAsia="Arial" w:hAnsi="Arial"/>
          <w:color w:val="2C3E50"/>
          <w:sz w:val="21"/>
          <w:szCs w:val="21"/>
        </w:rPr>
        <w:t xml:space="preserve">Purpose: Deep-dive on each rep's top 2 opportunities using the coaching cards above.</w:t>
      </w:r>
    </w:p>
    <w:p>
      <w:pPr>
        <w:pStyle w:val="ListParagraph"/>
        <w:numPr>
          <w:ilvl w:val="0"/>
          <w:numId w:val="4"/>
        </w:numPr>
        <w:spacing w:after="80"/>
      </w:pPr>
      <w:r>
        <w:rPr>
          <w:rFonts w:ascii="Arial" w:cs="Arial" w:eastAsia="Arial" w:hAnsi="Arial"/>
          <w:sz w:val="21"/>
          <w:szCs w:val="21"/>
        </w:rPr>
        <w:t xml:space="preserve">Open with the rep's coaching card data. "Your FCST is X, your gap is Y. Let's talk about your top 2 deals."</w:t>
      </w:r>
    </w:p>
    <w:p>
      <w:pPr>
        <w:pStyle w:val="ListParagraph"/>
        <w:numPr>
          <w:ilvl w:val="0"/>
          <w:numId w:val="4"/>
        </w:numPr>
        <w:spacing w:after="80"/>
      </w:pPr>
      <w:r>
        <w:rPr>
          <w:rFonts w:ascii="Arial" w:cs="Arial" w:eastAsia="Arial" w:hAnsi="Arial"/>
          <w:sz w:val="21"/>
          <w:szCs w:val="21"/>
        </w:rPr>
        <w:t xml:space="preserve">Use the coaching questions on each card. Listen for specifics: dates, names, PO numbers, next steps.</w:t>
      </w:r>
    </w:p>
    <w:p>
      <w:pPr>
        <w:pStyle w:val="ListParagraph"/>
        <w:numPr>
          <w:ilvl w:val="0"/>
          <w:numId w:val="4"/>
        </w:numPr>
        <w:spacing w:after="80"/>
      </w:pPr>
      <w:r>
        <w:rPr>
          <w:rFonts w:ascii="Arial" w:cs="Arial" w:eastAsia="Arial" w:hAnsi="Arial"/>
          <w:sz w:val="21"/>
          <w:szCs w:val="21"/>
        </w:rPr>
        <w:t xml:space="preserve">End with: "What will you accomplish on this deal by our next 1:1?" Write it down. Hold them to it.</w:t>
      </w:r>
    </w:p>
    <w:p>
      <w:pPr>
        <w:pStyle w:val="ListParagraph"/>
        <w:numPr>
          <w:ilvl w:val="0"/>
          <w:numId w:val="4"/>
        </w:numPr>
        <w:spacing w:after="80"/>
      </w:pPr>
      <w:r>
        <w:rPr>
          <w:rFonts w:ascii="Arial" w:cs="Arial" w:eastAsia="Arial" w:hAnsi="Arial"/>
          <w:sz w:val="21"/>
          <w:szCs w:val="21"/>
        </w:rPr>
        <w:t xml:space="preserve">For pipeline: "Show me one new prospect you contacted this week. Tell me about the conversation."</w:t>
      </w:r>
    </w:p>
    <w:p>
      <w:pPr>
        <w:spacing w:after="120"/>
      </w:pPr>
    </w:p>
    <w:p>
      <w:pPr>
        <w:pStyle w:val="Heading2"/>
        <w:spacing w:after="120" w:before="240"/>
      </w:pPr>
      <w:r>
        <w:rPr>
          <w:rFonts w:ascii="Arial" w:cs="Arial" w:eastAsia="Arial" w:hAnsi="Arial"/>
          <w:b/>
          <w:bCs/>
          <w:color w:val="0D3B66"/>
          <w:sz w:val="26"/>
          <w:szCs w:val="26"/>
        </w:rPr>
        <w:t xml:space="preserve">Friday: Commit &amp; Forecast Update (15 min team standup)</w:t>
      </w:r>
    </w:p>
    <w:p>
      <w:pPr>
        <w:spacing w:after="120"/>
      </w:pPr>
      <w:r>
        <w:rPr>
          <w:rFonts w:ascii="Arial" w:cs="Arial" w:eastAsia="Arial" w:hAnsi="Arial"/>
          <w:color w:val="2C3E50"/>
          <w:sz w:val="21"/>
          <w:szCs w:val="21"/>
        </w:rPr>
        <w:t xml:space="preserve">Purpose: Lock the weekly forecast. What shipped, what's committed for next week.</w:t>
      </w:r>
    </w:p>
    <w:p>
      <w:pPr>
        <w:pStyle w:val="ListParagraph"/>
        <w:numPr>
          <w:ilvl w:val="0"/>
          <w:numId w:val="5"/>
        </w:numPr>
        <w:spacing w:after="80"/>
      </w:pPr>
      <w:r>
        <w:rPr>
          <w:rFonts w:ascii="Arial" w:cs="Arial" w:eastAsia="Arial" w:hAnsi="Arial"/>
          <w:sz w:val="21"/>
          <w:szCs w:val="21"/>
        </w:rPr>
        <w:t xml:space="preserve">Each rep: "This week I shipped $X. Next week I expect to ship $Y. My confidence is high/medium/low."</w:t>
      </w:r>
    </w:p>
    <w:p>
      <w:pPr>
        <w:pStyle w:val="ListParagraph"/>
        <w:numPr>
          <w:ilvl w:val="0"/>
          <w:numId w:val="5"/>
        </w:numPr>
        <w:spacing w:after="80"/>
      </w:pPr>
      <w:r>
        <w:rPr>
          <w:rFonts w:ascii="Arial" w:cs="Arial" w:eastAsia="Arial" w:hAnsi="Arial"/>
          <w:sz w:val="21"/>
          <w:szCs w:val="21"/>
        </w:rPr>
        <w:t xml:space="preserve">Track weekly actuals vs. weekly commitments. Build accountability through visibility.</w:t>
      </w:r>
    </w:p>
    <w:p>
      <w:pPr>
        <w:pStyle w:val="ListParagraph"/>
        <w:numPr>
          <w:ilvl w:val="0"/>
          <w:numId w:val="5"/>
        </w:numPr>
        <w:spacing w:after="80"/>
      </w:pPr>
      <w:r>
        <w:rPr>
          <w:rFonts w:ascii="Arial" w:cs="Arial" w:eastAsia="Arial" w:hAnsi="Arial"/>
          <w:sz w:val="21"/>
          <w:szCs w:val="21"/>
        </w:rPr>
        <w:t xml:space="preserve">Flag any deal that slipped from its committed date. Pattern of slippage = coaching conversation.</w:t>
      </w:r>
    </w:p>
    <w:p>
      <w:r>
        <w:br w:type="page"/>
      </w:r>
    </w:p>
    <w:p>
      <w:pPr>
        <w:pStyle w:val="Heading1"/>
        <w:spacing w:after="120" w:before="360"/>
      </w:pPr>
      <w:r>
        <w:rPr>
          <w:rFonts w:ascii="Arial" w:cs="Arial" w:eastAsia="Arial" w:hAnsi="Arial"/>
          <w:b/>
          <w:bCs/>
          <w:color w:val="1B4F72"/>
          <w:sz w:val="32"/>
          <w:szCs w:val="32"/>
        </w:rPr>
        <w:t xml:space="preserve">4. Q2 Gap Closure: The $0.81M Recovery Plan</w:t>
      </w:r>
    </w:p>
    <w:p>
      <w:pPr>
        <w:spacing w:after="120"/>
      </w:pPr>
      <w:r>
        <w:rPr>
          <w:rFonts w:ascii="Arial" w:cs="Arial" w:eastAsia="Arial" w:hAnsi="Arial"/>
          <w:color w:val="2C3E50"/>
          <w:sz w:val="21"/>
          <w:szCs w:val="21"/>
        </w:rPr>
        <w:t xml:space="preserve">These are the specific deals that close the Q2 gap. Track weekly in your Monday review:</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2500"/>
        <w:gridCol w:w="1200"/>
        <w:gridCol w:w="1200"/>
        <w:gridCol w:w="1100"/>
        <w:gridCol w:w="1280"/>
      </w:tblGrid>
      <w:tr>
        <w:tc>
          <w:tcPr>
            <w:tcW w:type="dxa" w:w="1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Rep</w:t>
            </w:r>
          </w:p>
        </w:tc>
        <w:tc>
          <w:tcPr>
            <w:tcW w:type="dxa" w:w="13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Account</w:t>
            </w:r>
          </w:p>
        </w:tc>
        <w:tc>
          <w:tcPr>
            <w:tcW w:type="dxa" w:w="2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Deal</w:t>
            </w:r>
          </w:p>
        </w:tc>
        <w:tc>
          <w:tcPr>
            <w:tcW w:type="dxa" w:w="1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c>
          <w:tcPr>
            <w:tcW w:type="dxa" w:w="1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Timing</w:t>
            </w:r>
          </w:p>
        </w:tc>
        <w:tc>
          <w:tcPr>
            <w:tcW w:type="dxa" w:w="11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Prob.</w:t>
            </w:r>
          </w:p>
        </w:tc>
        <w:tc>
          <w:tcPr>
            <w:tcW w:type="dxa" w:w="12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Weighted</w:t>
            </w:r>
          </w:p>
        </w:tc>
      </w:tr>
      <w:tr>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2C3E50"/>
                <w:sz w:val="18"/>
                <w:szCs w:val="18"/>
              </w:rPr>
              <w:t xml:space="preserve">Shan</w:t>
            </w:r>
          </w:p>
        </w:tc>
        <w:tc>
          <w:tcPr>
            <w:tcW w:type="dxa" w:w="13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STRATTEC</w:t>
            </w:r>
          </w:p>
        </w:tc>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4-product ULTX/THV46 qualification</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2C3E50"/>
                <w:sz w:val="18"/>
                <w:szCs w:val="18"/>
              </w:rPr>
              <w:t xml:space="preserve">$680K</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Q2</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D68910"/>
                <w:sz w:val="18"/>
                <w:szCs w:val="18"/>
              </w:rPr>
              <w:t xml:space="preserve">30-40%</w:t>
            </w:r>
          </w:p>
        </w:tc>
        <w:tc>
          <w:tcPr>
            <w:tcW w:type="dxa" w:w="12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$204-272K</w:t>
            </w:r>
          </w:p>
        </w:tc>
      </w:tr>
      <w:tr>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2C3E50"/>
                <w:sz w:val="18"/>
                <w:szCs w:val="18"/>
              </w:rPr>
              <w:t xml:space="preserve">Terry</w:t>
            </w:r>
          </w:p>
        </w:tc>
        <w:tc>
          <w:tcPr>
            <w:tcW w:type="dxa" w:w="13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Freevision</w:t>
            </w:r>
          </w:p>
        </w:tc>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SIC5777 ~50 wafers May-Jun</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2C3E50"/>
                <w:sz w:val="18"/>
                <w:szCs w:val="18"/>
              </w:rPr>
              <w:t xml:space="preserve">$294K</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May-Jun</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7AE60"/>
                <w:sz w:val="18"/>
                <w:szCs w:val="18"/>
              </w:rPr>
              <w:t xml:space="preserve">70%</w:t>
            </w:r>
          </w:p>
        </w:tc>
        <w:tc>
          <w:tcPr>
            <w:tcW w:type="dxa" w:w="12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$206K</w:t>
            </w:r>
          </w:p>
        </w:tc>
      </w:tr>
      <w:tr>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2C3E50"/>
                <w:sz w:val="18"/>
                <w:szCs w:val="18"/>
              </w:rPr>
              <w:t xml:space="preserve">Terry</w:t>
            </w:r>
          </w:p>
        </w:tc>
        <w:tc>
          <w:tcPr>
            <w:tcW w:type="dxa" w:w="13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E-Garde</w:t>
            </w:r>
          </w:p>
        </w:tc>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LF+AES Miwa (post reliability test)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2C3E50"/>
                <w:sz w:val="18"/>
                <w:szCs w:val="18"/>
              </w:rPr>
              <w:t xml:space="preserve">$260K</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Q2</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D68910"/>
                <w:sz w:val="18"/>
                <w:szCs w:val="18"/>
              </w:rPr>
              <w:t xml:space="preserve">50%</w:t>
            </w:r>
          </w:p>
        </w:tc>
        <w:tc>
          <w:tcPr>
            <w:tcW w:type="dxa" w:w="12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$130K</w:t>
            </w:r>
          </w:p>
        </w:tc>
      </w:tr>
      <w:tr>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2C3E50"/>
                <w:sz w:val="18"/>
                <w:szCs w:val="18"/>
              </w:rPr>
              <w:t xml:space="preserve">Nuttapon</w:t>
            </w:r>
          </w:p>
        </w:tc>
        <w:tc>
          <w:tcPr>
            <w:tcW w:type="dxa" w:w="13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KKP Bank</w:t>
            </w:r>
          </w:p>
        </w:tc>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Fido card NFC project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2C3E50"/>
                <w:sz w:val="18"/>
                <w:szCs w:val="18"/>
              </w:rPr>
              <w:t xml:space="preserve">$200K</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Q2</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D68910"/>
                <w:sz w:val="18"/>
                <w:szCs w:val="18"/>
              </w:rPr>
              <w:t xml:space="preserve">40%</w:t>
            </w:r>
          </w:p>
        </w:tc>
        <w:tc>
          <w:tcPr>
            <w:tcW w:type="dxa" w:w="12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$80K</w:t>
            </w:r>
          </w:p>
        </w:tc>
      </w:tr>
      <w:tr>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2C3E50"/>
                <w:sz w:val="18"/>
                <w:szCs w:val="18"/>
              </w:rPr>
              <w:t xml:space="preserve">Lisa</w:t>
            </w:r>
          </w:p>
        </w:tc>
        <w:tc>
          <w:tcPr>
            <w:tcW w:type="dxa" w:w="13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Lanhai</w:t>
            </w:r>
          </w:p>
        </w:tc>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RE31/RA10 new PO + SIC278 close</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2C3E50"/>
                <w:sz w:val="18"/>
                <w:szCs w:val="18"/>
              </w:rPr>
              <w:t xml:space="preserve">$160K</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Mar-Q2</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7AE60"/>
                <w:sz w:val="18"/>
                <w:szCs w:val="18"/>
              </w:rPr>
              <w:t xml:space="preserve">65%</w:t>
            </w:r>
          </w:p>
        </w:tc>
        <w:tc>
          <w:tcPr>
            <w:tcW w:type="dxa" w:w="12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$104K</w:t>
            </w:r>
          </w:p>
        </w:tc>
      </w:tr>
      <w:tr>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2C3E50"/>
                <w:sz w:val="18"/>
                <w:szCs w:val="18"/>
              </w:rPr>
              <w:t xml:space="preserve">Intira</w:t>
            </w:r>
          </w:p>
        </w:tc>
        <w:tc>
          <w:tcPr>
            <w:tcW w:type="dxa" w:w="13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Caisley</w:t>
            </w:r>
          </w:p>
        </w:tc>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SIC279 460K pcs (price TBD)</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2C3E50"/>
                <w:sz w:val="18"/>
                <w:szCs w:val="18"/>
              </w:rPr>
              <w:t xml:space="preserve">$230K+</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Q2</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D68910"/>
                <w:sz w:val="18"/>
                <w:szCs w:val="18"/>
              </w:rPr>
              <w:t xml:space="preserve">60%</w:t>
            </w:r>
          </w:p>
        </w:tc>
        <w:tc>
          <w:tcPr>
            <w:tcW w:type="dxa" w:w="12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$138K+</w:t>
            </w:r>
          </w:p>
        </w:tc>
      </w:tr>
      <w:tr>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2C3E50"/>
                <w:sz w:val="18"/>
                <w:szCs w:val="18"/>
              </w:rPr>
              <w:t xml:space="preserve">Tunn</w:t>
            </w:r>
          </w:p>
        </w:tc>
        <w:tc>
          <w:tcPr>
            <w:tcW w:type="dxa" w:w="13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APKID</w:t>
            </w:r>
          </w:p>
        </w:tc>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TMV48 DAF truck OEM</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$39K</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Q2</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D68910"/>
                <w:sz w:val="18"/>
                <w:szCs w:val="18"/>
              </w:rPr>
              <w:t xml:space="preserve">50%</w:t>
            </w:r>
          </w:p>
        </w:tc>
        <w:tc>
          <w:tcPr>
            <w:tcW w:type="dxa" w:w="12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$20K</w:t>
            </w:r>
          </w:p>
        </w:tc>
      </w:tr>
      <w:tr>
        <w:tc>
          <w:tcPr>
            <w:tcW w:type="dxa" w:w="1500"/>
            <w:gridSpan w:val="3"/>
            <w:tcBorders>
              <w:top w:val="single" w:color="D5D8DC" w:sz="1"/>
              <w:left w:val="single" w:color="D5D8DC" w:sz="1"/>
              <w:bottom w:val="single" w:color="D5D8DC" w:sz="1"/>
              <w:right w:val="single" w:color="D5D8DC" w:sz="1"/>
            </w:tcBorders>
            <w:shd w:fill="E8F0FE" w:val="clear"/>
            <w:tcMar>
              <w:top w:type="dxa" w:w="60"/>
              <w:left w:type="dxa" w:w="100"/>
              <w:bottom w:type="dxa" w:w="60"/>
              <w:right w:type="dxa" w:w="100"/>
            </w:tcMar>
          </w:tcPr>
          <w:p>
            <w:r>
              <w:rPr>
                <w:rFonts w:ascii="Arial" w:cs="Arial" w:eastAsia="Arial" w:hAnsi="Arial"/>
                <w:b/>
                <w:bCs/>
                <w:color w:val="1B4F72"/>
                <w:sz w:val="18"/>
                <w:szCs w:val="18"/>
              </w:rPr>
              <w:t xml:space="preserve">TOTAL RECOVERY PIPELINE</w:t>
            </w:r>
          </w:p>
        </w:tc>
        <w:tc>
          <w:tcPr>
            <w:tcW w:type="dxa" w:w="1200"/>
            <w:tcBorders>
              <w:top w:val="single" w:color="D5D8DC" w:sz="1"/>
              <w:left w:val="single" w:color="D5D8DC" w:sz="1"/>
              <w:bottom w:val="single" w:color="D5D8DC" w:sz="1"/>
              <w:right w:val="single" w:color="D5D8DC" w:sz="1"/>
            </w:tcBorders>
            <w:shd w:fill="E8F0FE" w:val="clear"/>
            <w:tcMar>
              <w:top w:type="dxa" w:w="60"/>
              <w:left w:type="dxa" w:w="100"/>
              <w:bottom w:type="dxa" w:w="60"/>
              <w:right w:type="dxa" w:w="100"/>
            </w:tcMar>
          </w:tcPr>
          <w:p>
            <w:r>
              <w:rPr>
                <w:rFonts w:ascii="Arial" w:cs="Arial" w:eastAsia="Arial" w:hAnsi="Arial"/>
                <w:b/>
                <w:bCs/>
                <w:color w:val="1B4F72"/>
                <w:sz w:val="18"/>
                <w:szCs w:val="18"/>
              </w:rPr>
              <w:t xml:space="preserve">$1.86M+</w:t>
            </w:r>
          </w:p>
        </w:tc>
        <w:tc>
          <w:tcPr>
            <w:tcW w:type="dxa" w:w="1200"/>
            <w:tcBorders>
              <w:top w:val="single" w:color="D5D8DC" w:sz="1"/>
              <w:left w:val="single" w:color="D5D8DC" w:sz="1"/>
              <w:bottom w:val="single" w:color="D5D8DC" w:sz="1"/>
              <w:right w:val="single" w:color="D5D8DC" w:sz="1"/>
            </w:tcBorders>
            <w:shd w:fill="E8F0FE" w:val="clear"/>
            <w:tcMar>
              <w:top w:type="dxa" w:w="60"/>
              <w:left w:type="dxa" w:w="100"/>
              <w:bottom w:type="dxa" w:w="60"/>
              <w:right w:type="dxa" w:w="100"/>
            </w:tcMar>
          </w:tcPr>
          <w:p/>
        </w:tc>
        <w:tc>
          <w:tcPr>
            <w:tcW w:type="dxa" w:w="1100"/>
            <w:tcBorders>
              <w:top w:val="single" w:color="D5D8DC" w:sz="1"/>
              <w:left w:val="single" w:color="D5D8DC" w:sz="1"/>
              <w:bottom w:val="single" w:color="D5D8DC" w:sz="1"/>
              <w:right w:val="single" w:color="D5D8DC" w:sz="1"/>
            </w:tcBorders>
            <w:shd w:fill="E8F0FE" w:val="clear"/>
            <w:tcMar>
              <w:top w:type="dxa" w:w="60"/>
              <w:left w:type="dxa" w:w="100"/>
              <w:bottom w:type="dxa" w:w="60"/>
              <w:right w:type="dxa" w:w="100"/>
            </w:tcMar>
          </w:tcPr>
          <w:p/>
        </w:tc>
        <w:tc>
          <w:tcPr>
            <w:tcW w:type="dxa" w:w="1280"/>
            <w:tcBorders>
              <w:top w:val="single" w:color="D5D8DC" w:sz="1"/>
              <w:left w:val="single" w:color="D5D8DC" w:sz="1"/>
              <w:bottom w:val="single" w:color="D5D8DC" w:sz="1"/>
              <w:right w:val="single" w:color="D5D8DC" w:sz="1"/>
            </w:tcBorders>
            <w:shd w:fill="E8F0FE" w:val="clear"/>
            <w:tcMar>
              <w:top w:type="dxa" w:w="60"/>
              <w:left w:type="dxa" w:w="100"/>
              <w:bottom w:type="dxa" w:w="60"/>
              <w:right w:type="dxa" w:w="100"/>
            </w:tcMar>
          </w:tcPr>
          <w:p>
            <w:r>
              <w:rPr>
                <w:rFonts w:ascii="Arial" w:cs="Arial" w:eastAsia="Arial" w:hAnsi="Arial"/>
                <w:b/>
                <w:bCs/>
                <w:color w:val="27AE60"/>
                <w:sz w:val="18"/>
                <w:szCs w:val="18"/>
              </w:rPr>
              <w:t xml:space="preserve">$882K-950K</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sz="0"/>
              <w:left w:val="single" w:color="1B4F72" w:sz="12"/>
              <w:bottom w:val="none" w:sz="0"/>
              <w:right w:val="none" w:sz="0"/>
            </w:tcBorders>
          </w:tcPr>
          <w:p/>
        </w:tc>
        <w:tc>
          <w:tcPr>
            <w:tcW w:type="dxa" w:w="9960"/>
            <w:tcBorders>
              <w:top w:val="none" w:sz="0"/>
              <w:left w:val="none" w:sz="0"/>
              <w:bottom w:val="none" w:sz="0"/>
              <w:right w:val="none" w:sz="0"/>
            </w:tcBorders>
            <w:shd w:fill="F2F3F4"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The Math</w:t>
            </w:r>
          </w:p>
          <w:p>
            <w:pPr>
              <w:spacing w:after="60"/>
            </w:pPr>
            <w:r>
              <w:rPr>
                <w:rFonts w:ascii="Arial" w:cs="Arial" w:eastAsia="Arial" w:hAnsi="Arial"/>
                <w:color w:val="2C3E50"/>
                <w:sz w:val="21"/>
                <w:szCs w:val="21"/>
              </w:rPr>
              <w:t xml:space="preserve">Q2 gap = $0.81M. Weighted recovery pipeline = $882K-$950K. If we execute at the weighted probabilities, we close the gap. The margin of error is thin, which means we need to work every deal, every week.</w:t>
            </w:r>
          </w:p>
          <w:p>
            <w:pPr>
              <w:spacing w:after="60"/>
            </w:pPr>
            <w:r>
              <w:rPr>
                <w:rFonts w:ascii="Arial" w:cs="Arial" w:eastAsia="Arial" w:hAnsi="Arial"/>
                <w:color w:val="2C3E50"/>
                <w:sz w:val="21"/>
                <w:szCs w:val="21"/>
              </w:rPr>
              <w:t xml:space="preserve">Key dependency: STRATTEC is 35% of the recovery pipeline. If it slips to Q3, we need Freevision + E-Garde + KKP Bank to all convert. Diversification of the recovery portfolio is essential.</w:t>
            </w:r>
          </w:p>
        </w:tc>
      </w:tr>
    </w:tbl>
    <w:p>
      <w:r>
        <w:br w:type="page"/>
      </w:r>
    </w:p>
    <w:p>
      <w:pPr>
        <w:pStyle w:val="Heading1"/>
        <w:spacing w:after="120" w:before="360"/>
      </w:pPr>
      <w:r>
        <w:rPr>
          <w:rFonts w:ascii="Arial" w:cs="Arial" w:eastAsia="Arial" w:hAnsi="Arial"/>
          <w:b/>
          <w:bCs/>
          <w:color w:val="1B4F72"/>
          <w:sz w:val="32"/>
          <w:szCs w:val="32"/>
        </w:rPr>
        <w:t xml:space="preserve">5. Pipeline Development: Building 3X Coverage</w:t>
      </w:r>
    </w:p>
    <w:p>
      <w:pPr>
        <w:spacing w:after="120"/>
      </w:pPr>
      <w:r>
        <w:rPr>
          <w:rFonts w:ascii="Arial" w:cs="Arial" w:eastAsia="Arial" w:hAnsi="Arial"/>
          <w:color w:val="2C3E50"/>
          <w:sz w:val="21"/>
          <w:szCs w:val="21"/>
        </w:rPr>
        <w:t xml:space="preserve">The dashboard shows 3X pipeline coverage at only </w:t>
      </w:r>
      <w:r>
        <w:rPr>
          <w:rFonts w:ascii="Arial" w:cs="Arial" w:eastAsia="Arial" w:hAnsi="Arial"/>
          <w:b/>
          <w:bCs/>
          <w:color w:val="000000"/>
          <w:sz w:val="21"/>
          <w:szCs w:val="21"/>
        </w:rPr>
        <w:t xml:space="preserve">14.8% weighted</w:t>
      </w:r>
      <w:r>
        <w:rPr>
          <w:rFonts w:ascii="Arial" w:cs="Arial" w:eastAsia="Arial" w:hAnsi="Arial"/>
          <w:color w:val="2C3E50"/>
          <w:sz w:val="21"/>
          <w:szCs w:val="21"/>
        </w:rPr>
        <w:t xml:space="preserve"> (41.7% unweighted). This means we don't have enough deals in the funnel to sustain FY27 or recover if Q2 deals slip. Pipeline building is not optional.</w:t>
      </w:r>
    </w:p>
    <w:p>
      <w:pPr>
        <w:spacing w:after="60"/>
      </w:pPr>
    </w:p>
    <w:p>
      <w:pPr>
        <w:pStyle w:val="Heading2"/>
        <w:spacing w:after="120" w:before="240"/>
      </w:pPr>
      <w:r>
        <w:rPr>
          <w:rFonts w:ascii="Arial" w:cs="Arial" w:eastAsia="Arial" w:hAnsi="Arial"/>
          <w:b/>
          <w:bCs/>
          <w:color w:val="0D3B66"/>
          <w:sz w:val="26"/>
          <w:szCs w:val="26"/>
        </w:rPr>
        <w:t xml:space="preserve">Pipeline Math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Metric</w:t>
            </w:r>
          </w:p>
        </w:tc>
        <w:tc>
          <w:tcPr>
            <w:tcW w:type="dxa" w:w="504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r>
      <w:tr>
        <w:tc>
          <w:tcPr>
            <w:tcW w:type="dxa" w:w="50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FY Budget</w:t>
            </w:r>
          </w:p>
        </w:tc>
        <w:tc>
          <w:tcPr>
            <w:tcW w:type="dxa" w:w="50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2C3E50"/>
                <w:sz w:val="18"/>
                <w:szCs w:val="18"/>
              </w:rPr>
              <w:t xml:space="preserve">$22.00M</w:t>
            </w:r>
          </w:p>
        </w:tc>
      </w:tr>
      <w:tr>
        <w:tc>
          <w:tcPr>
            <w:tcW w:type="dxa" w:w="50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FY 80% FCST</w:t>
            </w:r>
          </w:p>
        </w:tc>
        <w:tc>
          <w:tcPr>
            <w:tcW w:type="dxa" w:w="50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2C3E50"/>
                <w:sz w:val="18"/>
                <w:szCs w:val="18"/>
              </w:rPr>
              <w:t xml:space="preserve">$19.10M</w:t>
            </w:r>
          </w:p>
        </w:tc>
      </w:tr>
      <w:tr>
        <w:tc>
          <w:tcPr>
            <w:tcW w:type="dxa" w:w="50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FY Gap (Budget - FCST)</w:t>
            </w:r>
          </w:p>
        </w:tc>
        <w:tc>
          <w:tcPr>
            <w:tcW w:type="dxa" w:w="50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C0392B"/>
                <w:sz w:val="18"/>
                <w:szCs w:val="18"/>
              </w:rPr>
              <w:t xml:space="preserve">$2.90M</w:t>
            </w:r>
          </w:p>
        </w:tc>
      </w:tr>
      <w:tr>
        <w:tc>
          <w:tcPr>
            <w:tcW w:type="dxa" w:w="50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3X Pipeline Required (3 x Gap)</w:t>
            </w:r>
          </w:p>
        </w:tc>
        <w:tc>
          <w:tcPr>
            <w:tcW w:type="dxa" w:w="50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C0392B"/>
                <w:sz w:val="18"/>
                <w:szCs w:val="18"/>
              </w:rPr>
              <w:t xml:space="preserve">$8.70M</w:t>
            </w:r>
          </w:p>
        </w:tc>
      </w:tr>
      <w:tr>
        <w:tc>
          <w:tcPr>
            <w:tcW w:type="dxa" w:w="50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Current Pipeline (unweighted)</w:t>
            </w:r>
          </w:p>
        </w:tc>
        <w:tc>
          <w:tcPr>
            <w:tcW w:type="dxa" w:w="50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D68910"/>
                <w:sz w:val="18"/>
                <w:szCs w:val="18"/>
              </w:rPr>
              <w:t xml:space="preserve">$3.63M (41.7%)</w:t>
            </w:r>
          </w:p>
        </w:tc>
      </w:tr>
      <w:tr>
        <w:tc>
          <w:tcPr>
            <w:tcW w:type="dxa" w:w="50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Current Pipeline (weighted)</w:t>
            </w:r>
          </w:p>
        </w:tc>
        <w:tc>
          <w:tcPr>
            <w:tcW w:type="dxa" w:w="50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C0392B"/>
                <w:sz w:val="18"/>
                <w:szCs w:val="18"/>
              </w:rPr>
              <w:t xml:space="preserve">$1.29M (14.8%)</w:t>
            </w:r>
          </w:p>
        </w:tc>
      </w:tr>
      <w:tr>
        <w:tc>
          <w:tcPr>
            <w:tcW w:type="dxa" w:w="50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Pipeline Deficit</w:t>
            </w:r>
          </w:p>
        </w:tc>
        <w:tc>
          <w:tcPr>
            <w:tcW w:type="dxa" w:w="50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C0392B"/>
                <w:sz w:val="18"/>
                <w:szCs w:val="18"/>
              </w:rPr>
              <w:t xml:space="preserve">$5.07M needed in unweighted pipeline</w:t>
            </w:r>
          </w:p>
        </w:tc>
      </w:tr>
    </w:tbl>
    <w:p>
      <w:pPr>
        <w:spacing w:after="120"/>
      </w:pPr>
    </w:p>
    <w:p>
      <w:pPr>
        <w:pStyle w:val="Heading2"/>
        <w:spacing w:after="120" w:before="240"/>
      </w:pPr>
      <w:r>
        <w:rPr>
          <w:rFonts w:ascii="Arial" w:cs="Arial" w:eastAsia="Arial" w:hAnsi="Arial"/>
          <w:b/>
          <w:bCs/>
          <w:color w:val="0D3B66"/>
          <w:sz w:val="26"/>
          <w:szCs w:val="26"/>
        </w:rPr>
        <w:t xml:space="preserve">Pipeline Development Actions by Rep</w:t>
      </w:r>
    </w:p>
    <w:p>
      <w:pPr>
        <w:spacing w:after="120"/>
      </w:pPr>
      <w:r>
        <w:rPr>
          <w:rFonts w:ascii="Arial" w:cs="Arial" w:eastAsia="Arial" w:hAnsi="Arial"/>
          <w:color w:val="2C3E50"/>
          <w:sz w:val="21"/>
          <w:szCs w:val="21"/>
        </w:rPr>
        <w:t xml:space="preserve">Assign each rep a pipeline development quota alongside their revenue target:</w:t>
      </w:r>
    </w:p>
    <w:p>
      <w:pPr>
        <w:spacing w:after="60"/>
      </w:pPr>
    </w:p>
    <w:p>
      <w:pPr>
        <w:pStyle w:val="ListParagraph"/>
        <w:numPr>
          <w:ilvl w:val="0"/>
          <w:numId w:val="2"/>
        </w:numPr>
        <w:spacing w:after="80"/>
      </w:pPr>
      <w:r>
        <w:rPr>
          <w:rFonts w:ascii="Arial" w:cs="Arial" w:eastAsia="Arial" w:hAnsi="Arial"/>
          <w:color w:val="2C3E50"/>
          <w:sz w:val="21"/>
          <w:szCs w:val="21"/>
        </w:rPr>
        <w:t xml:space="preserve"/>
      </w:r>
      <w:r>
        <w:rPr>
          <w:rFonts w:ascii="Arial" w:cs="Arial" w:eastAsia="Arial" w:hAnsi="Arial"/>
          <w:b/>
          <w:bCs/>
          <w:color w:val="2C3E50"/>
          <w:sz w:val="21"/>
          <w:szCs w:val="21"/>
        </w:rPr>
        <w:t xml:space="preserve">Tunn (star performer, has bandwidth):</w:t>
      </w:r>
      <w:r>
        <w:rPr>
          <w:rFonts w:ascii="Arial" w:cs="Arial" w:eastAsia="Arial" w:hAnsi="Arial"/>
          <w:color w:val="2C3E50"/>
          <w:sz w:val="21"/>
          <w:szCs w:val="21"/>
        </w:rPr>
        <w:t xml:space="preserve"> Target 2 new accounts per month that could be $200K+ FY27. Leverage HID relationship for referrals. Explore SIC56NL/72A1 with other security OEMs.</w:t>
      </w:r>
    </w:p>
    <w:p>
      <w:pPr>
        <w:pStyle w:val="ListParagraph"/>
        <w:numPr>
          <w:ilvl w:val="0"/>
          <w:numId w:val="2"/>
        </w:numPr>
        <w:spacing w:after="80"/>
      </w:pPr>
      <w:r>
        <w:rPr>
          <w:rFonts w:ascii="Arial" w:cs="Arial" w:eastAsia="Arial" w:hAnsi="Arial"/>
          <w:color w:val="2C3E50"/>
          <w:sz w:val="21"/>
          <w:szCs w:val="21"/>
        </w:rPr>
        <w:t xml:space="preserve"/>
      </w:r>
      <w:r>
        <w:rPr>
          <w:rFonts w:ascii="Arial" w:cs="Arial" w:eastAsia="Arial" w:hAnsi="Arial"/>
          <w:b/>
          <w:bCs/>
          <w:color w:val="2C3E50"/>
          <w:sz w:val="21"/>
          <w:szCs w:val="21"/>
        </w:rPr>
        <w:t xml:space="preserve">Terry (solid execution):</w:t>
      </w:r>
      <w:r>
        <w:rPr>
          <w:rFonts w:ascii="Arial" w:cs="Arial" w:eastAsia="Arial" w:hAnsi="Arial"/>
          <w:color w:val="2C3E50"/>
          <w:sz w:val="21"/>
          <w:szCs w:val="21"/>
        </w:rPr>
        <w:t xml:space="preserve"> Identify 2 new Freevision-like accounts (industrial/immobilizer crossover). Astag is a good model. Who else in that market?</w:t>
      </w:r>
    </w:p>
    <w:p>
      <w:pPr>
        <w:pStyle w:val="ListParagraph"/>
        <w:numPr>
          <w:ilvl w:val="0"/>
          <w:numId w:val="2"/>
        </w:numPr>
        <w:spacing w:after="80"/>
      </w:pPr>
      <w:r>
        <w:rPr>
          <w:rFonts w:ascii="Arial" w:cs="Arial" w:eastAsia="Arial" w:hAnsi="Arial"/>
          <w:color w:val="2C3E50"/>
          <w:sz w:val="21"/>
          <w:szCs w:val="21"/>
        </w:rPr>
        <w:t xml:space="preserve"/>
      </w:r>
      <w:r>
        <w:rPr>
          <w:rFonts w:ascii="Arial" w:cs="Arial" w:eastAsia="Arial" w:hAnsi="Arial"/>
          <w:b/>
          <w:bCs/>
          <w:color w:val="2C3E50"/>
          <w:sz w:val="21"/>
          <w:szCs w:val="21"/>
        </w:rPr>
        <w:t xml:space="preserve">Intira (territory owner):</w:t>
      </w:r>
      <w:r>
        <w:rPr>
          <w:rFonts w:ascii="Arial" w:cs="Arial" w:eastAsia="Arial" w:hAnsi="Arial"/>
          <w:color w:val="2C3E50"/>
          <w:sz w:val="21"/>
          <w:szCs w:val="21"/>
        </w:rPr>
        <w:t xml:space="preserve"> Focus pipeline development on Animal ID adjacencies beyond Allflex/Caisley. European tag manufacturers, LatAm expansion per company strategy.</w:t>
      </w:r>
    </w:p>
    <w:p>
      <w:pPr>
        <w:pStyle w:val="ListParagraph"/>
        <w:numPr>
          <w:ilvl w:val="0"/>
          <w:numId w:val="2"/>
        </w:numPr>
        <w:spacing w:after="80"/>
      </w:pPr>
      <w:r>
        <w:rPr>
          <w:rFonts w:ascii="Arial" w:cs="Arial" w:eastAsia="Arial" w:hAnsi="Arial"/>
          <w:color w:val="2C3E50"/>
          <w:sz w:val="21"/>
          <w:szCs w:val="21"/>
        </w:rPr>
        <w:t xml:space="preserve"/>
      </w:r>
      <w:r>
        <w:rPr>
          <w:rFonts w:ascii="Arial" w:cs="Arial" w:eastAsia="Arial" w:hAnsi="Arial"/>
          <w:b/>
          <w:bCs/>
          <w:color w:val="2C3E50"/>
          <w:sz w:val="21"/>
          <w:szCs w:val="21"/>
        </w:rPr>
        <w:t xml:space="preserve">Lisa (GP improvement focus):</w:t>
      </w:r>
      <w:r>
        <w:rPr>
          <w:rFonts w:ascii="Arial" w:cs="Arial" w:eastAsia="Arial" w:hAnsi="Arial"/>
          <w:color w:val="2C3E50"/>
          <w:sz w:val="21"/>
          <w:szCs w:val="21"/>
        </w:rPr>
        <w:t xml:space="preserve"> Pipeline higher-margin products. Every new prospect conversation should lead with SIC279 or ATL3X, not SIC278.</w:t>
      </w:r>
    </w:p>
    <w:p>
      <w:pPr>
        <w:pStyle w:val="ListParagraph"/>
        <w:numPr>
          <w:ilvl w:val="0"/>
          <w:numId w:val="2"/>
        </w:numPr>
        <w:spacing w:after="80"/>
      </w:pPr>
      <w:r>
        <w:rPr>
          <w:rFonts w:ascii="Arial" w:cs="Arial" w:eastAsia="Arial" w:hAnsi="Arial"/>
          <w:color w:val="2C3E50"/>
          <w:sz w:val="21"/>
          <w:szCs w:val="21"/>
        </w:rPr>
        <w:t xml:space="preserve"/>
      </w:r>
      <w:r>
        <w:rPr>
          <w:rFonts w:ascii="Arial" w:cs="Arial" w:eastAsia="Arial" w:hAnsi="Arial"/>
          <w:b/>
          <w:bCs/>
          <w:color w:val="2C3E50"/>
          <w:sz w:val="21"/>
          <w:szCs w:val="21"/>
        </w:rPr>
        <w:t xml:space="preserve">Shan (needs wins):</w:t>
      </w:r>
      <w:r>
        <w:rPr>
          <w:rFonts w:ascii="Arial" w:cs="Arial" w:eastAsia="Arial" w:hAnsi="Arial"/>
          <w:color w:val="2C3E50"/>
          <w:sz w:val="21"/>
          <w:szCs w:val="21"/>
        </w:rPr>
        <w:t xml:space="preserve"> After STRATTEC, identify 2 more US/EMEA immobilizer OEMs. TYMA encoder is good. Who else?</w:t>
      </w:r>
    </w:p>
    <w:p>
      <w:pPr>
        <w:pStyle w:val="ListParagraph"/>
        <w:numPr>
          <w:ilvl w:val="0"/>
          <w:numId w:val="2"/>
        </w:numPr>
        <w:spacing w:after="80"/>
      </w:pPr>
      <w:r>
        <w:rPr>
          <w:rFonts w:ascii="Arial" w:cs="Arial" w:eastAsia="Arial" w:hAnsi="Arial"/>
          <w:color w:val="2C3E50"/>
          <w:sz w:val="21"/>
          <w:szCs w:val="21"/>
        </w:rPr>
        <w:t xml:space="preserve"/>
      </w:r>
      <w:r>
        <w:rPr>
          <w:rFonts w:ascii="Arial" w:cs="Arial" w:eastAsia="Arial" w:hAnsi="Arial"/>
          <w:b/>
          <w:bCs/>
          <w:color w:val="2C3E50"/>
          <w:sz w:val="21"/>
          <w:szCs w:val="21"/>
        </w:rPr>
        <w:t xml:space="preserve">Nuttapon (development opportunity):</w:t>
      </w:r>
      <w:r>
        <w:rPr>
          <w:rFonts w:ascii="Arial" w:cs="Arial" w:eastAsia="Arial" w:hAnsi="Arial"/>
          <w:color w:val="2C3E50"/>
          <w:sz w:val="21"/>
          <w:szCs w:val="21"/>
        </w:rPr>
        <w:t xml:space="preserve"> After KKP Bank, map the Thai banking/NFC market. Who are the other banks evaluating Fido?</w:t>
      </w:r>
    </w:p>
    <w:p>
      <w:pPr>
        <w:spacing w:after="120"/>
      </w:pPr>
    </w:p>
    <w:p>
      <w:pPr>
        <w:pStyle w:val="Heading2"/>
        <w:spacing w:after="120" w:before="240"/>
      </w:pPr>
      <w:r>
        <w:rPr>
          <w:rFonts w:ascii="Arial" w:cs="Arial" w:eastAsia="Arial" w:hAnsi="Arial"/>
          <w:b/>
          <w:bCs/>
          <w:color w:val="0D3B66"/>
          <w:sz w:val="26"/>
          <w:szCs w:val="26"/>
        </w:rPr>
        <w:t xml:space="preserve">Pipeline Review Questions (use weekly)</w:t>
      </w:r>
    </w:p>
    <w:p>
      <w:pPr>
        <w:spacing w:after="120"/>
      </w:pPr>
      <w:r>
        <w:rPr>
          <w:rFonts w:ascii="Arial" w:cs="Arial" w:eastAsia="Arial" w:hAnsi="Arial"/>
          <w:color w:val="2C3E50"/>
          <w:sz w:val="21"/>
          <w:szCs w:val="21"/>
        </w:rPr>
        <w:t xml:space="preserve">Ask these in every pipeline review to build discipline:</w:t>
      </w:r>
    </w:p>
    <w:p>
      <w:pPr>
        <w:pStyle w:val="ListParagraph"/>
        <w:numPr>
          <w:ilvl w:val="0"/>
          <w:numId w:val="2"/>
        </w:numPr>
        <w:spacing w:after="80"/>
      </w:pPr>
      <w:r>
        <w:rPr>
          <w:rFonts w:ascii="Arial" w:cs="Arial" w:eastAsia="Arial" w:hAnsi="Arial"/>
          <w:color w:val="2C3E50"/>
          <w:sz w:val="21"/>
          <w:szCs w:val="21"/>
        </w:rPr>
        <w:t xml:space="preserve">"How many new conversations did you have this week with people who are NOT existing customers?"</w:t>
      </w:r>
    </w:p>
    <w:p>
      <w:pPr>
        <w:pStyle w:val="ListParagraph"/>
        <w:numPr>
          <w:ilvl w:val="0"/>
          <w:numId w:val="2"/>
        </w:numPr>
        <w:spacing w:after="80"/>
      </w:pPr>
      <w:r>
        <w:rPr>
          <w:rFonts w:ascii="Arial" w:cs="Arial" w:eastAsia="Arial" w:hAnsi="Arial"/>
          <w:color w:val="2C3E50"/>
          <w:sz w:val="21"/>
          <w:szCs w:val="21"/>
        </w:rPr>
        <w:t xml:space="preserve">"What is the total $ value of opportunities you added to the pipeline this month?"</w:t>
      </w:r>
    </w:p>
    <w:p>
      <w:pPr>
        <w:pStyle w:val="ListParagraph"/>
        <w:numPr>
          <w:ilvl w:val="0"/>
          <w:numId w:val="2"/>
        </w:numPr>
        <w:spacing w:after="80"/>
      </w:pPr>
      <w:r>
        <w:rPr>
          <w:rFonts w:ascii="Arial" w:cs="Arial" w:eastAsia="Arial" w:hAnsi="Arial"/>
          <w:color w:val="2C3E50"/>
          <w:sz w:val="21"/>
          <w:szCs w:val="21"/>
        </w:rPr>
        <w:t xml:space="preserve">"For your top 3 pipeline deals, what is the next concrete step and when does it happen?"</w:t>
      </w:r>
    </w:p>
    <w:p>
      <w:pPr>
        <w:pStyle w:val="ListParagraph"/>
        <w:numPr>
          <w:ilvl w:val="0"/>
          <w:numId w:val="2"/>
        </w:numPr>
        <w:spacing w:after="80"/>
      </w:pPr>
      <w:r>
        <w:rPr>
          <w:rFonts w:ascii="Arial" w:cs="Arial" w:eastAsia="Arial" w:hAnsi="Arial"/>
          <w:color w:val="2C3E50"/>
          <w:sz w:val="21"/>
          <w:szCs w:val="21"/>
        </w:rPr>
        <w:t xml:space="preserve">"Which pipeline deal has been stuck in the same stage for more than 30 days? What changes?"</w:t>
      </w:r>
    </w:p>
    <w:p>
      <w:pPr>
        <w:pStyle w:val="ListParagraph"/>
        <w:numPr>
          <w:ilvl w:val="0"/>
          <w:numId w:val="2"/>
        </w:numPr>
        <w:spacing w:after="80"/>
      </w:pPr>
      <w:r>
        <w:rPr>
          <w:rFonts w:ascii="Arial" w:cs="Arial" w:eastAsia="Arial" w:hAnsi="Arial"/>
          <w:color w:val="2C3E50"/>
          <w:sz w:val="21"/>
          <w:szCs w:val="21"/>
        </w:rPr>
        <w:t xml:space="preserve">"If your biggest deal fell through tomorrow, what would you replace it with?"</w:t>
      </w:r>
    </w:p>
    <w:p>
      <w:r>
        <w:br w:type="page"/>
      </w:r>
    </w:p>
    <w:p>
      <w:pPr>
        <w:pStyle w:val="Heading1"/>
        <w:spacing w:after="120" w:before="360"/>
      </w:pPr>
      <w:r>
        <w:rPr>
          <w:rFonts w:ascii="Arial" w:cs="Arial" w:eastAsia="Arial" w:hAnsi="Arial"/>
          <w:b/>
          <w:bCs/>
          <w:color w:val="1B4F72"/>
          <w:sz w:val="32"/>
          <w:szCs w:val="32"/>
        </w:rPr>
        <w:t xml:space="preserve">6. Gross Profit Coaching</w:t>
      </w:r>
    </w:p>
    <w:p>
      <w:pPr>
        <w:spacing w:after="120"/>
      </w:pPr>
      <w:r>
        <w:rPr>
          <w:rFonts w:ascii="Arial" w:cs="Arial" w:eastAsia="Arial" w:hAnsi="Arial"/>
          <w:color w:val="2C3E50"/>
          <w:sz w:val="21"/>
          <w:szCs w:val="21"/>
        </w:rPr>
        <w:t xml:space="preserve">YTD GP is 40.8% vs. 48% target. This is ON PLAN per product mix timing (AFX shipments in Feb), but every rep needs to understand how their deals affect the company's profitability.</w:t>
      </w:r>
    </w:p>
    <w:p>
      <w:pPr>
        <w:spacing w:after="60"/>
      </w:pPr>
    </w:p>
    <w:p>
      <w:pPr>
        <w:pStyle w:val="Heading2"/>
        <w:spacing w:after="120" w:before="240"/>
      </w:pPr>
      <w:r>
        <w:rPr>
          <w:rFonts w:ascii="Arial" w:cs="Arial" w:eastAsia="Arial" w:hAnsi="Arial"/>
          <w:b/>
          <w:bCs/>
          <w:color w:val="0D3B66"/>
          <w:sz w:val="26"/>
          <w:szCs w:val="26"/>
        </w:rPr>
        <w:t xml:space="preserve">GP by Rep: Know Your Numbers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3360"/>
      </w:tblGrid>
      <w:tr>
        <w:tc>
          <w:tcPr>
            <w:tcW w:type="dxa" w:w="16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Rep</w:t>
            </w:r>
          </w:p>
        </w:tc>
        <w:tc>
          <w:tcPr>
            <w:tcW w:type="dxa" w:w="16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Revenue</w:t>
            </w:r>
          </w:p>
        </w:tc>
        <w:tc>
          <w:tcPr>
            <w:tcW w:type="dxa" w:w="16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GP $</w:t>
            </w:r>
          </w:p>
        </w:tc>
        <w:tc>
          <w:tcPr>
            <w:tcW w:type="dxa" w:w="16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GP %</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Coaching Note</w:t>
            </w:r>
          </w:p>
        </w:tc>
      </w:tr>
      <w:tr>
        <w:tc>
          <w:tcPr>
            <w:tcW w:type="dxa" w:w="1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2C3E50"/>
                <w:sz w:val="18"/>
                <w:szCs w:val="18"/>
              </w:rPr>
              <w:t xml:space="preserve">Intira</w:t>
            </w:r>
          </w:p>
        </w:tc>
        <w:tc>
          <w:tcPr>
            <w:tcW w:type="dxa" w:w="1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$1,854K</w:t>
            </w:r>
          </w:p>
        </w:tc>
        <w:tc>
          <w:tcPr>
            <w:tcW w:type="dxa" w:w="1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$622K</w:t>
            </w:r>
          </w:p>
        </w:tc>
        <w:tc>
          <w:tcPr>
            <w:tcW w:type="dxa" w:w="1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D68910"/>
                <w:sz w:val="18"/>
                <w:szCs w:val="18"/>
              </w:rPr>
              <w:t xml:space="preserve">33.5%</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AFX drove Feb dip to 25.4%. Recovers H2 with ATL3X (80% GP)</w:t>
            </w:r>
          </w:p>
        </w:tc>
      </w:tr>
      <w:tr>
        <w:tc>
          <w:tcPr>
            <w:tcW w:type="dxa" w:w="1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2C3E50"/>
                <w:sz w:val="18"/>
                <w:szCs w:val="18"/>
              </w:rPr>
              <w:t xml:space="preserve">Tunn</w:t>
            </w:r>
          </w:p>
        </w:tc>
        <w:tc>
          <w:tcPr>
            <w:tcW w:type="dxa" w:w="1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$1,194K</w:t>
            </w:r>
          </w:p>
        </w:tc>
        <w:tc>
          <w:tcPr>
            <w:tcW w:type="dxa" w:w="1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$600K</w:t>
            </w:r>
          </w:p>
        </w:tc>
        <w:tc>
          <w:tcPr>
            <w:tcW w:type="dxa" w:w="1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7AE60"/>
                <w:sz w:val="18"/>
                <w:szCs w:val="18"/>
              </w:rPr>
              <w:t xml:space="preserve">50.2%</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Best on team. HID SIC279 mix is excellent. Benchmark.</w:t>
            </w:r>
          </w:p>
        </w:tc>
      </w:tr>
      <w:tr>
        <w:tc>
          <w:tcPr>
            <w:tcW w:type="dxa" w:w="1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2C3E50"/>
                <w:sz w:val="18"/>
                <w:szCs w:val="18"/>
              </w:rPr>
              <w:t xml:space="preserve">Terry</w:t>
            </w:r>
          </w:p>
        </w:tc>
        <w:tc>
          <w:tcPr>
            <w:tcW w:type="dxa" w:w="1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$383K</w:t>
            </w:r>
          </w:p>
        </w:tc>
        <w:tc>
          <w:tcPr>
            <w:tcW w:type="dxa" w:w="1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$196K</w:t>
            </w:r>
          </w:p>
        </w:tc>
        <w:tc>
          <w:tcPr>
            <w:tcW w:type="dxa" w:w="1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7AE60"/>
                <w:sz w:val="18"/>
                <w:szCs w:val="18"/>
              </w:rPr>
              <w:t xml:space="preserve">51.3%</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Strong GP. Low Feb volume ($14K) caused volatility.</w:t>
            </w:r>
          </w:p>
        </w:tc>
      </w:tr>
      <w:tr>
        <w:tc>
          <w:tcPr>
            <w:tcW w:type="dxa" w:w="1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2C3E50"/>
                <w:sz w:val="18"/>
                <w:szCs w:val="18"/>
              </w:rPr>
              <w:t xml:space="preserve">Lisa</w:t>
            </w:r>
          </w:p>
        </w:tc>
        <w:tc>
          <w:tcPr>
            <w:tcW w:type="dxa" w:w="1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$269K</w:t>
            </w:r>
          </w:p>
        </w:tc>
        <w:tc>
          <w:tcPr>
            <w:tcW w:type="dxa" w:w="1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$85K</w:t>
            </w:r>
          </w:p>
        </w:tc>
        <w:tc>
          <w:tcPr>
            <w:tcW w:type="dxa" w:w="1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C0392B"/>
                <w:sz w:val="18"/>
                <w:szCs w:val="18"/>
              </w:rPr>
              <w:t xml:space="preserve">31.5%</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Below target. SIC278/7888 mix. Needs product shift.</w:t>
            </w:r>
          </w:p>
        </w:tc>
      </w:tr>
      <w:tr>
        <w:tc>
          <w:tcPr>
            <w:tcW w:type="dxa" w:w="1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2C3E50"/>
                <w:sz w:val="18"/>
                <w:szCs w:val="18"/>
              </w:rPr>
              <w:t xml:space="preserve">Shan</w:t>
            </w:r>
          </w:p>
        </w:tc>
        <w:tc>
          <w:tcPr>
            <w:tcW w:type="dxa" w:w="1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$20K</w:t>
            </w:r>
          </w:p>
        </w:tc>
        <w:tc>
          <w:tcPr>
            <w:tcW w:type="dxa" w:w="1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$15K</w:t>
            </w:r>
          </w:p>
        </w:tc>
        <w:tc>
          <w:tcPr>
            <w:tcW w:type="dxa" w:w="1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7AE60"/>
                <w:sz w:val="18"/>
                <w:szCs w:val="18"/>
              </w:rPr>
              <w:t xml:space="preserve">76.8%</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ULTX immobilizer is high-margin. Low volume.</w:t>
            </w:r>
          </w:p>
        </w:tc>
      </w:tr>
      <w:tr>
        <w:tc>
          <w:tcPr>
            <w:tcW w:type="dxa" w:w="1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2C3E50"/>
                <w:sz w:val="18"/>
                <w:szCs w:val="18"/>
              </w:rPr>
              <w:t xml:space="preserve">Nuttapon</w:t>
            </w:r>
          </w:p>
        </w:tc>
        <w:tc>
          <w:tcPr>
            <w:tcW w:type="dxa" w:w="1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$13K</w:t>
            </w:r>
          </w:p>
        </w:tc>
        <w:tc>
          <w:tcPr>
            <w:tcW w:type="dxa" w:w="1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$7K</w:t>
            </w:r>
          </w:p>
        </w:tc>
        <w:tc>
          <w:tcPr>
            <w:tcW w:type="dxa" w:w="1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7AE60"/>
                <w:sz w:val="18"/>
                <w:szCs w:val="18"/>
              </w:rPr>
              <w:t xml:space="preserve">54.4%</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Healthy. Watch SIC7150 at 7.8% GP.</w:t>
            </w:r>
          </w:p>
        </w:tc>
      </w:tr>
    </w:tbl>
    <w:p>
      <w:pPr>
        <w:spacing w:after="120"/>
      </w:pPr>
    </w:p>
    <w:p>
      <w:pPr>
        <w:pStyle w:val="Heading2"/>
        <w:spacing w:after="120" w:before="240"/>
      </w:pPr>
      <w:r>
        <w:rPr>
          <w:rFonts w:ascii="Arial" w:cs="Arial" w:eastAsia="Arial" w:hAnsi="Arial"/>
          <w:b/>
          <w:bCs/>
          <w:color w:val="0D3B66"/>
          <w:sz w:val="26"/>
          <w:szCs w:val="26"/>
        </w:rPr>
        <w:t xml:space="preserve">GP Coaching Rules</w:t>
      </w:r>
    </w:p>
    <w:p>
      <w:pPr>
        <w:pStyle w:val="ListParagraph"/>
        <w:numPr>
          <w:ilvl w:val="0"/>
          <w:numId w:val="2"/>
        </w:numPr>
        <w:spacing w:after="80"/>
      </w:pPr>
      <w:r>
        <w:rPr>
          <w:rFonts w:ascii="Arial" w:cs="Arial" w:eastAsia="Arial" w:hAnsi="Arial"/>
          <w:color w:val="2C3E50"/>
          <w:sz w:val="21"/>
          <w:szCs w:val="21"/>
        </w:rPr>
        <w:t xml:space="preserve"/>
      </w:r>
      <w:r>
        <w:rPr>
          <w:rFonts w:ascii="Arial" w:cs="Arial" w:eastAsia="Arial" w:hAnsi="Arial"/>
          <w:b/>
          <w:bCs/>
          <w:color w:val="2C3E50"/>
          <w:sz w:val="21"/>
          <w:szCs w:val="21"/>
        </w:rPr>
        <w:t xml:space="preserve">Rule 1: Every deal proposal includes a GP estimate.</w:t>
      </w:r>
      <w:r>
        <w:rPr>
          <w:rFonts w:ascii="Arial" w:cs="Arial" w:eastAsia="Arial" w:hAnsi="Arial"/>
          <w:color w:val="2C3E50"/>
          <w:sz w:val="21"/>
          <w:szCs w:val="21"/>
        </w:rPr>
        <w:t xml:space="preserve"> Before presenting price to customer, rep calculates expected GP% and discusses with you if below 40%.</w:t>
      </w:r>
    </w:p>
    <w:p>
      <w:pPr>
        <w:pStyle w:val="ListParagraph"/>
        <w:numPr>
          <w:ilvl w:val="0"/>
          <w:numId w:val="2"/>
        </w:numPr>
        <w:spacing w:after="80"/>
      </w:pPr>
      <w:r>
        <w:rPr>
          <w:rFonts w:ascii="Arial" w:cs="Arial" w:eastAsia="Arial" w:hAnsi="Arial"/>
          <w:color w:val="2C3E50"/>
          <w:sz w:val="21"/>
          <w:szCs w:val="21"/>
        </w:rPr>
        <w:t xml:space="preserve"/>
      </w:r>
      <w:r>
        <w:rPr>
          <w:rFonts w:ascii="Arial" w:cs="Arial" w:eastAsia="Arial" w:hAnsi="Arial"/>
          <w:b/>
          <w:bCs/>
          <w:color w:val="2C3E50"/>
          <w:sz w:val="21"/>
          <w:szCs w:val="21"/>
        </w:rPr>
        <w:t xml:space="preserve">Rule 2: SIC7150 pricing review before Q2 orders.</w:t>
      </w:r>
      <w:r>
        <w:rPr>
          <w:rFonts w:ascii="Arial" w:cs="Arial" w:eastAsia="Arial" w:hAnsi="Arial"/>
          <w:color w:val="2C3E50"/>
          <w:sz w:val="21"/>
          <w:szCs w:val="21"/>
        </w:rPr>
        <w:t xml:space="preserve"> At 7.8% GP, this needs a pricing reset. Do not let Techna or HID orders go out at current pricing without review.</w:t>
      </w:r>
    </w:p>
    <w:p>
      <w:pPr>
        <w:pStyle w:val="ListParagraph"/>
        <w:numPr>
          <w:ilvl w:val="0"/>
          <w:numId w:val="2"/>
        </w:numPr>
        <w:spacing w:after="80"/>
      </w:pPr>
      <w:r>
        <w:rPr>
          <w:rFonts w:ascii="Arial" w:cs="Arial" w:eastAsia="Arial" w:hAnsi="Arial"/>
          <w:color w:val="2C3E50"/>
          <w:sz w:val="21"/>
          <w:szCs w:val="21"/>
        </w:rPr>
        <w:t xml:space="preserve"/>
      </w:r>
      <w:r>
        <w:rPr>
          <w:rFonts w:ascii="Arial" w:cs="Arial" w:eastAsia="Arial" w:hAnsi="Arial"/>
          <w:b/>
          <w:bCs/>
          <w:color w:val="2C3E50"/>
          <w:sz w:val="21"/>
          <w:szCs w:val="21"/>
        </w:rPr>
        <w:t xml:space="preserve">Rule 3: Lead with high-margin products.</w:t>
      </w:r>
      <w:r>
        <w:rPr>
          <w:rFonts w:ascii="Arial" w:cs="Arial" w:eastAsia="Arial" w:hAnsi="Arial"/>
          <w:color w:val="2C3E50"/>
          <w:sz w:val="21"/>
          <w:szCs w:val="21"/>
        </w:rPr>
        <w:t xml:space="preserve"> ATL3X (80% GP), SIC279 (48%+), ULTX (77%) should be the first conversation in every new prospect meeting. Push SIC278 (14% GP) only when there's no alternative.</w:t>
      </w:r>
    </w:p>
    <w:p>
      <w:pPr>
        <w:pStyle w:val="ListParagraph"/>
        <w:numPr>
          <w:ilvl w:val="0"/>
          <w:numId w:val="2"/>
        </w:numPr>
        <w:spacing w:after="80"/>
      </w:pPr>
      <w:r>
        <w:rPr>
          <w:rFonts w:ascii="Arial" w:cs="Arial" w:eastAsia="Arial" w:hAnsi="Arial"/>
          <w:color w:val="2C3E50"/>
          <w:sz w:val="21"/>
          <w:szCs w:val="21"/>
        </w:rPr>
        <w:t xml:space="preserve"/>
      </w:r>
      <w:r>
        <w:rPr>
          <w:rFonts w:ascii="Arial" w:cs="Arial" w:eastAsia="Arial" w:hAnsi="Arial"/>
          <w:b/>
          <w:bCs/>
          <w:color w:val="2C3E50"/>
          <w:sz w:val="21"/>
          <w:szCs w:val="21"/>
        </w:rPr>
        <w:t xml:space="preserve">Rule 4: H2 recovery path is real.</w:t>
      </w:r>
      <w:r>
        <w:rPr>
          <w:rFonts w:ascii="Arial" w:cs="Arial" w:eastAsia="Arial" w:hAnsi="Arial"/>
          <w:color w:val="2C3E50"/>
          <w:sz w:val="21"/>
          <w:szCs w:val="21"/>
        </w:rPr>
        <w:t xml:space="preserve"> ATL3X ($103K FY budget, 80% GP), SIC56NL ($279K), SIC5777X2 ($783K) are back-loaded per budget. These are the mix-improvers. Protect these deals.</w:t>
      </w:r>
    </w:p>
    <w:p>
      <w:r>
        <w:br w:type="page"/>
      </w:r>
    </w:p>
    <w:p>
      <w:pPr>
        <w:pStyle w:val="Heading1"/>
        <w:spacing w:after="120" w:before="360"/>
      </w:pPr>
      <w:r>
        <w:rPr>
          <w:rFonts w:ascii="Arial" w:cs="Arial" w:eastAsia="Arial" w:hAnsi="Arial"/>
          <w:b/>
          <w:bCs/>
          <w:color w:val="1B4F72"/>
          <w:sz w:val="32"/>
          <w:szCs w:val="32"/>
        </w:rPr>
        <w:t xml:space="preserve">7. Escalation Framework</w:t>
      </w:r>
    </w:p>
    <w:p>
      <w:pPr>
        <w:spacing w:after="120"/>
      </w:pPr>
      <w:r>
        <w:rPr>
          <w:rFonts w:ascii="Arial" w:cs="Arial" w:eastAsia="Arial" w:hAnsi="Arial"/>
          <w:color w:val="2C3E50"/>
          <w:sz w:val="21"/>
          <w:szCs w:val="21"/>
        </w:rPr>
        <w:t xml:space="preserve">When to escalate to senior management (you) vs. when the rep handles it:</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Situation</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Rep Handles</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Escalate to Management</w:t>
            </w:r>
          </w:p>
        </w:tc>
      </w:tr>
      <w:tr>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Price negotiation</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Within approved price list</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Any discount &gt;5% or new product pricing</w:t>
            </w:r>
          </w:p>
        </w:tc>
      </w:tr>
      <w:tr>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Delivery delay</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1-2 week slip, customer informed</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&gt;2 week slip OR customer escalates</w:t>
            </w:r>
          </w:p>
        </w:tc>
      </w:tr>
      <w:tr>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Customer complaint</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Quality/logistics issues with ops</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Account relationship at risk</w:t>
            </w:r>
          </w:p>
        </w:tc>
      </w:tr>
      <w:tr>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Deal &gt;$200K</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Standard terms, known customer</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New terms, new customer, or strategic</w:t>
            </w:r>
          </w:p>
        </w:tc>
      </w:tr>
      <w:tr>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Pipeline deal stalled &gt;30 days</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Try 2 different approaches first</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After 2 attempts, bring to 1:1</w:t>
            </w:r>
          </w:p>
        </w:tc>
      </w:tr>
      <w:tr>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GP below 30%</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Never</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color w:val="C0392B"/>
                <w:sz w:val="18"/>
                <w:szCs w:val="18"/>
              </w:rPr>
              <w:t xml:space="preserve">Always. No exceptions.</w:t>
            </w:r>
          </w:p>
        </w:tc>
      </w:tr>
    </w:tbl>
    <w:p>
      <w:pPr>
        <w:spacing w:after="200"/>
      </w:pPr>
    </w:p>
    <w:p>
      <w:pPr>
        <w:pStyle w:val="Heading1"/>
        <w:spacing w:after="120" w:before="360"/>
      </w:pPr>
      <w:r>
        <w:rPr>
          <w:rFonts w:ascii="Arial" w:cs="Arial" w:eastAsia="Arial" w:hAnsi="Arial"/>
          <w:b/>
          <w:bCs/>
          <w:color w:val="1B4F72"/>
          <w:sz w:val="32"/>
          <w:szCs w:val="32"/>
        </w:rPr>
        <w:t xml:space="preserve">8. Measuring Success: Q2 Scorecard</w:t>
      </w:r>
    </w:p>
    <w:p>
      <w:pPr>
        <w:spacing w:after="120"/>
      </w:pPr>
      <w:r>
        <w:rPr>
          <w:rFonts w:ascii="Arial" w:cs="Arial" w:eastAsia="Arial" w:hAnsi="Arial"/>
          <w:color w:val="2C3E50"/>
          <w:sz w:val="21"/>
          <w:szCs w:val="21"/>
        </w:rPr>
        <w:t xml:space="preserve">Track these metrics weekly. If 4+ are green by end of April, Q2 is on track:</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280"/>
      </w:tblGrid>
      <w:tr>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Metric</w:t>
            </w:r>
          </w:p>
        </w:tc>
        <w:tc>
          <w:tcPr>
            <w:tcW w:type="dxa" w:w="2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Green</w:t>
            </w:r>
          </w:p>
        </w:tc>
        <w:tc>
          <w:tcPr>
            <w:tcW w:type="dxa" w:w="2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Amber</w:t>
            </w:r>
          </w:p>
        </w:tc>
        <w:tc>
          <w:tcPr>
            <w:tcW w:type="dxa" w:w="22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Red</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Q2 FCST vs Budget</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7AE60"/>
                <w:sz w:val="18"/>
                <w:szCs w:val="18"/>
              </w:rPr>
              <w:t xml:space="preserve">&gt;90%</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D68910"/>
                <w:sz w:val="18"/>
                <w:szCs w:val="18"/>
              </w:rPr>
              <w:t xml:space="preserve">80-90%</w:t>
            </w:r>
          </w:p>
        </w:tc>
        <w:tc>
          <w:tcPr>
            <w:tcW w:type="dxa" w:w="22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C0392B"/>
                <w:sz w:val="18"/>
                <w:szCs w:val="18"/>
              </w:rPr>
              <w:t xml:space="preserve">&lt;80%</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Q2 SO Coverage</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7AE60"/>
                <w:sz w:val="18"/>
                <w:szCs w:val="18"/>
              </w:rPr>
              <w:t xml:space="preserve">&gt;85%</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D68910"/>
                <w:sz w:val="18"/>
                <w:szCs w:val="18"/>
              </w:rPr>
              <w:t xml:space="preserve">70-85%</w:t>
            </w:r>
          </w:p>
        </w:tc>
        <w:tc>
          <w:tcPr>
            <w:tcW w:type="dxa" w:w="22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C0392B"/>
                <w:sz w:val="18"/>
                <w:szCs w:val="18"/>
              </w:rPr>
              <w:t xml:space="preserve">&lt;70%</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Book-to-Bill (monthly)</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7AE60"/>
                <w:sz w:val="18"/>
                <w:szCs w:val="18"/>
              </w:rPr>
              <w:t xml:space="preserve">&gt;1.0x</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D68910"/>
                <w:sz w:val="18"/>
                <w:szCs w:val="18"/>
              </w:rPr>
              <w:t xml:space="preserve">0.8-1.0x</w:t>
            </w:r>
          </w:p>
        </w:tc>
        <w:tc>
          <w:tcPr>
            <w:tcW w:type="dxa" w:w="22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C0392B"/>
                <w:sz w:val="18"/>
                <w:szCs w:val="18"/>
              </w:rPr>
              <w:t xml:space="preserve">&lt;0.8x</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New pipeline added (monthly)</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7AE60"/>
                <w:sz w:val="18"/>
                <w:szCs w:val="18"/>
              </w:rPr>
              <w:t xml:space="preserve">&gt;$500K</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D68910"/>
                <w:sz w:val="18"/>
                <w:szCs w:val="18"/>
              </w:rPr>
              <w:t xml:space="preserve">$200-500K</w:t>
            </w:r>
          </w:p>
        </w:tc>
        <w:tc>
          <w:tcPr>
            <w:tcW w:type="dxa" w:w="22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C0392B"/>
                <w:sz w:val="18"/>
                <w:szCs w:val="18"/>
              </w:rPr>
              <w:t xml:space="preserve">&lt;$200K</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3X Pipeline Coverage</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7AE60"/>
                <w:sz w:val="18"/>
                <w:szCs w:val="18"/>
              </w:rPr>
              <w:t xml:space="preserve">&gt;50% weighted</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D68910"/>
                <w:sz w:val="18"/>
                <w:szCs w:val="18"/>
              </w:rPr>
              <w:t xml:space="preserve">25-50%</w:t>
            </w:r>
          </w:p>
        </w:tc>
        <w:tc>
          <w:tcPr>
            <w:tcW w:type="dxa" w:w="22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C0392B"/>
                <w:sz w:val="18"/>
                <w:szCs w:val="18"/>
              </w:rPr>
              <w:t xml:space="preserve">&lt;25%</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GP Margin (blended)</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7AE60"/>
                <w:sz w:val="18"/>
                <w:szCs w:val="18"/>
              </w:rPr>
              <w:t xml:space="preserve">&gt;45%</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D68910"/>
                <w:sz w:val="18"/>
                <w:szCs w:val="18"/>
              </w:rPr>
              <w:t xml:space="preserve">38-45%</w:t>
            </w:r>
          </w:p>
        </w:tc>
        <w:tc>
          <w:tcPr>
            <w:tcW w:type="dxa" w:w="22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C0392B"/>
                <w:sz w:val="18"/>
                <w:szCs w:val="18"/>
              </w:rPr>
              <w:t xml:space="preserve">&lt;38%</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C3E50"/>
                <w:sz w:val="18"/>
                <w:szCs w:val="18"/>
              </w:rPr>
              <w:t xml:space="preserve">Reps at/above FCST target</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27AE60"/>
                <w:sz w:val="18"/>
                <w:szCs w:val="18"/>
              </w:rPr>
              <w:t xml:space="preserve">5-6 of 6</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D68910"/>
                <w:sz w:val="18"/>
                <w:szCs w:val="18"/>
              </w:rPr>
              <w:t xml:space="preserve">3-4 of 6</w:t>
            </w:r>
          </w:p>
        </w:tc>
        <w:tc>
          <w:tcPr>
            <w:tcW w:type="dxa" w:w="22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C0392B"/>
                <w:sz w:val="18"/>
                <w:szCs w:val="18"/>
              </w:rPr>
              <w:t xml:space="preserve">&lt;3 of 6</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sz="0"/>
              <w:left w:val="single" w:color="27AE60" w:sz="12"/>
              <w:bottom w:val="none" w:sz="0"/>
              <w:right w:val="none" w:sz="0"/>
            </w:tcBorders>
          </w:tcPr>
          <w:p/>
        </w:tc>
        <w:tc>
          <w:tcPr>
            <w:tcW w:type="dxa" w:w="9960"/>
            <w:tcBorders>
              <w:top w:val="none" w:sz="0"/>
              <w:left w:val="none" w:sz="0"/>
              <w:bottom w:val="none" w:sz="0"/>
              <w:right w:val="none" w:sz="0"/>
            </w:tcBorders>
            <w:shd w:fill="F2F3F4" w:val="clear"/>
            <w:tcMar>
              <w:top w:type="dxa" w:w="120"/>
              <w:left w:type="dxa" w:w="200"/>
              <w:bottom w:type="dxa" w:w="120"/>
              <w:right w:type="dxa" w:w="200"/>
            </w:tcMar>
          </w:tcPr>
          <w:p>
            <w:pPr>
              <w:spacing w:after="60"/>
            </w:pPr>
            <w:r>
              <w:rPr>
                <w:rFonts w:ascii="Arial" w:cs="Arial" w:eastAsia="Arial" w:hAnsi="Arial"/>
                <w:b/>
                <w:bCs/>
                <w:color w:val="27AE60"/>
                <w:sz w:val="22"/>
                <w:szCs w:val="22"/>
              </w:rPr>
              <w:t xml:space="preserve">Final Note for Nutt</w:t>
            </w:r>
          </w:p>
          <w:p>
            <w:pPr>
              <w:spacing w:after="60"/>
            </w:pPr>
            <w:r>
              <w:rPr>
                <w:rFonts w:ascii="Arial" w:cs="Arial" w:eastAsia="Arial" w:hAnsi="Arial"/>
                <w:color w:val="2C3E50"/>
                <w:sz w:val="21"/>
                <w:szCs w:val="21"/>
              </w:rPr>
              <w:t xml:space="preserve">This playbook is built on real data, not theory. The numbers refresh weekly with the dashboard. Update the deal tracker every Monday, adjust the coaching cards as deals close or slip, and record wins visibly. Q2 is tight but the math works if we execute.</w:t>
            </w:r>
          </w:p>
          <w:p>
            <w:pPr>
              <w:spacing w:after="60"/>
            </w:pPr>
            <w:r>
              <w:rPr>
                <w:rFonts w:ascii="Arial" w:cs="Arial" w:eastAsia="Arial" w:hAnsi="Arial"/>
                <w:color w:val="2C3E50"/>
                <w:sz w:val="21"/>
                <w:szCs w:val="21"/>
              </w:rPr>
              <w:t xml:space="preserve">Your biggest lever is time allocation: spend 60% of coaching time on Shan (OFF TRACK recovery) and Intira (largest territory, highest impact). The other 40% on pipeline building with Tunn and Nuttapon.</w:t>
            </w:r>
          </w:p>
          <w:p>
            <w:pPr>
              <w:spacing w:after="60"/>
            </w:pPr>
            <w:r>
              <w:rPr>
                <w:rFonts w:ascii="Arial" w:cs="Arial" w:eastAsia="Arial" w:hAnsi="Arial"/>
                <w:color w:val="2C3E50"/>
                <w:sz w:val="21"/>
                <w:szCs w:val="21"/>
              </w:rPr>
              <w:t xml:space="preserve">Good luck. The gap is closeable.</w:t>
            </w:r>
          </w:p>
        </w:tc>
      </w:tr>
    </w:tbl>
    <w:sectPr>
      <w:headerReference w:type="default" r:id="rId8"/>
      <w:footerReference w:type="default" r:id="rId9"/>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space="4"/>
      </w:pBdr>
      <w:tabs>
        <w:tab w:val="right" w:pos="9026"/>
      </w:tabs>
    </w:pPr>
    <w:r>
      <w:rPr>
        <w:rFonts w:ascii="Arial" w:cs="Arial" w:eastAsia="Arial" w:hAnsi="Arial"/>
        <w:color w:val="95A5A6"/>
        <w:sz w:val="16"/>
        <w:szCs w:val="16"/>
      </w:rPr>
      <w:t xml:space="preserve">Silicon Craft Technology PLC</w:t>
    </w:r>
    <w:r>
      <w:rPr>
        <w:rFonts w:ascii="Arial" w:cs="Arial" w:eastAsia="Arial" w:hAnsi="Arial"/>
        <w:color w:val="95A5A6"/>
        <w:sz w:val="16"/>
        <w:szCs w:val="16"/>
      </w:rPr>
      <w:t xml:space="preserve">	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i/>
        <w:iCs/>
        <w:color w:val="C0392B"/>
        <w:sz w:val="16"/>
        <w:szCs w:val="16"/>
      </w:rPr>
      <w:t xml:space="preserve">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tabs>
        <w:tab w:val="right" w:pos="9026"/>
      </w:tabs>
    </w:pPr>
    <w:r>
      <w:rPr>
        <w:rFonts w:ascii="Arial" w:cs="Arial" w:eastAsia="Arial" w:hAnsi="Arial"/>
        <w:b/>
        <w:bCs/>
        <w:color w:val="1B4F72"/>
        <w:sz w:val="16"/>
        <w:szCs w:val="16"/>
      </w:rPr>
      <w:t xml:space="preserve">SICT Q2 Sales Coaching Playbook</w:t>
    </w:r>
    <w:r>
      <w:rPr>
        <w:rFonts w:ascii="Arial" w:cs="Arial" w:eastAsia="Arial" w:hAnsi="Arial"/>
        <w:i/>
        <w:iCs/>
        <w:color w:val="95A5A6"/>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2026-03-17T10:51:28.784Z</dcterms:created>
  <dcterms:modified xsi:type="dcterms:W3CDTF">2026-03-17T10:51:28.785Z</dcterms:modified>
</cp:coreProperties>
</file>

<file path=docProps/custom.xml><?xml version="1.0" encoding="utf-8"?>
<Properties xmlns="http://schemas.openxmlformats.org/officeDocument/2006/custom-properties" xmlns:vt="http://schemas.openxmlformats.org/officeDocument/2006/docPropsVTypes"/>
</file>