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2"/>
          <w:szCs w:val="52"/>
        </w:rPr>
        <w:t xml:space="preserve">Texas Instruments</w:t>
      </w:r>
    </w:p>
    <w:p>
      <w:pPr>
        <w:spacing w:after="120"/>
        <w:jc w:val="center"/>
      </w:pPr>
      <w:r>
        <w:rPr>
          <w:rFonts w:ascii="Arial" w:cs="Arial" w:eastAsia="Arial" w:hAnsi="Arial"/>
          <w:b/>
          <w:bCs/>
          <w:color w:val="2E5090"/>
          <w:sz w:val="40"/>
          <w:szCs w:val="40"/>
        </w:rPr>
        <w:t xml:space="preserve">Competitive Intelligence Briefing</w:t>
      </w:r>
    </w:p>
    <w:p>
      <w:pPr>
        <w:pBdr>
          <w:bottom w:val="single" w:color="2E5090" w:sz="6" w:space="8"/>
        </w:pBdr>
        <w:spacing w:after="400"/>
        <w:jc w:val="center"/>
      </w:pPr>
      <w:r>
        <w:rPr>
          <w:rFonts w:ascii="Arial" w:cs="Arial" w:eastAsia="Arial" w:hAnsi="Arial"/>
          <w:color w:val="555555"/>
          <w:sz w:val="24"/>
          <w:szCs w:val="24"/>
        </w:rPr>
        <w:t xml:space="preserve">Strategic Hiring Pattern Analysis Cross-Referenced with SEC Filing</w:t>
      </w:r>
    </w:p>
    <w:p>
      <w:pPr>
        <w:spacing w:before="600"/>
      </w:pPr>
    </w:p>
    <w:p>
      <w:pPr>
        <w:spacing w:after="160" w:line="312"/>
        <w:jc w:val="center"/>
      </w:pPr>
      <w:r>
        <w:rPr>
          <w:rFonts w:ascii="Arial" w:cs="Arial" w:eastAsia="Arial" w:hAnsi="Arial"/>
          <w:b w:val="false"/>
          <w:bCs w:val="false"/>
          <w:color w:val="555555"/>
          <w:sz w:val="24"/>
          <w:szCs w:val="24"/>
        </w:rPr>
        <w:t xml:space="preserve">February 2026</w:t>
      </w:r>
    </w:p>
    <w:p>
      <w:pPr>
        <w:spacing w:before="200"/>
      </w:pPr>
    </w:p>
    <w:p>
      <w:pPr>
        <w:spacing w:after="80"/>
        <w:jc w:val="center"/>
      </w:pPr>
      <w:r>
        <w:rPr>
          <w:rFonts w:ascii="Arial" w:cs="Arial" w:eastAsia="Arial" w:hAnsi="Arial"/>
          <w:b/>
          <w:bCs/>
          <w:color w:val="CC0000"/>
          <w:sz w:val="22"/>
          <w:szCs w:val="22"/>
        </w:rPr>
        <w:t xml:space="preserve">CONFIDENTIAL -- For CEO and CCO Eyes Only</w:t>
      </w:r>
    </w:p>
    <w:p>
      <w:pPr>
        <w:spacing w:before="400"/>
      </w:pPr>
    </w:p>
    <w:p>
      <w:pPr>
        <w:spacing w:after="160" w:line="312"/>
        <w:jc w:val="center"/>
      </w:pPr>
      <w:r>
        <w:rPr>
          <w:rFonts w:ascii="Arial" w:cs="Arial" w:eastAsia="Arial" w:hAnsi="Arial"/>
          <w:b w:val="false"/>
          <w:bCs w:val="false"/>
          <w:color w:val="777777"/>
          <w:sz w:val="20"/>
          <w:szCs w:val="20"/>
        </w:rPr>
        <w:t xml:space="preserve">Source data: 345 active job postings (TI Careers Portal, scraped Feb 2026)</w:t>
      </w:r>
    </w:p>
    <w:p>
      <w:pPr>
        <w:spacing w:after="160" w:line="312"/>
        <w:jc w:val="center"/>
      </w:pPr>
      <w:r>
        <w:rPr>
          <w:rFonts w:ascii="Arial" w:cs="Arial" w:eastAsia="Arial" w:hAnsi="Arial"/>
          <w:b w:val="false"/>
          <w:bCs w:val="false"/>
          <w:color w:val="777777"/>
          <w:sz w:val="20"/>
          <w:szCs w:val="20"/>
        </w:rPr>
        <w:t xml:space="preserve">TI Form 10-K (FY2025, filed Dec 31, 2025)</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2E5090" w:sz="6" w:space="4"/>
        </w:pBdr>
        <w:spacing w:before="360" w:after="200"/>
      </w:pPr>
      <w:r>
        <w:rPr>
          <w:rFonts w:ascii="Arial" w:cs="Arial" w:eastAsia="Arial" w:hAnsi="Arial"/>
          <w:b/>
          <w:bCs/>
          <w:color w:val="1F3864"/>
          <w:sz w:val="32"/>
          <w:szCs w:val="32"/>
        </w:rPr>
        <w:t xml:space="preserve">Executive Summary</w:t>
      </w:r>
    </w:p>
    <w:p>
      <w:pPr>
        <w:spacing w:after="160" w:line="312"/>
        <w:jc w:val="left"/>
      </w:pPr>
      <w:r>
        <w:rPr>
          <w:rFonts w:ascii="Arial" w:cs="Arial" w:eastAsia="Arial" w:hAnsi="Arial"/>
          <w:b w:val="false"/>
          <w:bCs w:val="false"/>
          <w:color w:val="333333"/>
          <w:sz w:val="22"/>
          <w:szCs w:val="22"/>
        </w:rPr>
        <w:t xml:space="preserve">This analysis reverse-engineers Texas Instruments' near-term product roadmap and strategic priorities by clustering 345 active job postings against their most recent 10-K filing. The method: infer what is being built from the skills, tools, and seniority patterns in job descriptions -- not from the organizational labels TI assigns them.</w:t>
      </w:r>
    </w:p>
    <w:p>
      <w:pPr>
        <w:spacing w:after="160" w:line="312"/>
        <w:jc w:val="left"/>
      </w:pPr>
      <w:r>
        <w:rPr>
          <w:rFonts w:ascii="Arial" w:cs="Arial" w:eastAsia="Arial" w:hAnsi="Arial"/>
          <w:b/>
          <w:bCs/>
          <w:color w:val="333333"/>
          <w:sz w:val="22"/>
          <w:szCs w:val="22"/>
        </w:rPr>
        <w:t xml:space="preserve">Three findings matter for SIC:</w:t>
      </w:r>
    </w:p>
    <w:p>
      <w:pPr>
        <w:spacing w:after="160" w:line="312"/>
        <w:jc w:val="left"/>
      </w:pPr>
      <w:r>
        <w:rPr>
          <w:rFonts w:ascii="Arial" w:cs="Arial" w:eastAsia="Arial" w:hAnsi="Arial"/>
          <w:b w:val="false"/>
          <w:bCs w:val="false"/>
          <w:color w:val="333333"/>
          <w:sz w:val="22"/>
          <w:szCs w:val="22"/>
        </w:rPr>
        <w:t xml:space="preserve">1. TI is building a GaN power empire for data centers. This is their highest-conviction bet, with dedicated design managers, GaN epitaxial process engineers, and advanced packaging roles for 100-300A power modules. They are targeting AI/GPU server power delivery head-on -- a market that did not exist in their portfolio 24 months ago.</w:t>
      </w:r>
    </w:p>
    <w:p>
      <w:pPr>
        <w:spacing w:after="160" w:line="312"/>
        <w:jc w:val="left"/>
      </w:pPr>
      <w:r>
        <w:rPr>
          <w:rFonts w:ascii="Arial" w:cs="Arial" w:eastAsia="Arial" w:hAnsi="Arial"/>
          <w:b w:val="false"/>
          <w:bCs w:val="false"/>
          <w:color w:val="333333"/>
          <w:sz w:val="22"/>
          <w:szCs w:val="22"/>
        </w:rPr>
        <w:t xml:space="preserve">2. They are weaponizing their factories with AI. A new 'Smart Manufacturing and Automation' organization is hiring across MES architects, AI software developers, digital twin engineers, and data scientists. None of this appears in the 10-K. It is an unreleased internal capability play that will lower their cost structure and widen the manufacturing moat they already cite as competitive advantage number one.</w:t>
      </w:r>
    </w:p>
    <w:p>
      <w:pPr>
        <w:spacing w:after="160" w:line="312"/>
        <w:jc w:val="left"/>
      </w:pPr>
      <w:r>
        <w:rPr>
          <w:rFonts w:ascii="Arial" w:cs="Arial" w:eastAsia="Arial" w:hAnsi="Arial"/>
          <w:b w:val="false"/>
          <w:bCs w:val="false"/>
          <w:color w:val="333333"/>
          <w:sz w:val="22"/>
          <w:szCs w:val="22"/>
        </w:rPr>
        <w:t xml:space="preserve">3. They are quietly building a connectivity stack to rival Nordic and NXP. Boot ROM security managers, RTOS networking leads, BLE developers, WiFi engineers, UWB validation -- all clustered in Israel and India. Combined with the Thread/Matter references in multiple job descriptions, this points to a full wireless MCU platform refresh targeting automotive and industrial IoT.</w:t>
      </w:r>
    </w:p>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Section 1: Inferred Product Initiatives</w:t>
      </w:r>
    </w:p>
    <w:p>
      <w:pPr>
        <w:spacing w:after="160" w:line="312"/>
        <w:jc w:val="left"/>
      </w:pPr>
      <w:r>
        <w:rPr>
          <w:rFonts w:ascii="Arial" w:cs="Arial" w:eastAsia="Arial" w:hAnsi="Arial"/>
          <w:b w:val="false"/>
          <w:bCs w:val="false"/>
          <w:color w:val="333333"/>
          <w:sz w:val="22"/>
          <w:szCs w:val="22"/>
        </w:rPr>
        <w:t xml:space="preserve">The following clusters are derived from job description content -- skills demanded, tools referenced, and responsibilities described. TI's own team names and categories are ignored.</w:t>
      </w:r>
    </w:p>
    <w:p>
      <w:pPr>
        <w:pStyle w:val="Heading2"/>
        <w:spacing w:before="280" w:after="140"/>
      </w:pPr>
      <w:r>
        <w:rPr>
          <w:rFonts w:ascii="Arial" w:cs="Arial" w:eastAsia="Arial" w:hAnsi="Arial"/>
          <w:b/>
          <w:bCs/>
          <w:color w:val="2E5090"/>
          <w:sz w:val="26"/>
          <w:szCs w:val="26"/>
        </w:rPr>
        <w:t xml:space="preserve">Cluster 1: GaN Power for AI Data Center Infrastructure</w:t>
      </w:r>
    </w:p>
    <w:p>
      <w:pPr>
        <w:spacing w:after="160" w:line="312"/>
        <w:jc w:val="left"/>
      </w:pPr>
      <w:r>
        <w:rPr>
          <w:rFonts w:ascii="Arial" w:cs="Arial" w:eastAsia="Arial" w:hAnsi="Arial"/>
          <w:b/>
          <w:bCs/>
          <w:color w:val="333333"/>
          <w:sz w:val="22"/>
          <w:szCs w:val="22"/>
        </w:rPr>
        <w:t xml:space="preserve">Signal strength: VERY HIGH (87 jobs reference GaN across the company; 5 are dedicated GaN roles)</w:t>
      </w:r>
    </w:p>
    <w:p>
      <w:pPr>
        <w:spacing w:after="160" w:line="312"/>
        <w:jc w:val="left"/>
      </w:pPr>
      <w:r>
        <w:rPr>
          <w:rFonts w:ascii="Arial" w:cs="Arial" w:eastAsia="Arial" w:hAnsi="Arial"/>
          <w:b w:val="false"/>
          <w:bCs w:val="false"/>
          <w:color w:val="333333"/>
          <w:sz w:val="22"/>
          <w:szCs w:val="22"/>
        </w:rPr>
        <w:t xml:space="preserve">Key evidence:</w:t>
      </w:r>
    </w:p>
    <w:p>
      <w:pPr>
        <w:spacing w:after="160" w:line="312"/>
        <w:jc w:val="left"/>
      </w:pPr>
      <w:r>
        <w:rPr>
          <w:rFonts w:ascii="Arial" w:cs="Arial" w:eastAsia="Arial" w:hAnsi="Arial"/>
          <w:b w:val="false"/>
          <w:bCs w:val="false"/>
          <w:color w:val="333333"/>
          <w:sz w:val="22"/>
          <w:szCs w:val="22"/>
        </w:rPr>
        <w:t xml:space="preserve">'Analog Design Manager for GaN-based datacenter products' (Bengaluru) -- a Manager-level role explicitly linking GaN to data center. This title does not exist in any prior TI job archive.</w:t>
      </w:r>
    </w:p>
    <w:p>
      <w:pPr>
        <w:spacing w:after="160" w:line="312"/>
        <w:jc w:val="left"/>
      </w:pPr>
      <w:r>
        <w:rPr>
          <w:rFonts w:ascii="Arial" w:cs="Arial" w:eastAsia="Arial" w:hAnsi="Arial"/>
          <w:b w:val="false"/>
          <w:bCs w:val="false"/>
          <w:color w:val="333333"/>
          <w:sz w:val="22"/>
          <w:szCs w:val="22"/>
        </w:rPr>
        <w:t xml:space="preserve">'Process Engineer - GaN EPI' (Japan) -- requires 5+ years MOCVD GaN epitaxial experience, focused on power semiconductors. This is production-grade hiring, not R&amp;D.</w:t>
      </w:r>
    </w:p>
    <w:p>
      <w:pPr>
        <w:spacing w:after="160" w:line="312"/>
        <w:jc w:val="left"/>
      </w:pPr>
      <w:r>
        <w:rPr>
          <w:rFonts w:ascii="Arial" w:cs="Arial" w:eastAsia="Arial" w:hAnsi="Arial"/>
          <w:b w:val="false"/>
          <w:bCs w:val="false"/>
          <w:color w:val="333333"/>
          <w:sz w:val="22"/>
          <w:szCs w:val="22"/>
        </w:rPr>
        <w:t xml:space="preserve">'Packaging Engineer - Inductor and Power Module' (Santa Clara + Taiwan) -- 10+ years required, designing 100-300A power delivery modules for 'enterprise and AI infrastructure.' Mentions TLVR and multiphase coupled inductors up to 20MHz.</w:t>
      </w:r>
    </w:p>
    <w:p>
      <w:pPr>
        <w:spacing w:after="160" w:line="312"/>
        <w:jc w:val="left"/>
      </w:pPr>
      <w:r>
        <w:rPr>
          <w:rFonts w:ascii="Arial" w:cs="Arial" w:eastAsia="Arial" w:hAnsi="Arial"/>
          <w:b w:val="false"/>
          <w:bCs w:val="false"/>
          <w:color w:val="333333"/>
          <w:sz w:val="22"/>
          <w:szCs w:val="22"/>
        </w:rPr>
        <w:t xml:space="preserve">'Analog Field Applications Engineer (Server/AI Platform)' (Taiwan) -- requires knowledge of Intel VR13/VR14, AMD SP5/SP6/SP7, NVIDIA GPU power architectures.</w:t>
      </w:r>
    </w:p>
    <w:p>
      <w:pPr>
        <w:spacing w:after="160" w:line="312"/>
        <w:jc w:val="left"/>
      </w:pPr>
      <w:r>
        <w:rPr>
          <w:rFonts w:ascii="Arial" w:cs="Arial" w:eastAsia="Arial" w:hAnsi="Arial"/>
          <w:b w:val="false"/>
          <w:bCs w:val="false"/>
          <w:color w:val="333333"/>
          <w:sz w:val="22"/>
          <w:szCs w:val="22"/>
        </w:rPr>
        <w:t xml:space="preserve">'Field Applications Engineer - Gate Driver' (Shenzhen) -- EV traction inverter and isolated gate driver focus, requires functional safety/ISO 26262.</w:t>
      </w:r>
    </w:p>
    <w:p>
      <w:pPr>
        <w:spacing w:after="160" w:line="312"/>
        <w:jc w:val="left"/>
      </w:pPr>
      <w:r>
        <w:rPr>
          <w:rFonts w:ascii="Arial" w:cs="Arial" w:eastAsia="Arial" w:hAnsi="Arial"/>
          <w:b w:val="false"/>
          <w:bCs w:val="false"/>
          <w:color w:val="333333"/>
          <w:sz w:val="22"/>
          <w:szCs w:val="22"/>
        </w:rPr>
        <w:t xml:space="preserve">What this means: TI is moving from analog power management (their traditional territory) into GaN-based, high-current power delivery for AI server racks and EV powertrains. The packaging role specifically targets the rack-level power delivery problem -- getting 100-300A to GPU clusters efficiently. This puts them on a collision course with Infineon, ON Semi, and GaN Systems (now Infineon).</w:t>
      </w:r>
    </w:p>
    <w:p>
      <w:pPr>
        <w:pStyle w:val="Heading2"/>
        <w:spacing w:before="280" w:after="140"/>
      </w:pPr>
      <w:r>
        <w:rPr>
          <w:rFonts w:ascii="Arial" w:cs="Arial" w:eastAsia="Arial" w:hAnsi="Arial"/>
          <w:b/>
          <w:bCs/>
          <w:color w:val="2E5090"/>
          <w:sz w:val="26"/>
          <w:szCs w:val="26"/>
        </w:rPr>
        <w:t xml:space="preserve">Cluster 2: Smart Manufacturing and Autonomous Fabs</w:t>
      </w:r>
    </w:p>
    <w:p>
      <w:pPr>
        <w:spacing w:after="160" w:line="312"/>
        <w:jc w:val="left"/>
      </w:pPr>
      <w:r>
        <w:rPr>
          <w:rFonts w:ascii="Arial" w:cs="Arial" w:eastAsia="Arial" w:hAnsi="Arial"/>
          <w:b/>
          <w:bCs/>
          <w:color w:val="333333"/>
          <w:sz w:val="22"/>
          <w:szCs w:val="22"/>
        </w:rPr>
        <w:t xml:space="preserve">Signal strength: HIGH (6+ dedicated roles, new organizational unit)</w:t>
      </w:r>
    </w:p>
    <w:p>
      <w:pPr>
        <w:spacing w:after="160" w:line="312"/>
        <w:jc w:val="left"/>
      </w:pPr>
      <w:r>
        <w:rPr>
          <w:rFonts w:ascii="Arial" w:cs="Arial" w:eastAsia="Arial" w:hAnsi="Arial"/>
          <w:b w:val="false"/>
          <w:bCs w:val="false"/>
          <w:color w:val="333333"/>
          <w:sz w:val="22"/>
          <w:szCs w:val="22"/>
        </w:rPr>
        <w:t xml:space="preserve">Key evidence:</w:t>
      </w:r>
    </w:p>
    <w:p>
      <w:pPr>
        <w:spacing w:after="160" w:line="312"/>
        <w:jc w:val="left"/>
      </w:pPr>
      <w:r>
        <w:rPr>
          <w:rFonts w:ascii="Arial" w:cs="Arial" w:eastAsia="Arial" w:hAnsi="Arial"/>
          <w:b w:val="false"/>
          <w:bCs w:val="false"/>
          <w:color w:val="333333"/>
          <w:sz w:val="22"/>
          <w:szCs w:val="22"/>
        </w:rPr>
        <w:t xml:space="preserve">'MES Solutions Architect' (Dallas) -- 10+ years required. Description explicitly mentions 'building the world's most advanced, adaptive, and autonomous semiconductor factories.' References digital twins, AI-driven decision support, real-time data pipelines, and integration with FDC/APC systems.</w:t>
      </w:r>
    </w:p>
    <w:p>
      <w:pPr>
        <w:spacing w:after="160" w:line="312"/>
        <w:jc w:val="left"/>
      </w:pPr>
      <w:r>
        <w:rPr>
          <w:rFonts w:ascii="Arial" w:cs="Arial" w:eastAsia="Arial" w:hAnsi="Arial"/>
          <w:b w:val="false"/>
          <w:bCs w:val="false"/>
          <w:color w:val="333333"/>
          <w:sz w:val="22"/>
          <w:szCs w:val="22"/>
        </w:rPr>
        <w:t xml:space="preserve">'Equipment Engineer - Smart Manufacturing and Automation' (Taiwan) -- developing AI/ML solutions for tool optimization, predictive maintenance, and KPI improvement.</w:t>
      </w:r>
    </w:p>
    <w:p>
      <w:pPr>
        <w:spacing w:after="160" w:line="312"/>
        <w:jc w:val="left"/>
      </w:pPr>
      <w:r>
        <w:rPr>
          <w:rFonts w:ascii="Arial" w:cs="Arial" w:eastAsia="Arial" w:hAnsi="Arial"/>
          <w:b w:val="false"/>
          <w:bCs w:val="false"/>
          <w:color w:val="333333"/>
          <w:sz w:val="22"/>
          <w:szCs w:val="22"/>
        </w:rPr>
        <w:t xml:space="preserve">'Workflow Automation Engineer' (Dallas) -- Master's + 3 years, automating workflows across multiple fabs. Mentions AI code generation platforms (Claude, GitHub Copilot, Cursor).</w:t>
      </w:r>
    </w:p>
    <w:p>
      <w:pPr>
        <w:spacing w:after="160" w:line="312"/>
        <w:jc w:val="left"/>
      </w:pPr>
      <w:r>
        <w:rPr>
          <w:rFonts w:ascii="Arial" w:cs="Arial" w:eastAsia="Arial" w:hAnsi="Arial"/>
          <w:b w:val="false"/>
          <w:bCs w:val="false"/>
          <w:color w:val="333333"/>
          <w:sz w:val="22"/>
          <w:szCs w:val="22"/>
        </w:rPr>
        <w:t xml:space="preserve">'Smart Manufacturing &amp; Automation Data Science Intern' (Dallas) -- process control and yield optimization using ML.</w:t>
      </w:r>
    </w:p>
    <w:p>
      <w:pPr>
        <w:spacing w:after="160" w:line="312"/>
        <w:jc w:val="left"/>
      </w:pPr>
      <w:r>
        <w:rPr>
          <w:rFonts w:ascii="Arial" w:cs="Arial" w:eastAsia="Arial" w:hAnsi="Arial"/>
          <w:b w:val="false"/>
          <w:bCs w:val="false"/>
          <w:color w:val="333333"/>
          <w:sz w:val="22"/>
          <w:szCs w:val="22"/>
        </w:rPr>
        <w:t xml:space="preserve">'[Early Career EXP] AI Software Developer - MES-focused' (Malaysia) -- SECS/GEM equipment integration with AI.</w:t>
      </w:r>
    </w:p>
    <w:p>
      <w:pPr>
        <w:spacing w:after="160" w:line="312"/>
        <w:jc w:val="left"/>
      </w:pPr>
      <w:r>
        <w:rPr>
          <w:rFonts w:ascii="Arial" w:cs="Arial" w:eastAsia="Arial" w:hAnsi="Arial"/>
          <w:b w:val="false"/>
          <w:bCs w:val="false"/>
          <w:color w:val="333333"/>
          <w:sz w:val="22"/>
          <w:szCs w:val="22"/>
        </w:rPr>
        <w:t xml:space="preserve">What this means: TI is building a centralized 'Smart Manufacturing and Automation' (SMA) group that did not exist in their 10-K disclosure. The MES Architect role describes an architecture that connects scheduling engines, digital twins, and AI decision support across their entire global fab network. This is not incremental -- it is a bet on autonomous manufacturing that would structurally lower their cost per wafer, directly reinforcing their stated competitive advantage of 300mm cost leadership.</w:t>
      </w:r>
    </w:p>
    <w:p>
      <w:pPr>
        <w:pStyle w:val="Heading2"/>
        <w:spacing w:before="280" w:after="140"/>
      </w:pPr>
      <w:r>
        <w:rPr>
          <w:rFonts w:ascii="Arial" w:cs="Arial" w:eastAsia="Arial" w:hAnsi="Arial"/>
          <w:b/>
          <w:bCs/>
          <w:color w:val="2E5090"/>
          <w:sz w:val="26"/>
          <w:szCs w:val="26"/>
        </w:rPr>
        <w:t xml:space="preserve">Cluster 3: Wireless Connectivity Platform (BLE/WiFi/UWB/Thread/Matter)</w:t>
      </w:r>
    </w:p>
    <w:p>
      <w:pPr>
        <w:spacing w:after="160" w:line="312"/>
        <w:jc w:val="left"/>
      </w:pPr>
      <w:r>
        <w:rPr>
          <w:rFonts w:ascii="Arial" w:cs="Arial" w:eastAsia="Arial" w:hAnsi="Arial"/>
          <w:b/>
          <w:bCs/>
          <w:color w:val="333333"/>
          <w:sz w:val="22"/>
          <w:szCs w:val="22"/>
        </w:rPr>
        <w:t xml:space="preserve">Signal strength: HIGH (15+ roles across Israel and India)</w:t>
      </w:r>
    </w:p>
    <w:p>
      <w:pPr>
        <w:spacing w:after="160" w:line="312"/>
        <w:jc w:val="left"/>
      </w:pPr>
      <w:r>
        <w:rPr>
          <w:rFonts w:ascii="Arial" w:cs="Arial" w:eastAsia="Arial" w:hAnsi="Arial"/>
          <w:b w:val="false"/>
          <w:bCs w:val="false"/>
          <w:color w:val="333333"/>
          <w:sz w:val="22"/>
          <w:szCs w:val="22"/>
        </w:rPr>
        <w:t xml:space="preserve">Key evidence:</w:t>
      </w:r>
    </w:p>
    <w:p>
      <w:pPr>
        <w:spacing w:after="160" w:line="312"/>
        <w:jc w:val="left"/>
      </w:pPr>
      <w:r>
        <w:rPr>
          <w:rFonts w:ascii="Arial" w:cs="Arial" w:eastAsia="Arial" w:hAnsi="Arial"/>
          <w:b w:val="false"/>
          <w:bCs w:val="false"/>
          <w:color w:val="333333"/>
          <w:sz w:val="22"/>
          <w:szCs w:val="22"/>
        </w:rPr>
        <w:t xml:space="preserve">'Software Development Manager - Boot ROM' (Bengaluru) -- leads firmware for wireless connectivity, mentions Boot ROM design, microcontroller initialization, and edge AI.</w:t>
      </w:r>
    </w:p>
    <w:p>
      <w:pPr>
        <w:spacing w:after="160" w:line="312"/>
        <w:jc w:val="left"/>
      </w:pPr>
      <w:r>
        <w:rPr>
          <w:rFonts w:ascii="Arial" w:cs="Arial" w:eastAsia="Arial" w:hAnsi="Arial"/>
          <w:b w:val="false"/>
          <w:bCs w:val="false"/>
          <w:color w:val="333333"/>
          <w:sz w:val="22"/>
          <w:szCs w:val="22"/>
        </w:rPr>
        <w:t xml:space="preserve">'Software Engineering Manager - BOOT ROM Security' (Bengaluru) -- 14+ years experience required, embedded HSM, crypto algorithms, AutoSAR integration. This is automotive-grade secure boot.</w:t>
      </w:r>
    </w:p>
    <w:p>
      <w:pPr>
        <w:spacing w:after="160" w:line="312"/>
        <w:jc w:val="left"/>
      </w:pPr>
      <w:r>
        <w:rPr>
          <w:rFonts w:ascii="Arial" w:cs="Arial" w:eastAsia="Arial" w:hAnsi="Arial"/>
          <w:b w:val="false"/>
          <w:bCs w:val="false"/>
          <w:color w:val="333333"/>
          <w:sz w:val="22"/>
          <w:szCs w:val="22"/>
        </w:rPr>
        <w:t xml:space="preserve">'SW Engineering Manager - RTOS Networking' (Bengaluru) -- 10+ years, RTOS networking stack, time-sensitive networking.</w:t>
      </w:r>
    </w:p>
    <w:p>
      <w:pPr>
        <w:spacing w:after="160" w:line="312"/>
        <w:jc w:val="left"/>
      </w:pPr>
      <w:r>
        <w:rPr>
          <w:rFonts w:ascii="Arial" w:cs="Arial" w:eastAsia="Arial" w:hAnsi="Arial"/>
          <w:b w:val="false"/>
          <w:bCs w:val="false"/>
          <w:color w:val="333333"/>
          <w:sz w:val="22"/>
          <w:szCs w:val="22"/>
        </w:rPr>
        <w:t xml:space="preserve">'Senior BLE Software Developer' (Ra'anana, Israel) -- BLE host and controller layer for automotive and industrial MCUs.</w:t>
      </w:r>
    </w:p>
    <w:p>
      <w:pPr>
        <w:spacing w:after="160" w:line="312"/>
        <w:jc w:val="left"/>
      </w:pPr>
      <w:r>
        <w:rPr>
          <w:rFonts w:ascii="Arial" w:cs="Arial" w:eastAsia="Arial" w:hAnsi="Arial"/>
          <w:b w:val="false"/>
          <w:bCs w:val="false"/>
          <w:color w:val="333333"/>
          <w:sz w:val="22"/>
          <w:szCs w:val="22"/>
        </w:rPr>
        <w:t xml:space="preserve">'WiFi Software Development Intern' (Israel) -- 'next generation WiFi products.'</w:t>
      </w:r>
    </w:p>
    <w:p>
      <w:pPr>
        <w:spacing w:after="160" w:line="312"/>
        <w:jc w:val="left"/>
      </w:pPr>
      <w:r>
        <w:rPr>
          <w:rFonts w:ascii="Arial" w:cs="Arial" w:eastAsia="Arial" w:hAnsi="Arial"/>
          <w:b w:val="false"/>
          <w:bCs w:val="false"/>
          <w:color w:val="333333"/>
          <w:sz w:val="22"/>
          <w:szCs w:val="22"/>
        </w:rPr>
        <w:t xml:space="preserve">2x Validation Engineers for UWB (Bengaluru) -- RF transceiver validation for WiFi and UWB systems.</w:t>
      </w:r>
    </w:p>
    <w:p>
      <w:pPr>
        <w:spacing w:after="160" w:line="312"/>
        <w:jc w:val="left"/>
      </w:pPr>
      <w:r>
        <w:rPr>
          <w:rFonts w:ascii="Arial" w:cs="Arial" w:eastAsia="Arial" w:hAnsi="Arial"/>
          <w:b w:val="false"/>
          <w:bCs w:val="false"/>
          <w:color w:val="333333"/>
          <w:sz w:val="22"/>
          <w:szCs w:val="22"/>
        </w:rPr>
        <w:t xml:space="preserve">5x Software Engineers in India working on Thread protocol.</w:t>
      </w:r>
    </w:p>
    <w:p>
      <w:pPr>
        <w:spacing w:after="160" w:line="312"/>
        <w:jc w:val="left"/>
      </w:pPr>
      <w:r>
        <w:rPr>
          <w:rFonts w:ascii="Arial" w:cs="Arial" w:eastAsia="Arial" w:hAnsi="Arial"/>
          <w:b w:val="false"/>
          <w:bCs w:val="false"/>
          <w:color w:val="333333"/>
          <w:sz w:val="22"/>
          <w:szCs w:val="22"/>
        </w:rPr>
        <w:t xml:space="preserve">What this means: TI is refreshing their wireless MCU platform with a full connectivity stack: BLE, WiFi (next-gen), UWB, and Thread/Matter support. The Boot ROM security roles at 14+ years seniority suggest automotive-grade security hardening. Israel handles the protocol stacks; India handles firmware, validation, and RTOS integration. This competes directly with Nordic Semiconductor (BLE/Thread/Matter), NXP (UWB/BLE), and Espressif (WiFi/BLE).</w:t>
      </w:r>
    </w:p>
    <w:p>
      <w:pPr>
        <w:pStyle w:val="Heading2"/>
        <w:spacing w:before="280" w:after="140"/>
      </w:pPr>
      <w:r>
        <w:rPr>
          <w:rFonts w:ascii="Arial" w:cs="Arial" w:eastAsia="Arial" w:hAnsi="Arial"/>
          <w:b/>
          <w:bCs/>
          <w:color w:val="2E5090"/>
          <w:sz w:val="26"/>
          <w:szCs w:val="26"/>
        </w:rPr>
        <w:t xml:space="preserve">Cluster 4: LFAB Expansion -- 28nm Analog at Scale</w:t>
      </w:r>
    </w:p>
    <w:p>
      <w:pPr>
        <w:spacing w:after="160" w:line="312"/>
        <w:jc w:val="left"/>
      </w:pPr>
      <w:r>
        <w:rPr>
          <w:rFonts w:ascii="Arial" w:cs="Arial" w:eastAsia="Arial" w:hAnsi="Arial"/>
          <w:b/>
          <w:bCs/>
          <w:color w:val="333333"/>
          <w:sz w:val="22"/>
          <w:szCs w:val="22"/>
        </w:rPr>
        <w:t xml:space="preserve">Signal strength: HIGH (11 roles at Lehi, UT)</w:t>
      </w:r>
    </w:p>
    <w:p>
      <w:pPr>
        <w:spacing w:after="160" w:line="312"/>
        <w:jc w:val="left"/>
      </w:pPr>
      <w:r>
        <w:rPr>
          <w:rFonts w:ascii="Arial" w:cs="Arial" w:eastAsia="Arial" w:hAnsi="Arial"/>
          <w:b w:val="false"/>
          <w:bCs w:val="false"/>
          <w:color w:val="333333"/>
          <w:sz w:val="22"/>
          <w:szCs w:val="22"/>
        </w:rPr>
        <w:t xml:space="preserve">Key evidence:</w:t>
      </w:r>
    </w:p>
    <w:p>
      <w:pPr>
        <w:spacing w:after="160" w:line="312"/>
        <w:jc w:val="left"/>
      </w:pPr>
      <w:r>
        <w:rPr>
          <w:rFonts w:ascii="Arial" w:cs="Arial" w:eastAsia="Arial" w:hAnsi="Arial"/>
          <w:b w:val="false"/>
          <w:bCs w:val="false"/>
          <w:color w:val="333333"/>
          <w:sz w:val="22"/>
          <w:szCs w:val="22"/>
        </w:rPr>
        <w:t xml:space="preserve">'LFAB Yield Ramp (28nm) Branch Manager' -- leading yield ramp of 28nm technology at a 300mm fab running 65nm, 45nm, and 28nm processes.</w:t>
      </w:r>
    </w:p>
    <w:p>
      <w:pPr>
        <w:spacing w:after="160" w:line="312"/>
        <w:jc w:val="left"/>
      </w:pPr>
      <w:r>
        <w:rPr>
          <w:rFonts w:ascii="Arial" w:cs="Arial" w:eastAsia="Arial" w:hAnsi="Arial"/>
          <w:b w:val="false"/>
          <w:bCs w:val="false"/>
          <w:color w:val="333333"/>
          <w:sz w:val="22"/>
          <w:szCs w:val="22"/>
        </w:rPr>
        <w:t xml:space="preserve">'LFAB Process Integration Branch Manager' -- factory leadership, parametric performance and yield ownership.</w:t>
      </w:r>
    </w:p>
    <w:p>
      <w:pPr>
        <w:spacing w:after="160" w:line="312"/>
        <w:jc w:val="left"/>
      </w:pPr>
      <w:r>
        <w:rPr>
          <w:rFonts w:ascii="Arial" w:cs="Arial" w:eastAsia="Arial" w:hAnsi="Arial"/>
          <w:b w:val="false"/>
          <w:bCs w:val="false"/>
          <w:color w:val="333333"/>
          <w:sz w:val="22"/>
          <w:szCs w:val="22"/>
        </w:rPr>
        <w:t xml:space="preserve">'Photo Process Engineer' -- specifically mentions 28nm and below, LFAB2 construction.</w:t>
      </w:r>
    </w:p>
    <w:p>
      <w:pPr>
        <w:spacing w:after="160" w:line="312"/>
        <w:jc w:val="left"/>
      </w:pPr>
      <w:r>
        <w:rPr>
          <w:rFonts w:ascii="Arial" w:cs="Arial" w:eastAsia="Arial" w:hAnsi="Arial"/>
          <w:b w:val="false"/>
          <w:bCs w:val="false"/>
          <w:color w:val="333333"/>
          <w:sz w:val="22"/>
          <w:szCs w:val="22"/>
        </w:rPr>
        <w:t xml:space="preserve">'EPI Process Engineer' -- epitaxial silicon and SiGe processing.</w:t>
      </w:r>
    </w:p>
    <w:p>
      <w:pPr>
        <w:spacing w:after="160" w:line="312"/>
        <w:jc w:val="left"/>
      </w:pPr>
      <w:r>
        <w:rPr>
          <w:rFonts w:ascii="Arial" w:cs="Arial" w:eastAsia="Arial" w:hAnsi="Arial"/>
          <w:b w:val="false"/>
          <w:bCs w:val="false"/>
          <w:color w:val="333333"/>
          <w:sz w:val="22"/>
          <w:szCs w:val="22"/>
        </w:rPr>
        <w:t xml:space="preserve">'Memory IP Validation Engineer' -- SRAM, DRAM, Flash architecture knowledge at Lehi.</w:t>
      </w:r>
    </w:p>
    <w:p>
      <w:pPr>
        <w:spacing w:after="160" w:line="312"/>
        <w:jc w:val="left"/>
      </w:pPr>
      <w:r>
        <w:rPr>
          <w:rFonts w:ascii="Arial" w:cs="Arial" w:eastAsia="Arial" w:hAnsi="Arial"/>
          <w:b w:val="false"/>
          <w:bCs w:val="false"/>
          <w:color w:val="333333"/>
          <w:sz w:val="22"/>
          <w:szCs w:val="22"/>
        </w:rPr>
        <w:t xml:space="preserve">What this means: TI is ramping 28nm at LFAB while simultaneously constructing LFAB2. The 10-K confirms this. The 28nm node is the most advanced analog process in production, enabling higher-density mixed-signal SoCs. The Memory IP role suggests embedded memory integration at this node, likely for next-gen wireless MCUs and automotive processors.</w:t>
      </w:r>
    </w:p>
    <w:p>
      <w:pPr>
        <w:pStyle w:val="Heading2"/>
        <w:spacing w:before="280" w:after="140"/>
      </w:pPr>
      <w:r>
        <w:rPr>
          <w:rFonts w:ascii="Arial" w:cs="Arial" w:eastAsia="Arial" w:hAnsi="Arial"/>
          <w:b/>
          <w:bCs/>
          <w:color w:val="2E5090"/>
          <w:sz w:val="26"/>
          <w:szCs w:val="26"/>
        </w:rPr>
        <w:t xml:space="preserve">Cluster 5: Radar and Autonomous Sensing (Automotive/Defense)</w:t>
      </w:r>
    </w:p>
    <w:p>
      <w:pPr>
        <w:spacing w:after="160" w:line="312"/>
        <w:jc w:val="left"/>
      </w:pPr>
      <w:r>
        <w:rPr>
          <w:rFonts w:ascii="Arial" w:cs="Arial" w:eastAsia="Arial" w:hAnsi="Arial"/>
          <w:b/>
          <w:bCs/>
          <w:color w:val="333333"/>
          <w:sz w:val="22"/>
          <w:szCs w:val="22"/>
        </w:rPr>
        <w:t xml:space="preserve">Signal strength: MODERATE (5 dedicated radar/sensing roles + drone ecosystem internship)</w:t>
      </w:r>
    </w:p>
    <w:p>
      <w:pPr>
        <w:spacing w:after="160" w:line="312"/>
        <w:jc w:val="left"/>
      </w:pPr>
      <w:r>
        <w:rPr>
          <w:rFonts w:ascii="Arial" w:cs="Arial" w:eastAsia="Arial" w:hAnsi="Arial"/>
          <w:b w:val="false"/>
          <w:bCs w:val="false"/>
          <w:color w:val="333333"/>
          <w:sz w:val="22"/>
          <w:szCs w:val="22"/>
        </w:rPr>
        <w:t xml:space="preserve">Key evidence:</w:t>
      </w:r>
    </w:p>
    <w:p>
      <w:pPr>
        <w:spacing w:after="160" w:line="312"/>
        <w:jc w:val="left"/>
      </w:pPr>
      <w:r>
        <w:rPr>
          <w:rFonts w:ascii="Arial" w:cs="Arial" w:eastAsia="Arial" w:hAnsi="Arial"/>
          <w:b w:val="false"/>
          <w:bCs w:val="false"/>
          <w:color w:val="333333"/>
          <w:sz w:val="22"/>
          <w:szCs w:val="22"/>
        </w:rPr>
        <w:t xml:space="preserve">'Software Engineer' (Bengaluru) -- Radar Firmware group, safety-certified firmware for mmWave Radar portfolio, covering automotive ADAS/autonomous driving and industrial sensing on drones and defense applications.</w:t>
      </w:r>
    </w:p>
    <w:p>
      <w:pPr>
        <w:spacing w:after="160" w:line="312"/>
        <w:jc w:val="left"/>
      </w:pPr>
      <w:r>
        <w:rPr>
          <w:rFonts w:ascii="Arial" w:cs="Arial" w:eastAsia="Arial" w:hAnsi="Arial"/>
          <w:b w:val="false"/>
          <w:bCs w:val="false"/>
          <w:color w:val="333333"/>
          <w:sz w:val="22"/>
          <w:szCs w:val="22"/>
        </w:rPr>
        <w:t xml:space="preserve">'Internship: Semiconductor Opportunities in the European Drone Ecosystem' (France) -- analyzing civil and defense UAV markets, loitering munitions, evaluating semiconductor content in drone systems.</w:t>
      </w:r>
    </w:p>
    <w:p>
      <w:pPr>
        <w:spacing w:after="160" w:line="312"/>
        <w:jc w:val="left"/>
      </w:pPr>
      <w:r>
        <w:rPr>
          <w:rFonts w:ascii="Arial" w:cs="Arial" w:eastAsia="Arial" w:hAnsi="Arial"/>
          <w:b w:val="false"/>
          <w:bCs w:val="false"/>
          <w:color w:val="333333"/>
          <w:sz w:val="22"/>
          <w:szCs w:val="22"/>
        </w:rPr>
        <w:t xml:space="preserve">What this means: TI's mmWave radar business is expanding from automotive ADAS into defense/drone sensing. The France internship is an explicit market intelligence operation for the European drone ecosystem, including military applications. This is a new addressable market for their existing radar silicon.</w:t>
      </w:r>
    </w:p>
    <w:p>
      <w:pPr>
        <w:pStyle w:val="Heading2"/>
        <w:spacing w:before="280" w:after="140"/>
      </w:pPr>
      <w:r>
        <w:rPr>
          <w:rFonts w:ascii="Arial" w:cs="Arial" w:eastAsia="Arial" w:hAnsi="Arial"/>
          <w:b/>
          <w:bCs/>
          <w:color w:val="2E5090"/>
          <w:sz w:val="26"/>
          <w:szCs w:val="26"/>
        </w:rPr>
        <w:t xml:space="preserve">Cluster 6: Geopolitical/Regulatory Readiness</w:t>
      </w:r>
    </w:p>
    <w:p>
      <w:pPr>
        <w:spacing w:after="160" w:line="312"/>
        <w:jc w:val="left"/>
      </w:pPr>
      <w:r>
        <w:rPr>
          <w:rFonts w:ascii="Arial" w:cs="Arial" w:eastAsia="Arial" w:hAnsi="Arial"/>
          <w:b/>
          <w:bCs/>
          <w:color w:val="333333"/>
          <w:sz w:val="22"/>
          <w:szCs w:val="22"/>
        </w:rPr>
        <w:t xml:space="preserve">Signal strength: MODERATE (5 legal/policy roles)</w:t>
      </w:r>
    </w:p>
    <w:p>
      <w:pPr>
        <w:spacing w:after="160" w:line="312"/>
        <w:jc w:val="left"/>
      </w:pPr>
      <w:r>
        <w:rPr>
          <w:rFonts w:ascii="Arial" w:cs="Arial" w:eastAsia="Arial" w:hAnsi="Arial"/>
          <w:b w:val="false"/>
          <w:bCs w:val="false"/>
          <w:color w:val="333333"/>
          <w:sz w:val="22"/>
          <w:szCs w:val="22"/>
        </w:rPr>
        <w:t xml:space="preserve">Key evidence:</w:t>
      </w:r>
    </w:p>
    <w:p>
      <w:pPr>
        <w:spacing w:after="160" w:line="312"/>
        <w:jc w:val="left"/>
      </w:pPr>
      <w:r>
        <w:rPr>
          <w:rFonts w:ascii="Arial" w:cs="Arial" w:eastAsia="Arial" w:hAnsi="Arial"/>
          <w:b w:val="false"/>
          <w:bCs w:val="false"/>
          <w:color w:val="333333"/>
          <w:sz w:val="22"/>
          <w:szCs w:val="22"/>
        </w:rPr>
        <w:t xml:space="preserve">2x 'Legal Counsel - Sanctions and Export Controls' (Dallas + Washington DC) -- 5+ years sanctions law experience.</w:t>
      </w:r>
    </w:p>
    <w:p>
      <w:pPr>
        <w:spacing w:after="160" w:line="312"/>
        <w:jc w:val="left"/>
      </w:pPr>
      <w:r>
        <w:rPr>
          <w:rFonts w:ascii="Arial" w:cs="Arial" w:eastAsia="Arial" w:hAnsi="Arial"/>
          <w:b w:val="false"/>
          <w:bCs w:val="false"/>
          <w:color w:val="333333"/>
          <w:sz w:val="22"/>
          <w:szCs w:val="22"/>
        </w:rPr>
        <w:t xml:space="preserve">'Public Policy Attorney' (Beijing) -- Chinese regulatory law, trade and export control regulations, government agency engagement.</w:t>
      </w:r>
    </w:p>
    <w:p>
      <w:pPr>
        <w:spacing w:after="160" w:line="312"/>
        <w:jc w:val="left"/>
      </w:pPr>
      <w:r>
        <w:rPr>
          <w:rFonts w:ascii="Arial" w:cs="Arial" w:eastAsia="Arial" w:hAnsi="Arial"/>
          <w:b w:val="false"/>
          <w:bCs w:val="false"/>
          <w:color w:val="333333"/>
          <w:sz w:val="22"/>
          <w:szCs w:val="22"/>
        </w:rPr>
        <w:t xml:space="preserve">What this means: TI is hardening its legal infrastructure for tightening export controls. Hiring sanctions counsel in both Dallas and DC (proximity to regulators), plus a China-based policy attorney, signals they expect increased trade friction. The 10-K flags this risk explicitly.</w:t>
      </w:r>
    </w:p>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Section 2: Unreleased Bets -- Capabilities Not in the 10-K</w:t>
      </w:r>
    </w:p>
    <w:p>
      <w:pPr>
        <w:spacing w:after="160" w:line="312"/>
        <w:jc w:val="left"/>
      </w:pPr>
      <w:r>
        <w:rPr>
          <w:rFonts w:ascii="Arial" w:cs="Arial" w:eastAsia="Arial" w:hAnsi="Arial"/>
          <w:b w:val="false"/>
          <w:bCs w:val="false"/>
          <w:color w:val="333333"/>
          <w:sz w:val="22"/>
          <w:szCs w:val="22"/>
        </w:rPr>
        <w:t xml:space="preserve">The following capabilities appear in hiring patterns but are absent from the 10-K filing. These represent either unreleased products, pre-announcement organizational buildouts, or strategic pivots not yet disclosed to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Capability</w:t>
            </w:r>
          </w:p>
        </w:tc>
        <w:tc>
          <w:tcPr>
            <w:tcW w:type="dxa" w:w="24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Evidence</w:t>
            </w:r>
          </w:p>
        </w:tc>
        <w:tc>
          <w:tcPr>
            <w:tcW w:type="dxa" w:w="27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10-K Status</w:t>
            </w:r>
          </w:p>
        </w:tc>
        <w:tc>
          <w:tcPr>
            <w:tcW w:type="dxa" w:w="246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SIC Relevance</w:t>
            </w:r>
          </w:p>
        </w:tc>
      </w:tr>
      <w:tr>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Smart Manufacturing and Automation (SMA)</w:t>
            </w:r>
          </w:p>
        </w:tc>
        <w:tc>
          <w:tcPr>
            <w:tcW w:type="dxa" w:w="24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Dedicated org with MES architects, AI developers, digital twin engineers, data scientists across Dallas/Taiwan/Malaysia</w:t>
            </w:r>
          </w:p>
        </w:tc>
        <w:tc>
          <w:tcPr>
            <w:tcW w:type="dxa" w:w="27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Not mentioned. 10-K references 'manufacturing and technology' as competitive advantage but discloses no AI/automation initiative</w:t>
            </w:r>
          </w:p>
        </w:tc>
        <w:tc>
          <w:tcPr>
            <w:tcW w:type="dxa" w:w="24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LOW direct. But if SMA lowers TI's cost per wafer by 5-10%, it widens pricing power against every competitor</w:t>
            </w:r>
          </w:p>
        </w:tc>
      </w:tr>
      <w:tr>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GaN-based data center power delivery</w:t>
            </w:r>
          </w:p>
        </w:tc>
        <w:tc>
          <w:tcPr>
            <w:tcW w:type="dxa" w:w="24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Design manager, process engineers, packaging for 100-300A modules</w:t>
            </w:r>
          </w:p>
        </w:tc>
        <w:tc>
          <w:tcPr>
            <w:tcW w:type="dxa" w:w="27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10-K mentions 'Power' product line generically. No mention of GaN, data center power modules, or AI infrastructure power</w:t>
            </w:r>
          </w:p>
        </w:tc>
        <w:tc>
          <w:tcPr>
            <w:tcW w:type="dxa" w:w="24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LOW direct overlap with SIC's RFID/NFC. Signals TI capital allocation tilting toward high-margin, high-ASP products</w:t>
            </w:r>
          </w:p>
        </w:tc>
      </w:tr>
      <w:tr>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Silicon Photonics (Kilby Labs)</w:t>
            </w:r>
          </w:p>
        </w:tc>
        <w:tc>
          <w:tcPr>
            <w:tcW w:type="dxa" w:w="24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Silicon Photonics Packaging Engineer in Kilby Labs advanced R&amp;D. Requires optical fiber-to-chip attachment</w:t>
            </w:r>
          </w:p>
        </w:tc>
        <w:tc>
          <w:tcPr>
            <w:tcW w:type="dxa" w:w="27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Not mentioned anywhere in 10-K</w:t>
            </w:r>
          </w:p>
        </w:tc>
        <w:tc>
          <w:tcPr>
            <w:tcW w:type="dxa" w:w="24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NONE for SIC currently. Indicates TI investing in co-packaged optics for data center -- 3-5 year bet</w:t>
            </w:r>
          </w:p>
        </w:tc>
      </w:tr>
      <w:tr>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Edge AI on wireless MCUs</w:t>
            </w:r>
          </w:p>
        </w:tc>
        <w:tc>
          <w:tcPr>
            <w:tcW w:type="dxa" w:w="24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Boot ROM Manager mentions 'edge AI solutions.' AI Solutions Engineer roles describe transformers, GNNs, agents</w:t>
            </w:r>
          </w:p>
        </w:tc>
        <w:tc>
          <w:tcPr>
            <w:tcW w:type="dxa" w:w="27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10-K mentions 'embedded processing' but no AI/ML capability on-device</w:t>
            </w:r>
          </w:p>
        </w:tc>
        <w:tc>
          <w:tcPr>
            <w:tcW w:type="dxa" w:w="24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LOW-MODERATE. If TI embeds inference in wireless MCUs, it raises the bar for IoT endpoint chips</w:t>
            </w:r>
          </w:p>
        </w:tc>
      </w:tr>
      <w:tr>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European Drone Market Entry</w:t>
            </w:r>
          </w:p>
        </w:tc>
        <w:tc>
          <w:tcPr>
            <w:tcW w:type="dxa" w:w="24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Dedicated internship for drone ecosystem analysis in France, covering civil and defense UAV semiconductor content</w:t>
            </w:r>
          </w:p>
        </w:tc>
        <w:tc>
          <w:tcPr>
            <w:tcW w:type="dxa" w:w="27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Not mentioned. Aerospace/defense listed as sector but drones not called out</w:t>
            </w:r>
          </w:p>
        </w:tc>
        <w:tc>
          <w:tcPr>
            <w:tcW w:type="dxa" w:w="24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LOW. But drone ID/tracking could intersect with RFID/NFC for UAV fleet management</w:t>
            </w:r>
          </w:p>
        </w:tc>
      </w:tr>
      <w:tr>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UWB product development</w:t>
            </w:r>
          </w:p>
        </w:tc>
        <w:tc>
          <w:tcPr>
            <w:tcW w:type="dxa" w:w="24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2 dedicated validation engineers for UWB RF transceivers in Bengaluru</w:t>
            </w:r>
          </w:p>
        </w:tc>
        <w:tc>
          <w:tcPr>
            <w:tcW w:type="dxa" w:w="27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Not mentioned as product line. Only WiFi, BLE, Thread in embedded processing</w:t>
            </w:r>
          </w:p>
        </w:tc>
        <w:tc>
          <w:tcPr>
            <w:tcW w:type="dxa" w:w="24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MODERATE. UWB competes with NFC for proximity sensing and secure ranging in access control</w:t>
            </w:r>
          </w:p>
        </w:tc>
      </w:tr>
    </w:tbl>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Section 3: Seniority Signals -- Where Executive Attention Is Concentrated</w:t>
      </w:r>
    </w:p>
    <w:p>
      <w:pPr>
        <w:spacing w:after="160" w:line="312"/>
        <w:jc w:val="left"/>
      </w:pPr>
      <w:r>
        <w:rPr>
          <w:rFonts w:ascii="Arial" w:cs="Arial" w:eastAsia="Arial" w:hAnsi="Arial"/>
          <w:b w:val="false"/>
          <w:bCs w:val="false"/>
          <w:color w:val="333333"/>
          <w:sz w:val="22"/>
          <w:szCs w:val="22"/>
        </w:rPr>
        <w:t xml:space="preserve">Disproportionately senior hires for new or growing teams signal executive-level priority and budget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18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Seniority Signal</w:t>
            </w:r>
          </w:p>
        </w:tc>
        <w:tc>
          <w:tcPr>
            <w:tcW w:type="dxa" w:w="18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Team/Initiative</w:t>
            </w:r>
          </w:p>
        </w:tc>
        <w:tc>
          <w:tcPr>
            <w:tcW w:type="dxa" w:w="356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What It Tells Us</w:t>
            </w:r>
          </w:p>
        </w:tc>
      </w:tr>
      <w:tr>
        <w:tc>
          <w:tcPr>
            <w:tcW w:type="dxa" w:w="2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Analog Design Manager for GaN-based datacenter products</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Manager title for new product line</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GaN data center power</w:t>
            </w:r>
          </w:p>
        </w:tc>
        <w:tc>
          <w:tcPr>
            <w:tcW w:type="dxa" w:w="35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Creating a dedicated manager means this product line has its own P&amp;L accountability or is on track to get one</w:t>
            </w:r>
          </w:p>
        </w:tc>
      </w:tr>
      <w:tr>
        <w:tc>
          <w:tcPr>
            <w:tcW w:type="dxa" w:w="2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Software Engineering Manager - BOOT ROM Security</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14+ years experience minimum</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Wireless connectivity secure boot</w:t>
            </w:r>
          </w:p>
        </w:tc>
        <w:tc>
          <w:tcPr>
            <w:tcW w:type="dxa" w:w="35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Exceptionally high bar. 14 years for embedded security = HSM-hardened boot chain for automotive-grade wireless MCUs. Principal-level role disguised as manager</w:t>
            </w:r>
          </w:p>
        </w:tc>
      </w:tr>
      <w:tr>
        <w:tc>
          <w:tcPr>
            <w:tcW w:type="dxa" w:w="2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MES Solutions Architect</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10+ years, deep semiconductor MES expertise</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Smart Manufacturing and Automation</w:t>
            </w:r>
          </w:p>
        </w:tc>
        <w:tc>
          <w:tcPr>
            <w:tcW w:type="dxa" w:w="35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Architect-level role for brand new internal org. This person defines manufacturing software architecture for TI's entire global fab network</w:t>
            </w:r>
          </w:p>
        </w:tc>
      </w:tr>
      <w:tr>
        <w:tc>
          <w:tcPr>
            <w:tcW w:type="dxa" w:w="2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LFAB Process Integration Branch Manager</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PhD preferred, factory leadership</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LFAB 28nm ramp</w:t>
            </w:r>
          </w:p>
        </w:tc>
        <w:tc>
          <w:tcPr>
            <w:tcW w:type="dxa" w:w="35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Factory leadership at their most strategically important new fab. This hire enables or constrains the 28nm ramp timeline</w:t>
            </w:r>
          </w:p>
        </w:tc>
      </w:tr>
      <w:tr>
        <w:tc>
          <w:tcPr>
            <w:tcW w:type="dxa" w:w="2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SW Engineering Manager - RTOS Networking</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10+ years, TSN expertise</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Embedded networking</w:t>
            </w:r>
          </w:p>
        </w:tc>
        <w:tc>
          <w:tcPr>
            <w:tcW w:type="dxa" w:w="35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TSN is automotive and industrial. This seniority for RTOS networking = platform-level investment, not point product</w:t>
            </w:r>
          </w:p>
        </w:tc>
      </w:tr>
      <w:tr>
        <w:tc>
          <w:tcPr>
            <w:tcW w:type="dxa" w:w="2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Packaging Engineer - Inductor and Power Module</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10+ years, PhD-level magnetics</w:t>
            </w:r>
          </w:p>
        </w:tc>
        <w:tc>
          <w:tcPr>
            <w:tcW w:type="dxa" w:w="18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GaN power modules</w:t>
            </w:r>
          </w:p>
        </w:tc>
        <w:tc>
          <w:tcPr>
            <w:tcW w:type="dxa" w:w="35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Requires Stoner-Wohlfarth and Steinmetz model expertise. PhD-physicist-level packaging for a fundamentally new product category</w:t>
            </w:r>
          </w:p>
        </w:tc>
      </w:tr>
    </w:tbl>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Section 4: Risk Factors vs. Hiring -- Gaps and Alignments</w:t>
      </w:r>
    </w:p>
    <w:p>
      <w:pPr>
        <w:pStyle w:val="Heading2"/>
        <w:spacing w:before="280" w:after="140"/>
      </w:pPr>
      <w:r>
        <w:rPr>
          <w:rFonts w:ascii="Arial" w:cs="Arial" w:eastAsia="Arial" w:hAnsi="Arial"/>
          <w:b/>
          <w:bCs/>
          <w:color w:val="2E5090"/>
          <w:sz w:val="26"/>
          <w:szCs w:val="26"/>
        </w:rPr>
        <w:t xml:space="preserve">Where Hiring Matches Stated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10-K Risk Factor</w:t>
            </w:r>
          </w:p>
        </w:tc>
        <w:tc>
          <w:tcPr>
            <w:tcW w:type="dxa" w:w="32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Hiring Response</w:t>
            </w:r>
          </w:p>
        </w:tc>
        <w:tc>
          <w:tcPr>
            <w:tcW w:type="dxa" w:w="316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Assessment</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Export controls on minerals, materials and equipment (Supply Chain Risks, p.11)</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2x Sanctions/Export Controls counsel (Dallas + DC), 1x Public Policy Attorney (Beijing)</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ACTIVELY MITIGATING. Three dedicated legal hires across two continents focused on sanctions and export controls</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Intense competition from emerging companies in Asia; China reshaping domestic semiconductor industry (p.9)</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52 jobs in China (15% of all hiring), including FAEs, quality engineers, and sales roles</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ACTIVELY COMPETING. Not retreating from China. Maintaining sales and app engineering footprint to defend share</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Rapid technological change requires new technologies and products (p.10)</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170 engineering roles (49% of all hiring), heavy investment in GaN, silicon photonics, advanced packaging, wireless connectivity</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ACTIVELY INVESTING. Nearly half of all open positions are engineering/product development</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Ability to retain, train and recruit qualified employees (p.11)</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30+ Career Accelerator Program roles, fresh graduate pipelines in US/Asia/Europe, Talent Development COE Manager</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ACTIVELY MITIGATING. CAP is systematic early-career pipeline. Global hiring across 23 countries diversifies talent risk</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Cybersecurity events, breaches, disruptions (p.10)</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3 dedicated cybersecurity roles, 14 security-related roles total, new Cybersecurity Development Program</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PARTIALLY MITIGATING. Hiring exists but is modest. Most security hiring is early-career/intern level</w:t>
            </w:r>
          </w:p>
        </w:tc>
      </w:tr>
    </w:tbl>
    <w:p>
      <w:pPr>
        <w:pStyle w:val="Heading2"/>
        <w:spacing w:before="280" w:after="140"/>
      </w:pPr>
      <w:r>
        <w:rPr>
          <w:rFonts w:ascii="Arial" w:cs="Arial" w:eastAsia="Arial" w:hAnsi="Arial"/>
          <w:b/>
          <w:bCs/>
          <w:color w:val="2E5090"/>
          <w:sz w:val="26"/>
          <w:szCs w:val="26"/>
        </w:rPr>
        <w:t xml:space="preserve">Where Risks Are Flagged but Hiring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10-K Risk Factor</w:t>
            </w:r>
          </w:p>
        </w:tc>
        <w:tc>
          <w:tcPr>
            <w:tcW w:type="dxa" w:w="320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Hiring Gap</w:t>
            </w:r>
          </w:p>
        </w:tc>
        <w:tc>
          <w:tcPr>
            <w:tcW w:type="dxa" w:w="3160"/>
            <w:tcBorders>
              <w:top w:val="single" w:color="B4C7E7" w:sz="1"/>
              <w:left w:val="single" w:color="B4C7E7" w:sz="1"/>
              <w:bottom w:val="single" w:color="B4C7E7" w:sz="1"/>
              <w:right w:val="single" w:color="B4C7E7" w:sz="1"/>
            </w:tcBorders>
            <w:shd w:fill="2E5090" w:val="clear"/>
            <w:tcMar>
              <w:top w:type="dxa" w:w="80"/>
              <w:left w:type="dxa" w:w="100"/>
              <w:bottom w:type="dxa" w:w="80"/>
              <w:right w:type="dxa" w:w="100"/>
            </w:tcMar>
          </w:tcPr>
          <w:p>
            <w:r>
              <w:rPr>
                <w:rFonts w:ascii="Arial" w:cs="Arial" w:eastAsia="Arial" w:hAnsi="Arial"/>
                <w:b/>
                <w:bCs/>
                <w:color w:val="FFFFFF"/>
                <w:sz w:val="20"/>
                <w:szCs w:val="20"/>
              </w:rPr>
              <w:t xml:space="preserve">Risk Assessment</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Limited access to key materials from limited geographies (p.11)</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Zero supply chain resilience or sourcing strategy roles visible. No materials science sourcing specialists</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UNADDRESSED in current hiring cycle. Either handled by existing staff or considered a procurement problem</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Reliance on third parties for advanced logic manufacturing process technology (p.11)</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No foundry relationship management or external technology partnership roles visible</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GAP. TI discloses foundry dependence but is not hiring to manage those relationships. Internal manufacturing may be their hedge</w:t>
            </w:r>
          </w:p>
        </w:tc>
      </w:tr>
      <w:tr>
        <w:tc>
          <w:tcPr>
            <w:tcW w:type="dxa" w:w="30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Distributors carry competing product lines; less than 20% revenue through distributors (p.12)</w:t>
            </w:r>
          </w:p>
        </w:tc>
        <w:tc>
          <w:tcPr>
            <w:tcW w:type="dxa" w:w="320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Only 41 Sales roles, mostly technical FAEs. No channel strategy or e-commerce roles visible</w:t>
            </w:r>
          </w:p>
        </w:tc>
        <w:tc>
          <w:tcPr>
            <w:tcW w:type="dxa" w:w="3160"/>
            <w:tcBorders>
              <w:top w:val="single" w:color="B4C7E7" w:sz="1"/>
              <w:left w:val="single" w:color="B4C7E7" w:sz="1"/>
              <w:bottom w:val="single" w:color="B4C7E7" w:sz="1"/>
              <w:right w:val="single" w:color="B4C7E7" w:sz="1"/>
            </w:tcBorders>
            <w:tcMar>
              <w:top w:type="dxa" w:w="60"/>
              <w:left w:type="dxa" w:w="100"/>
              <w:bottom w:type="dxa" w:w="60"/>
              <w:right w:type="dxa" w:w="100"/>
            </w:tcMar>
          </w:tcPr>
          <w:p>
            <w:pPr>
              <w:spacing w:line="276" w:after="40"/>
            </w:pPr>
            <w:r>
              <w:rPr>
                <w:rFonts w:ascii="Arial" w:cs="Arial" w:eastAsia="Arial" w:hAnsi="Arial"/>
                <w:sz w:val="18"/>
                <w:szCs w:val="18"/>
              </w:rPr>
              <w:t xml:space="preserve">LOW PRIORITY signal. Consistent with stated move to 80%+ direct sales. Letting distributor channel atrophy intentionally</w:t>
            </w:r>
          </w:p>
        </w:tc>
      </w:tr>
    </w:tbl>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Section 5: Predicted Strategic Moves (Next 6-12 Months)</w:t>
      </w:r>
    </w:p>
    <w:p>
      <w:pPr>
        <w:pStyle w:val="Heading2"/>
        <w:spacing w:before="280" w:after="140"/>
      </w:pPr>
      <w:r>
        <w:rPr>
          <w:rFonts w:ascii="Arial" w:cs="Arial" w:eastAsia="Arial" w:hAnsi="Arial"/>
          <w:b/>
          <w:bCs/>
          <w:color w:val="2E5090"/>
          <w:sz w:val="26"/>
          <w:szCs w:val="26"/>
        </w:rPr>
        <w:t xml:space="preserve">Prediction 1: GaN-Based Power Modules for AI Server Racks</w:t>
      </w:r>
    </w:p>
    <w:p>
      <w:pPr>
        <w:spacing w:after="160" w:line="312"/>
        <w:jc w:val="left"/>
      </w:pPr>
      <w:r>
        <w:rPr>
          <w:rFonts w:ascii="Arial" w:cs="Arial" w:eastAsia="Arial" w:hAnsi="Arial"/>
          <w:b/>
          <w:bCs/>
          <w:color w:val="CC0000"/>
          <w:sz w:val="22"/>
          <w:szCs w:val="22"/>
        </w:rPr>
        <w:t xml:space="preserve">Confidence: 85%</w:t>
      </w:r>
    </w:p>
    <w:p>
      <w:pPr>
        <w:spacing w:after="160" w:line="312"/>
        <w:jc w:val="left"/>
      </w:pPr>
      <w:r>
        <w:rPr>
          <w:rFonts w:ascii="Arial" w:cs="Arial" w:eastAsia="Arial" w:hAnsi="Arial"/>
          <w:b w:val="false"/>
          <w:bCs w:val="false"/>
          <w:color w:val="333333"/>
          <w:sz w:val="22"/>
          <w:szCs w:val="22"/>
        </w:rPr>
        <w:t xml:space="preserve">Evidence: The combination of (a) a dedicated GaN data center design manager in Bengaluru, (b) two packaging engineers designing 100-300A power delivery modules in Santa Clara and Taiwan, (c) a Taiwan-based FAE who must know Intel VR13/VR14, AMD SP5/SP6/SP7, and NVIDIA GPU power architectures, and (d) a Shenzhen-based gate driver FAE for EV/HEV inverters points to a specific product: GaN-based multiphase power stages and integrated power modules targeting AI GPU server power delivery.</w:t>
      </w:r>
    </w:p>
    <w:p>
      <w:pPr>
        <w:spacing w:after="160" w:line="312"/>
        <w:jc w:val="left"/>
      </w:pPr>
      <w:r>
        <w:rPr>
          <w:rFonts w:ascii="Arial" w:cs="Arial" w:eastAsia="Arial" w:hAnsi="Arial"/>
          <w:b w:val="false"/>
          <w:bCs w:val="false"/>
          <w:color w:val="333333"/>
          <w:sz w:val="22"/>
          <w:szCs w:val="22"/>
        </w:rPr>
        <w:t xml:space="preserve">Timeline marker: The packaging roles require 10+ years experience and are actively posted. If filled by Q2 2026, expect product sampling by Q4 2026 and a formal launch at APEC or PCIM in early-to-mid 2027.</w:t>
      </w:r>
    </w:p>
    <w:p>
      <w:pPr>
        <w:spacing w:after="160" w:line="312"/>
        <w:jc w:val="left"/>
      </w:pPr>
      <w:r>
        <w:rPr>
          <w:rFonts w:ascii="Arial" w:cs="Arial" w:eastAsia="Arial" w:hAnsi="Arial"/>
          <w:b w:val="false"/>
          <w:bCs w:val="false"/>
          <w:color w:val="333333"/>
          <w:sz w:val="22"/>
          <w:szCs w:val="22"/>
        </w:rPr>
        <w:t xml:space="preserve">SIC impact: No direct product overlap. But TI's capital allocation shift toward high-ASP data center products means less relative investment in industrial sensing and connectivity -- areas closer to SIC's market.</w:t>
      </w:r>
    </w:p>
    <w:p>
      <w:pPr>
        <w:pStyle w:val="Heading2"/>
        <w:spacing w:before="280" w:after="140"/>
      </w:pPr>
      <w:r>
        <w:rPr>
          <w:rFonts w:ascii="Arial" w:cs="Arial" w:eastAsia="Arial" w:hAnsi="Arial"/>
          <w:b/>
          <w:bCs/>
          <w:color w:val="2E5090"/>
          <w:sz w:val="26"/>
          <w:szCs w:val="26"/>
        </w:rPr>
        <w:t xml:space="preserve">Prediction 2: Next-Gen Wireless MCU Platform with BLE, WiFi, UWB, and Matter/Thread</w:t>
      </w:r>
    </w:p>
    <w:p>
      <w:pPr>
        <w:spacing w:after="160" w:line="312"/>
        <w:jc w:val="left"/>
      </w:pPr>
      <w:r>
        <w:rPr>
          <w:rFonts w:ascii="Arial" w:cs="Arial" w:eastAsia="Arial" w:hAnsi="Arial"/>
          <w:b/>
          <w:bCs/>
          <w:color w:val="CC0000"/>
          <w:sz w:val="22"/>
          <w:szCs w:val="22"/>
        </w:rPr>
        <w:t xml:space="preserve">Confidence: 75%</w:t>
      </w:r>
    </w:p>
    <w:p>
      <w:pPr>
        <w:spacing w:after="160" w:line="312"/>
        <w:jc w:val="left"/>
      </w:pPr>
      <w:r>
        <w:rPr>
          <w:rFonts w:ascii="Arial" w:cs="Arial" w:eastAsia="Arial" w:hAnsi="Arial"/>
          <w:b w:val="false"/>
          <w:bCs w:val="false"/>
          <w:color w:val="333333"/>
          <w:sz w:val="22"/>
          <w:szCs w:val="22"/>
        </w:rPr>
        <w:t xml:space="preserve">Evidence: Israel-based BLE team (3 roles), WiFi team (intern for 'next generation WiFi products'), UWB validation team (2 in Bengaluru), Thread/Matter engineers (5 in India), plus security-hardened Boot ROM team (2 managers with 8+ and 14+ years in Bengaluru) collectively describe a single wireless MCU platform. The RTOS Networking Manager with TSN expertise ties connectivity to deterministic industrial and automotive networking. Boot ROM Security Manager's AutoSAR integration confirms automotive-grade intent.</w:t>
      </w:r>
    </w:p>
    <w:p>
      <w:pPr>
        <w:spacing w:after="160" w:line="312"/>
        <w:jc w:val="left"/>
      </w:pPr>
      <w:r>
        <w:rPr>
          <w:rFonts w:ascii="Arial" w:cs="Arial" w:eastAsia="Arial" w:hAnsi="Arial"/>
          <w:b w:val="false"/>
          <w:bCs w:val="false"/>
          <w:color w:val="333333"/>
          <w:sz w:val="22"/>
          <w:szCs w:val="22"/>
        </w:rPr>
        <w:t xml:space="preserve">Timeline marker: Protocol stack development (Israel) and validation (India) roles are at various seniority levels, suggesting partially staffed and building. Expect announcement at Embedded World or CES, likely H2 2026 or H1 2027.</w:t>
      </w:r>
    </w:p>
    <w:p>
      <w:pPr>
        <w:spacing w:after="160" w:line="312"/>
        <w:jc w:val="left"/>
      </w:pPr>
      <w:r>
        <w:rPr>
          <w:rFonts w:ascii="Arial" w:cs="Arial" w:eastAsia="Arial" w:hAnsi="Arial"/>
          <w:b w:val="false"/>
          <w:bCs w:val="false"/>
          <w:color w:val="333333"/>
          <w:sz w:val="22"/>
          <w:szCs w:val="22"/>
        </w:rPr>
        <w:t xml:space="preserve">SIC impact: MODERATE-HIGH. A TI wireless MCU with integrated UWB directly challenges NFC for secure ranging and authentication. If their platform offers UWB + BLE + WiFi on a single chip with Matter/Thread, it provides a compelling alternative to dedicated NFC chips in access control, asset tracking, and smart home. Monitor TI SimpleLink announcements.</w:t>
      </w:r>
    </w:p>
    <w:p>
      <w:pPr>
        <w:pStyle w:val="Heading2"/>
        <w:spacing w:before="280" w:after="140"/>
      </w:pPr>
      <w:r>
        <w:rPr>
          <w:rFonts w:ascii="Arial" w:cs="Arial" w:eastAsia="Arial" w:hAnsi="Arial"/>
          <w:b/>
          <w:bCs/>
          <w:color w:val="2E5090"/>
          <w:sz w:val="26"/>
          <w:szCs w:val="26"/>
        </w:rPr>
        <w:t xml:space="preserve">Prediction 3: Public Disclosure of Smart Manufacturing/Autonomous Fab Initiative</w:t>
      </w:r>
    </w:p>
    <w:p>
      <w:pPr>
        <w:spacing w:after="160" w:line="312"/>
        <w:jc w:val="left"/>
      </w:pPr>
      <w:r>
        <w:rPr>
          <w:rFonts w:ascii="Arial" w:cs="Arial" w:eastAsia="Arial" w:hAnsi="Arial"/>
          <w:b/>
          <w:bCs/>
          <w:color w:val="CC0000"/>
          <w:sz w:val="22"/>
          <w:szCs w:val="22"/>
        </w:rPr>
        <w:t xml:space="preserve">Confidence: 65%</w:t>
      </w:r>
    </w:p>
    <w:p>
      <w:pPr>
        <w:spacing w:after="160" w:line="312"/>
        <w:jc w:val="left"/>
      </w:pPr>
      <w:r>
        <w:rPr>
          <w:rFonts w:ascii="Arial" w:cs="Arial" w:eastAsia="Arial" w:hAnsi="Arial"/>
          <w:b w:val="false"/>
          <w:bCs w:val="false"/>
          <w:color w:val="333333"/>
          <w:sz w:val="22"/>
          <w:szCs w:val="22"/>
        </w:rPr>
        <w:t xml:space="preserve">Evidence: The SMA organization is hiring MES architects, AI developers, digital twin engineers, workflow automation engineers, and data scientists. The MES Solutions Architect role states TI is 'investing deeply in building the world's most advanced, adaptive, and autonomous semiconductor factories.' The Workflow Automation Engineer listing mentions AI code generation platforms by name.</w:t>
      </w:r>
    </w:p>
    <w:p>
      <w:pPr>
        <w:spacing w:after="160" w:line="312"/>
        <w:jc w:val="left"/>
      </w:pPr>
      <w:r>
        <w:rPr>
          <w:rFonts w:ascii="Arial" w:cs="Arial" w:eastAsia="Arial" w:hAnsi="Arial"/>
          <w:b w:val="false"/>
          <w:bCs w:val="false"/>
          <w:color w:val="333333"/>
          <w:sz w:val="22"/>
          <w:szCs w:val="22"/>
        </w:rPr>
        <w:t xml:space="preserve">This matters because TI already positions manufacturing cost advantage as their primary competitive moat in the 10-K. An AI-driven manufacturing platform would be a compelling investor narrative: 'We already have the lowest cost per chip on 300mm; now we are automating our fabs to extend that advantage further.'</w:t>
      </w:r>
    </w:p>
    <w:p>
      <w:pPr>
        <w:spacing w:after="160" w:line="312"/>
        <w:jc w:val="left"/>
      </w:pPr>
      <w:r>
        <w:rPr>
          <w:rFonts w:ascii="Arial" w:cs="Arial" w:eastAsia="Arial" w:hAnsi="Arial"/>
          <w:b w:val="false"/>
          <w:bCs w:val="false"/>
          <w:color w:val="333333"/>
          <w:sz w:val="22"/>
          <w:szCs w:val="22"/>
        </w:rPr>
        <w:t xml:space="preserve">Timeline marker: SMA already exists (it is hiring). Likely disclosed in capital markets day, investor presentation, or earnings call within 2-4 quarters.</w:t>
      </w:r>
    </w:p>
    <w:p>
      <w:pPr>
        <w:spacing w:after="160" w:line="312"/>
        <w:jc w:val="left"/>
      </w:pPr>
      <w:r>
        <w:rPr>
          <w:rFonts w:ascii="Arial" w:cs="Arial" w:eastAsia="Arial" w:hAnsi="Arial"/>
          <w:b w:val="false"/>
          <w:bCs w:val="false"/>
          <w:color w:val="333333"/>
          <w:sz w:val="22"/>
          <w:szCs w:val="22"/>
        </w:rPr>
        <w:t xml:space="preserve">SIC impact: LOW direct product impact. HIGH competitive impact. If SMA delivers even marginal yield or cost improvement, it widens TI's pricing power against all competitors. For SIC's ASIC/ODM business, TI can absorb pricing pressure longer than competitors with less automated fabs.</w:t>
      </w:r>
    </w:p>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Section 6: Implications for SIC</w:t>
      </w:r>
    </w:p>
    <w:p>
      <w:pPr>
        <w:spacing w:after="160" w:line="312"/>
        <w:jc w:val="left"/>
      </w:pPr>
      <w:r>
        <w:rPr>
          <w:rFonts w:ascii="Arial" w:cs="Arial" w:eastAsia="Arial" w:hAnsi="Arial"/>
          <w:b/>
          <w:bCs/>
          <w:color w:val="333333"/>
          <w:sz w:val="22"/>
          <w:szCs w:val="22"/>
        </w:rPr>
        <w:t xml:space="preserve">Three areas require monitoring or action:</w:t>
      </w:r>
    </w:p>
    <w:p>
      <w:pPr>
        <w:spacing w:after="160" w:line="312"/>
        <w:jc w:val="left"/>
      </w:pPr>
      <w:r>
        <w:rPr>
          <w:rFonts w:ascii="Arial" w:cs="Arial" w:eastAsia="Arial" w:hAnsi="Arial"/>
          <w:b w:val="false"/>
          <w:bCs w:val="false"/>
          <w:color w:val="333333"/>
          <w:sz w:val="22"/>
          <w:szCs w:val="22"/>
        </w:rPr>
        <w:t xml:space="preserve">1. UWB as an NFC substitute. TI's UWB validation hiring in Bengaluru, combined with their BLE platform, creates a pathway to challenge NFC in secure access, authentication, and proximity applications. SIC's NFC product line (SIC4310, SIC43NT) competes in exactly these use cases. Action: Track TI SimpleLink wireless MCU announcements for UWB integration. Prepare competitive positioning emphasizing NFC's advantages -- lower power, lower cost, no battery requirement, established ecosystem -- versus UWB.</w:t>
      </w:r>
    </w:p>
    <w:p>
      <w:pPr>
        <w:spacing w:after="160" w:line="312"/>
        <w:jc w:val="left"/>
      </w:pPr>
      <w:r>
        <w:rPr>
          <w:rFonts w:ascii="Arial" w:cs="Arial" w:eastAsia="Arial" w:hAnsi="Arial"/>
          <w:b w:val="false"/>
          <w:bCs w:val="false"/>
          <w:color w:val="333333"/>
          <w:sz w:val="22"/>
          <w:szCs w:val="22"/>
        </w:rPr>
        <w:t xml:space="preserve">2. Wireless MCU platform pressure on IoT sensor nodes. If TI's next-gen wireless MCU integrates BLE + WiFi + Matter/Thread + edge AI inference, it raises customer expectations for IoT endpoint capability. SIC's sensor interface products (SIC4340/41/43) are battery-free and analog-focused -- a different value proposition. But customers may ask why their sensor chip lacks wireless connectivity. Action: Consider whether SIC's roadmap should include connectivity-enabled sensor interface products, or position SIC's products as complementary to wireless MCU platforms.</w:t>
      </w:r>
    </w:p>
    <w:p>
      <w:pPr>
        <w:spacing w:after="160" w:line="312"/>
        <w:jc w:val="left"/>
      </w:pPr>
      <w:r>
        <w:rPr>
          <w:rFonts w:ascii="Arial" w:cs="Arial" w:eastAsia="Arial" w:hAnsi="Arial"/>
          <w:b w:val="false"/>
          <w:bCs w:val="false"/>
          <w:color w:val="333333"/>
          <w:sz w:val="22"/>
          <w:szCs w:val="22"/>
        </w:rPr>
        <w:t xml:space="preserve">3. GaN power and manufacturing cost advantage are not direct threats today, but they signal where TI places its biggest bets. Both moves favor high-ASP, high-volume markets (data center, automotive) over industrial/IoT segments where SIC competes. This could mean TI allocates less attention to industrial sensing and RFID-adjacent markets -- which is an opportunity for SIC to capture share while TI's focus is elsewhere.</w:t>
      </w:r>
    </w:p>
    <w:p>
      <w:r>
        <w:br w:type="page"/>
      </w:r>
    </w:p>
    <w:p>
      <w:pPr>
        <w:pStyle w:val="Heading1"/>
        <w:pBdr>
          <w:bottom w:val="single" w:color="2E5090" w:sz="6" w:space="4"/>
        </w:pBdr>
        <w:spacing w:before="360" w:after="200"/>
      </w:pPr>
      <w:r>
        <w:rPr>
          <w:rFonts w:ascii="Arial" w:cs="Arial" w:eastAsia="Arial" w:hAnsi="Arial"/>
          <w:b/>
          <w:bCs/>
          <w:color w:val="1F3864"/>
          <w:sz w:val="32"/>
          <w:szCs w:val="32"/>
        </w:rPr>
        <w:t xml:space="preserve">Appendix: Methodology and Data Sources</w:t>
      </w:r>
    </w:p>
    <w:p>
      <w:pPr>
        <w:spacing w:after="160" w:line="312"/>
        <w:jc w:val="left"/>
      </w:pPr>
      <w:r>
        <w:rPr>
          <w:rFonts w:ascii="Arial" w:cs="Arial" w:eastAsia="Arial" w:hAnsi="Arial"/>
          <w:b/>
          <w:bCs/>
          <w:color w:val="333333"/>
          <w:sz w:val="22"/>
          <w:szCs w:val="22"/>
        </w:rPr>
        <w:t xml:space="preserve">Data sources:</w:t>
      </w:r>
    </w:p>
    <w:p>
      <w:pPr>
        <w:spacing w:after="160" w:line="312"/>
        <w:jc w:val="left"/>
      </w:pPr>
      <w:r>
        <w:rPr>
          <w:rFonts w:ascii="Arial" w:cs="Arial" w:eastAsia="Arial" w:hAnsi="Arial"/>
          <w:b w:val="false"/>
          <w:bCs w:val="false"/>
          <w:color w:val="333333"/>
          <w:sz w:val="22"/>
          <w:szCs w:val="22"/>
        </w:rPr>
        <w:t xml:space="preserve">345 active job postings scraped from TI Careers Portal (careers.ti.com), February 2026. Texas Instruments Inc. Form 10-K for fiscal year ended December 31, 2025.</w:t>
      </w:r>
    </w:p>
    <w:p>
      <w:pPr>
        <w:spacing w:after="160" w:line="312"/>
        <w:jc w:val="left"/>
      </w:pPr>
      <w:r>
        <w:rPr>
          <w:rFonts w:ascii="Arial" w:cs="Arial" w:eastAsia="Arial" w:hAnsi="Arial"/>
          <w:b/>
          <w:bCs/>
          <w:color w:val="333333"/>
          <w:sz w:val="22"/>
          <w:szCs w:val="22"/>
        </w:rPr>
        <w:t xml:space="preserve">Analysis method:</w:t>
      </w:r>
    </w:p>
    <w:p>
      <w:pPr>
        <w:spacing w:after="160" w:line="312"/>
        <w:jc w:val="left"/>
      </w:pPr>
      <w:r>
        <w:rPr>
          <w:rFonts w:ascii="Arial" w:cs="Arial" w:eastAsia="Arial" w:hAnsi="Arial"/>
          <w:b w:val="false"/>
          <w:bCs w:val="false"/>
          <w:color w:val="333333"/>
          <w:sz w:val="22"/>
          <w:szCs w:val="22"/>
        </w:rPr>
        <w:t xml:space="preserve">Job descriptions parsed for technology keywords, tools, and capability references (40+ keyword categories). Roles clustered by inferred product initiative rather than TI organizational structure. Seniority analysis based on years-of-experience requirements and title hierarchy. Risk factor cross-reference performed by mapping each 10-K risk statement to corresponding (or absent) hiring activity. Geographic distribution analyzed across 23 countries and 30+ locations.</w:t>
      </w:r>
    </w:p>
    <w:p>
      <w:pPr>
        <w:spacing w:after="160" w:line="312"/>
        <w:jc w:val="left"/>
      </w:pPr>
      <w:r>
        <w:rPr>
          <w:rFonts w:ascii="Arial" w:cs="Arial" w:eastAsia="Arial" w:hAnsi="Arial"/>
          <w:b/>
          <w:bCs/>
          <w:color w:val="333333"/>
          <w:sz w:val="22"/>
          <w:szCs w:val="22"/>
        </w:rPr>
        <w:t xml:space="preserve">Limitations:</w:t>
      </w:r>
    </w:p>
    <w:p>
      <w:pPr>
        <w:spacing w:after="160" w:line="312"/>
        <w:jc w:val="left"/>
      </w:pPr>
      <w:r>
        <w:rPr>
          <w:rFonts w:ascii="Arial" w:cs="Arial" w:eastAsia="Arial" w:hAnsi="Arial"/>
          <w:b w:val="false"/>
          <w:bCs w:val="false"/>
          <w:color w:val="333333"/>
          <w:sz w:val="22"/>
          <w:szCs w:val="22"/>
        </w:rPr>
        <w:t xml:space="preserve">Job postings represent open positions at a single point in time, not total headcount or budget allocation. Some roles may be replacements for departing employees rather than net new positions. TI may have internal mobility and redeployment that does not appear in external postings. SEC filings are backward-looking; hiring patterns are forward-looking. The gap between them is where intelligence value lies, but it also introduces uncertainty. Keyword matching may over- or under-count roles when descriptions use generic language.</w:t>
      </w:r>
    </w:p>
    <w:p>
      <w:pPr>
        <w:spacing w:after="160" w:line="312"/>
        <w:jc w:val="left"/>
      </w:pPr>
      <w:r>
        <w:rPr>
          <w:rFonts w:ascii="Arial" w:cs="Arial" w:eastAsia="Arial" w:hAnsi="Arial"/>
          <w:b w:val="false"/>
          <w:bCs w:val="false"/>
          <w:color w:val="777777"/>
          <w:sz w:val="22"/>
          <w:szCs w:val="22"/>
        </w:rPr>
        <w:t xml:space="preserve">Report prepared: February 22,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SIC Competitive Intelligence  |  Texas Instruments Analysis  |  February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SIC Competitive Intelligence  |  Texas Instruments Analysis  |  February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999999"/>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2026-02-22T16:52:33.521Z</dcterms:created>
  <dcterms:modified xsi:type="dcterms:W3CDTF">2026-02-22T16:52:33.522Z</dcterms:modified>
</cp:coreProperties>
</file>

<file path=docProps/custom.xml><?xml version="1.0" encoding="utf-8"?>
<Properties xmlns="http://schemas.openxmlformats.org/officeDocument/2006/custom-properties" xmlns:vt="http://schemas.openxmlformats.org/officeDocument/2006/docPropsVTypes"/>
</file>