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e3jcax6f9oj" w:id="0"/>
      <w:bookmarkEnd w:id="0"/>
      <w:r w:rsidDel="00000000" w:rsidR="00000000" w:rsidRPr="00000000">
        <w:rPr>
          <w:rtl w:val="0"/>
        </w:rPr>
        <w:t xml:space="preserve">Offline vs Live (D1)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fkxs8fua7vu" w:id="1"/>
      <w:bookmarkEnd w:id="1"/>
      <w:r w:rsidDel="00000000" w:rsidR="00000000" w:rsidRPr="00000000">
        <w:rPr>
          <w:rtl w:val="0"/>
        </w:rPr>
        <w:t xml:space="preserve">Strategic Hint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Availability is important, but Confidentiality is paramount in banking. If customers can see other customers' balances, you have failed your core duty.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w2745fkux3o" w:id="2"/>
      <w:bookmarkEnd w:id="2"/>
      <w:r w:rsidDel="00000000" w:rsidR="00000000" w:rsidRPr="00000000">
        <w:rPr>
          <w:rtl w:val="0"/>
        </w:rPr>
        <w:t xml:space="preserve">Tactical Hint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WAF rule might help, but fixing the code is the real solution. Don't risk data leakage for 10 minutes of uptime.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