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sgb2lj7cxu6" w:id="0"/>
      <w:bookmarkEnd w:id="0"/>
      <w:r w:rsidDel="00000000" w:rsidR="00000000" w:rsidRPr="00000000">
        <w:rPr>
          <w:rtl w:val="0"/>
        </w:rPr>
        <w:t xml:space="preserve">💡 Pistas: La Reacción Inmediata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cz2s5rj83cn" w:id="1"/>
      <w:bookmarkEnd w:id="1"/>
      <w:r w:rsidDel="00000000" w:rsidR="00000000" w:rsidRPr="00000000">
        <w:rPr>
          <w:rtl w:val="0"/>
        </w:rPr>
        <w:t xml:space="preserve">🕵️‍♂️ Para el Analista (DPO Junior)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Diligencia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 de Outlook:</w:t>
      </w:r>
      <w:r w:rsidDel="00000000" w:rsidR="00000000" w:rsidRPr="00000000">
        <w:rPr>
          <w:rtl w:val="0"/>
        </w:rPr>
        <w:t xml:space="preserve"> Rara vez funciona si el destinatario es externo (Gmail y otros ignoran la orden de borrado). Sin embargo, intentarlo demuestra que agotaste las medidas técnicas posibles.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Es vital saber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se envió exactamente. ¿Había pasaportes adjuntos? ¿Datos de niños? Esto define la gravedad.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p00jsk3vxbf" w:id="2"/>
      <w:bookmarkEnd w:id="2"/>
      <w:r w:rsidDel="00000000" w:rsidR="00000000" w:rsidRPr="00000000">
        <w:rPr>
          <w:rtl w:val="0"/>
        </w:rPr>
        <w:t xml:space="preserve">🏛️ Para el CISO (AEPD)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de Daños: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Transparencia:</w:t>
      </w:r>
      <w:r w:rsidDel="00000000" w:rsidR="00000000" w:rsidRPr="00000000">
        <w:rPr>
          <w:rtl w:val="0"/>
        </w:rPr>
        <w:t xml:space="preserve"> Cuando el error es evidente (los clientes ven las direcciones), negarlo es absurdo. Una disculpa rápida y sincera ("Fue un error humano, estamos tomando medidas") suele desactivar la ira del cliente.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