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ENTWURF – Stand 18.03.2024 – zur Abstimmung mit der Mandantin</w:t>
      </w:r>
    </w:p>
    <w:p>
      <w:pPr>
        <w:pStyle w:val="Heading1"/>
      </w:pPr>
      <w:r>
        <w:t>Aufhebungsvertrag</w:t>
      </w:r>
    </w:p>
    <w:p>
      <w:r>
        <w:t>zwischen der Hofmann Metallbau GmbH (Arbeitgeberin) und Frau Sabine Wortmann (Arbeitnehmerin)</w:t>
      </w:r>
    </w:p>
    <w:p>
      <w:pPr>
        <w:pStyle w:val="Heading2"/>
      </w:pPr>
      <w:r>
        <w:t>§ 1 Beendigung</w:t>
      </w:r>
    </w:p>
    <w:p>
      <w:r>
        <w:t>Die Parteien sind sich einig, dass das Arbeitsverhältnis auf Veranlassung der Arbeitgeberin aus betriebsbedingten Gründen mit Ablauf des 30.09.2024 endet.</w:t>
      </w:r>
    </w:p>
    <w:p>
      <w:pPr>
        <w:pStyle w:val="Heading2"/>
      </w:pPr>
      <w:r>
        <w:t>§ 2 Abfindung</w:t>
      </w:r>
    </w:p>
    <w:p>
      <w:r>
        <w:t>Die Arbeitgeberin zahlt der Arbeitnehmerin für den Verlust des Arbeitsplatzes eine Abfindung in Höhe von 18.500,00 EUR brutto. Die Abfindung ist mit der letzten Gehaltsabrechnung fällig und vererblich.</w:t>
      </w:r>
    </w:p>
    <w:p>
      <w:pPr>
        <w:pStyle w:val="Heading2"/>
      </w:pPr>
      <w:r>
        <w:t>§ 3 Freistellung</w:t>
      </w:r>
    </w:p>
    <w:p>
      <w:r>
        <w:t>Die Arbeitnehmerin wird ab 01.05.2024 unter Anrechnung ihres Resturlaubs unwiderruflich von der Arbeitsleistung freigestellt. Die Vergütung wird bis zum Beendigungszeitpunkt fortgezahlt.</w:t>
      </w:r>
    </w:p>
    <w:p>
      <w:pPr>
        <w:pStyle w:val="Heading2"/>
      </w:pPr>
      <w:r>
        <w:t>§ 4 Zeugnis</w:t>
      </w:r>
    </w:p>
    <w:p>
      <w:r>
        <w:t>Die Arbeitnehmerin erhält ein wohlwollendes qualifiziertes Zeugnis mit der Gesamtnote sehr gut. Sie hat ein Vorschlagsrecht.</w:t>
      </w:r>
    </w:p>
    <w:p>
      <w:pPr>
        <w:pStyle w:val="Heading2"/>
      </w:pPr>
      <w:r>
        <w:t>§ 5 Erledigung</w:t>
      </w:r>
    </w:p>
    <w:p>
      <w:r>
        <w:t>Mit Erfüllung dieses Vertrags sind alle gegenseitigen Ansprüche aus dem Arbeitsverhältnis erledigt. Die Kündigungsschutzklage wird zurückgenommen.</w:t>
      </w:r>
    </w:p>
    <w:p>
      <w:r>
        <w:t>Hinweis an die Mandantin: Ein Aufhebungsvertrag kann eine Sperrzeit beim Arbeitslosengeld von bis zu 12 Wochen auslösen (§ 159 SGB III). Bitte vor der Unterschrift mit der Agentur für Arbeit klären. Alternativ Vergleich im Gütetermin.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dc:title>
  <dc:subject>Frei erfundenes Testdokument fuer SmartSearch</dc:subject>
  <dc:creator>anonymous</dc:creator>
  <cp:keywords/>
  <dc:description>generated by python-docx</dc:description>
  <cp:lastModifiedBy>anonymous</cp:lastModifiedBy>
  <cp:revision>1</cp:revision>
  <dcterms:created xsi:type="dcterms:W3CDTF">2024-09-01T12:00:00Z</dcterms:created>
  <dcterms:modified xsi:type="dcterms:W3CDTF">2024-09-01T12:00:00Z</dcterms:modified>
  <cp:category/>
</cp:coreProperties>
</file>