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Kröger &amp; Petersen Rechtsanwälte</w:t>
      </w:r>
    </w:p>
    <w:p>
      <w:r>
        <w:t>Am Lindenhof 7 · 33602 Bielefeld · Tel. 0521 000000</w:t>
      </w:r>
    </w:p>
    <w:p>
      <w:r>
        <w:t>An das Arbeitsgericht Bielefeld</w:t>
      </w:r>
    </w:p>
    <w:p>
      <w:pPr>
        <w:pStyle w:val="Heading1"/>
      </w:pPr>
      <w:r>
        <w:t>Kündigungsschutzklage</w:t>
      </w:r>
    </w:p>
    <w:p>
      <w:r>
        <w:t>der Frau Sabine Wortmann, Am Brodhagen 12, 33613 Bielefeld – Klägerin –</w:t>
      </w:r>
    </w:p>
    <w:p>
      <w:r>
        <w:t>gegen</w:t>
      </w:r>
    </w:p>
    <w:p>
      <w:r>
        <w:t>die Hofmann Metallbau GmbH, vertreten durch den Geschäftsführer Rolf Hofmann,</w:t>
      </w:r>
    </w:p>
    <w:p>
      <w:r>
        <w:t>Industriestraße 44, 33689 Bielefeld – Beklagte –</w:t>
      </w:r>
    </w:p>
    <w:p>
      <w:r>
        <w:t>Wir beantragen festzustellen, dass das Arbeitsverhältnis der Parteien durch die Kündigung der Beklagten vom 29.02.2024, der Klägerin zugegangen am selben Tag, nicht aufgelöst worden ist.</w:t>
      </w:r>
    </w:p>
    <w:p>
      <w:pPr>
        <w:pStyle w:val="Heading2"/>
      </w:pPr>
      <w:r>
        <w:t>Begründung</w:t>
      </w:r>
    </w:p>
    <w:p>
      <w:r>
        <w:t>Die 51-jährige Klägerin ist seit dem 01.09.2004 bei der Beklagten als Sachbearbeiterin in der Auftragsabwicklung beschäftigt, zuletzt mit einem Bruttomonatsgehalt von 3.380,00 EUR. Sie ist verheiratet und einem Kind zum Unterhalt verpflichtet.</w:t>
      </w:r>
    </w:p>
    <w:p>
      <w:r>
        <w:t>Die Beklagte beschäftigt regelmäßig mehr als 10 Arbeitnehmer; das Kündigungsschutzgesetz findet Anwendung. Die Klage wird innerhalb der Frist von drei Wochen nach § 4 KSchG erhoben.</w:t>
      </w:r>
    </w:p>
    <w:p>
      <w:r>
        <w:t>Die Kündigung ist sozial ungerechtfertigt (§ 1 Abs. 2 KSchG). Die Beklagte beruft sich auf betriebsbedingte Gründe, nämlich die Zusammenlegung der Auftragsabwicklung mit dem Einkauf. Ein dauerhafter Wegfall des Arbeitsplatzes wird bestritten.</w:t>
      </w:r>
    </w:p>
    <w:p>
      <w:r>
        <w:t>Jedenfalls ist die Sozialauswahl fehlerhaft (§ 1 Abs. 3 KSchG). Vergleichbare Kollegen mit deutlich kürzerer Betriebszugehörigkeit und ohne Unterhaltspflichten wurden nicht gekündigt. Die Beklagte wird aufgefordert, die Gründe der Sozialauswahl mitzuteilen.</w:t>
      </w:r>
    </w:p>
    <w:p>
      <w:r>
        <w:t>Der Betriebsrat wurde nach unserer Kenntnis nicht ordnungsgemäß angehört (§ 102 BetrVG).</w:t>
      </w:r>
    </w:p>
    <w:p>
      <w:r>
        <w:t>Rechtsanwältin Anna Petersen, Fachanwältin für Arbeitsrecht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 ArbG</dc:title>
  <dc:subject>Frei erfundenes Testdokument fuer SmartSearch</dc:subject>
  <dc:creator>anonymous</dc:creator>
  <cp:keywords/>
  <dc:description>generated by python-docx</dc:description>
  <cp:lastModifiedBy>anonymous</cp:lastModifiedBy>
  <cp:revision>1</cp:revision>
  <dcterms:created xsi:type="dcterms:W3CDTF">2024-09-01T12:00:00Z</dcterms:created>
  <dcterms:modified xsi:type="dcterms:W3CDTF">2024-09-01T12:00:00Z</dcterms:modified>
  <cp:category/>
</cp:coreProperties>
</file>