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Kröger &amp; Petersen Rechtsanwälte</w:t>
      </w:r>
    </w:p>
    <w:p>
      <w:r>
        <w:t>Am Lindenhof 7 · 33602 Bielefeld · Tel. 0521 000000</w:t>
      </w:r>
    </w:p>
    <w:p>
      <w:r>
        <w:t>An das Amtsgericht Bielefeld</w:t>
      </w:r>
    </w:p>
    <w:p>
      <w:pPr>
        <w:pStyle w:val="Heading1"/>
      </w:pPr>
      <w:r>
        <w:t>Klage auf Räumung und Zahlung</w:t>
      </w:r>
    </w:p>
    <w:p>
      <w:r>
        <w:t>der Wohnbau Teutoburg GmbH, Bahnhofstraße 5, 33602 Bielefeld – Klägerin –</w:t>
      </w:r>
    </w:p>
    <w:p>
      <w:r>
        <w:t>gegen</w:t>
      </w:r>
    </w:p>
    <w:p>
      <w:r>
        <w:t>Herrn Dennis Neumann, Feldstraße 18, 33609 Bielefeld – Beklagter –</w:t>
      </w:r>
    </w:p>
    <w:p>
      <w:r>
        <w:t>Wir beantragen,</w:t>
      </w:r>
    </w:p>
    <w:p>
      <w:r>
        <w:t>1. den Beklagten zu verurteilen, die Wohnung Feldstraße 18, 1. OG rechts, bestehend aus drei Zimmern, Küche, Bad und Kellerraum Nr. 4, zu räumen und an die Klägerin herauszugeben;</w:t>
      </w:r>
    </w:p>
    <w:p>
      <w:r>
        <w:t>2. den Beklagten zu verurteilen, an die Klägerin 2.140,00 EUR rückständige Miete nebst Zinsen zu zahlen.</w:t>
      </w:r>
    </w:p>
    <w:p>
      <w:pPr>
        <w:pStyle w:val="Heading2"/>
      </w:pPr>
      <w:r>
        <w:t>Begründung</w:t>
      </w:r>
    </w:p>
    <w:p>
      <w:r>
        <w:t>Die Parteien verbindet ein Wohnraummietvertrag vom 15.06.2019. Die Bruttomiete beträgt monatlich 1.070,00 EUR und ist bis zum dritten Werktag eines Monats zu zahlen.</w:t>
      </w:r>
    </w:p>
    <w:p>
      <w:r>
        <w:t>Der Beklagte hat die Mieten für Januar und Februar 2024 nicht gezahlt. Er befand sich damit an zwei aufeinanderfolgenden Terminen mit der Entrichtung der Miete in Verzug.</w:t>
      </w:r>
    </w:p>
    <w:p>
      <w:r>
        <w:t>Die Klägerin hat das Mietverhältnis deshalb mit Schreiben vom 12.02.2024 fristlos nach § 543 Abs. 2 Satz 1 Nr. 3 lit. a BGB und hilfsweise ordentlich nach § 573 Abs. 2 Nr. 1 BGB gekündigt. Der Beklagte hat die Wohnung bis heute nicht zurückgegeben.</w:t>
      </w:r>
    </w:p>
    <w:p>
      <w:r>
        <w:t>Der Anspruch auf Räumung und Herausgabe folgt aus § 546 Abs. 1 BGB und § 985 BGB.</w:t>
      </w:r>
    </w:p>
    <w:p>
      <w:r>
        <w:t>Auf die Schonfristregelung des § 569 Abs. 3 Nr. 2 BGB wird hingewiesen.</w:t>
      </w:r>
    </w:p>
    <w:p>
      <w:r>
        <w:t>Rechtsanwalt Dr. Tobias Kröger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Klage</dc:title>
  <dc:subject>Frei erfundenes Testdokument fuer SmartSearch</dc:subject>
  <dc:creator>anonymous</dc:creator>
  <cp:keywords/>
  <dc:description>generated by python-docx</dc:description>
  <cp:lastModifiedBy>anonymous</cp:lastModifiedBy>
  <cp:revision>1</cp:revision>
  <dcterms:created xsi:type="dcterms:W3CDTF">2024-09-01T12:00:00Z</dcterms:created>
  <dcterms:modified xsi:type="dcterms:W3CDTF">2024-09-01T12:00:00Z</dcterms:modified>
  <cp:category/>
</cp:coreProperties>
</file>