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Entwurf zur Besprechung am 12.04.2011 – nicht unterschreiben!</w:t>
      </w:r>
    </w:p>
    <w:p>
      <w:r>
        <w:t>Hinweis: Ein privatschriftliches Testament muss vollständig eigenhändig geschrieben und unterschrieben werden (§ 2247 BGB). Dieser Text dient nur als Vorlage zum Abschreiben.</w:t>
      </w:r>
    </w:p>
    <w:p>
      <w:pPr>
        <w:pStyle w:val="Heading1"/>
      </w:pPr>
      <w:r>
        <w:t>Gemeinschaftliches Testament</w:t>
      </w:r>
    </w:p>
    <w:p>
      <w:r>
        <w:t>Wir, die Eheleute Heinrich Brinkmann, geb. 02.05.1944, und Gisela Brinkmann, geb. 17.09.1947, wohnhaft Schildescher Straße 60, 33611 Bielefeld, errichten hiermit folgendes gemeinschaftliches Testament:</w:t>
      </w:r>
    </w:p>
    <w:p>
      <w:r>
        <w:t>1. Wir setzen uns gegenseitig zu alleinigen Erben ein.</w:t>
      </w:r>
    </w:p>
    <w:p>
      <w:r>
        <w:t>2. Schlusserben nach dem Tod des Längerlebenden sind unsere Kinder Thomas Brinkmann und Petra Albrecht geb. Brinkmann zu gleichen Teilen (Berliner Testament, § 2269 BGB).</w:t>
      </w:r>
    </w:p>
    <w:p>
      <w:r>
        <w:t>3. Pflichtteilsstrafklausel: Verlangt eines unserer Kinder nach dem Tod des Erstversterbenden gegen den Willen des Überlebenden seinen Pflichtteil, so ist es mit seinen Abkömmlingen auch nach dem Tod des Längerlebenden auf den Pflichtteil beschränkt.</w:t>
      </w:r>
    </w:p>
    <w:p>
      <w:r>
        <w:t>4. Der Längerlebende ist berechtigt, die Schlusserbeneinsetzung abzuändern, soweit sie unsere Kinder und deren Abkömmlinge untereinander betrifft.</w:t>
      </w:r>
    </w:p>
    <w:p>
      <w:r>
        <w:t>5. Die Eigentumswohnung auf Norderney erhält als Vermächtnis unsere Enkelin Lea Albrecht.</w:t>
      </w:r>
    </w:p>
    <w:p>
      <w:r>
        <w:t>Bielefeld, den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dc:title>
  <dc:subject>Frei erfundenes Testdokument fuer SmartSearch</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