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Kröger &amp; Petersen Rechtsanwälte</w:t>
      </w:r>
    </w:p>
    <w:p>
      <w:r>
        <w:t>Am Lindenhof 7 · 33602 Bielefeld · Tel. 0521 000000</w:t>
      </w:r>
    </w:p>
    <w:p>
      <w:r>
        <w:t>An das Amtsgericht Bielefeld</w:t>
      </w:r>
    </w:p>
    <w:p>
      <w:r>
        <w:t>Gerichtstraße 6, 33602 Bielefeld</w:t>
      </w:r>
    </w:p>
    <w:p>
      <w:pPr>
        <w:pStyle w:val="Heading1"/>
      </w:pPr>
      <w:r>
        <w:t>Klage</w:t>
      </w:r>
    </w:p>
    <w:p>
      <w:r>
        <w:t>des Herrn Jonas Albers, Wittekindstraße 30, 33615 Bielefeld – Kläger –</w:t>
      </w:r>
    </w:p>
    <w:p>
      <w:r>
        <w:t>Prozessbevollmächtigte: Rechtsanwälte Kröger &amp; Petersen</w:t>
      </w:r>
    </w:p>
    <w:p>
      <w:r>
        <w:t>gegen</w:t>
      </w:r>
    </w:p>
    <w:p>
      <w:r>
        <w:t>die Westfalen Direkt Versicherung AG, vertreten durch den Vorstand, – Beklagte –</w:t>
      </w:r>
    </w:p>
    <w:p>
      <w:r>
        <w:t>wegen Schadensersatzes aus einem Verkehrsunfall</w:t>
      </w:r>
    </w:p>
    <w:p>
      <w:r>
        <w:t>Streitwert: 6.915,17 EUR</w:t>
      </w:r>
    </w:p>
    <w:p>
      <w:r>
        <w:t>Namens und in Vollmacht des Klägers erheben wir Klage und werden beantragen,</w:t>
      </w:r>
    </w:p>
    <w:p>
      <w:r>
        <w:t>die Beklagte zu verurteilen, an den Kläger 6.915,17 EUR nebst Zinsen in Höhe von fünf Prozentpunkten über dem Basiszinssatz seit dem 12.03.2024 zu zahlen.</w:t>
      </w:r>
    </w:p>
    <w:p>
      <w:pPr>
        <w:pStyle w:val="Heading2"/>
      </w:pPr>
      <w:r>
        <w:t>Begründung</w:t>
      </w:r>
    </w:p>
    <w:p>
      <w:r>
        <w:t>Am 14.01.2024 gegen 7:45 Uhr befuhr der Kläger mit seinem Pkw VW Golf, amtliches Kennzeichen BI-JA 330, die Stapenhorststraße in Richtung Innenstadt. An der Kreuzung mit der Wittekindstraße missachtete der Versicherungsnehmer der Beklagten mit seinem Transporter das Rotlicht der Ampel und stieß in die rechte Fahrzeugseite des Klägers.</w:t>
      </w:r>
    </w:p>
    <w:p>
      <w:r>
        <w:t>Die Beklagte ist der Haftpflichtversicherer des Unfallgegners. Sie haftet nach § 7 StVG, § 115 Abs. 1 Nr. 1 VVG als Gesamtschuldnerin in voller Höhe.</w:t>
      </w:r>
    </w:p>
    <w:p>
      <w:r>
        <w:t>Der Schaden setzt sich zusammen aus: Reparaturkosten laut Gutachten netto 5.748,04 EUR, merkantile Wertminderung 350,00 EUR, Sachverständigenkosten 612,13 EUR, Nutzungsausfall für 12 Tage à 15,00 EUR = 180,00 EUR sowie Kostenpauschale 25,00 EUR.</w:t>
      </w:r>
    </w:p>
    <w:p>
      <w:r>
        <w:t>Die Beklagte hat mit Schreiben vom 11.03.2024 jede Zahlung abgelehnt und eine Mithaftung des Klägers wegen überhöhter Geschwindigkeit behauptet. Das ist unzutreffend.</w:t>
      </w:r>
    </w:p>
    <w:p>
      <w:r>
        <w:t>Beweis: Zeugnis der Frau Lena Hartmann; Sachverständigengutachten; Unfallskizze der Polizei</w:t>
      </w:r>
    </w:p>
    <w:p>
      <w:r>
        <w:t>Rechtsanwalt Dr. Tobias Kröger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dc:title>
  <dc:subject>Frei erfundenes Testdokument fuer SmartSearch</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