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between Lindenhof Software GmbH, Bielefeld, Germany ("Lindenhof")</w:t>
      </w:r>
    </w:p>
    <w:p>
      <w:r>
        <w:t>and Northbridge Analytics Ltd., Leeds, United Kingdom ("Northbridge")</w:t>
      </w:r>
    </w:p>
    <w:p>
      <w:pPr>
        <w:pStyle w:val="Heading2"/>
      </w:pPr>
      <w:r>
        <w:t>1. Purpose</w:t>
      </w:r>
    </w:p>
    <w:p>
      <w:r>
        <w:t>The parties intend to evaluate a joint development of an AI-based document classification module (the "Purpose"). For this Purpose, each party may disclose Confidential Information to the other.</w:t>
      </w:r>
    </w:p>
    <w:p>
      <w:pPr>
        <w:pStyle w:val="Heading2"/>
      </w:pPr>
      <w:r>
        <w:t>2. Confidential Information</w:t>
      </w:r>
    </w:p>
    <w:p>
      <w:r>
        <w:t>Confidential Information means all technical and business information, including source code, customer lists, pricing and product roadmaps, disclosed in any form and marked or reasonably understood as confidential.</w:t>
      </w:r>
    </w:p>
    <w:p>
      <w:pPr>
        <w:pStyle w:val="Heading2"/>
      </w:pPr>
      <w:r>
        <w:t>3. Obligations</w:t>
      </w:r>
    </w:p>
    <w:p>
      <w:r>
        <w:t>The receiving party shall keep Confidential Information strictly secret, use it solely for the Purpose and disclose it only to employees and advisers bound by equivalent confidentiality obligations.</w:t>
      </w:r>
    </w:p>
    <w:p>
      <w:pPr>
        <w:pStyle w:val="Heading2"/>
      </w:pPr>
      <w:r>
        <w:t>4. Exceptions</w:t>
      </w:r>
    </w:p>
    <w:p>
      <w:r>
        <w:t>The obligations do not apply to information that is publicly available, was already known to the receiving party, or must be disclosed by law or court order.</w:t>
      </w:r>
    </w:p>
    <w:p>
      <w:pPr>
        <w:pStyle w:val="Heading2"/>
      </w:pPr>
      <w:r>
        <w:t>5. Term</w:t>
      </w:r>
    </w:p>
    <w:p>
      <w:r>
        <w:t>This Agreement enters into force upon signature and remains in effect for three (3) years. The obligations survive for a further two (2) years after termination.</w:t>
      </w:r>
    </w:p>
    <w:p>
      <w:pPr>
        <w:pStyle w:val="Heading2"/>
      </w:pPr>
      <w:r>
        <w:t>6. Contractual penalty</w:t>
      </w:r>
    </w:p>
    <w:p>
      <w:r>
        <w:t>For each culpable breach, the breaching party shall pay a contractual penalty of EUR 10,000, without prejudice to further damages.</w:t>
      </w:r>
    </w:p>
    <w:p>
      <w:pPr>
        <w:pStyle w:val="Heading2"/>
      </w:pPr>
      <w:r>
        <w:t>7. Governing law</w:t>
      </w:r>
    </w:p>
    <w:p>
      <w:r>
        <w:t>This Agreement is governed by German law. Place of jurisdiction is Bielefeld, Germany.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</dc:title>
  <dc:subject>Frei erfundenes Testdokument fuer SmartSearch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