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7FA7804D" w14:textId="261E45C4" w:rsidR="00E7335B" w:rsidRPr="00A96255" w:rsidRDefault="00E7335B" w:rsidP="002F5F0C">
      <w:pPr>
        <w:pStyle w:val="MGTHeader"/>
      </w:pPr>
      <w:r w:rsidRPr="00E7335B">
        <w:t>Goal 6: Ensure availability and sustainable management of water and sanitation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6E3510FE" w14:textId="0887A62F" w:rsidR="00E7335B" w:rsidRPr="00A96255" w:rsidRDefault="00E7335B" w:rsidP="00D24330">
      <w:pPr>
        <w:pStyle w:val="MGTHeader"/>
      </w:pPr>
      <w:r w:rsidRPr="00E7335B">
        <w:t>Target 6.5: By 2030, implement integrated water resources management at all levels, including through transboundary cooperation as appropriate</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228A5214" w14:textId="3A9982B4" w:rsidR="00E7335B" w:rsidRPr="00672DED" w:rsidRDefault="00E7335B" w:rsidP="00D24330">
      <w:pPr>
        <w:pStyle w:val="MGTHeader"/>
        <w:rPr>
          <w:rFonts w:ascii="Calibri" w:hAnsi="Calibri"/>
        </w:rPr>
      </w:pPr>
      <w:r w:rsidRPr="00672DED">
        <w:rPr>
          <w:rFonts w:ascii="Calibri" w:hAnsi="Calibri"/>
          <w:color w:val="444444"/>
        </w:rPr>
        <w:t>Indicator 6.5.1: Degree of integrated water resources management</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5992F9B2" w14:textId="77777777" w:rsidR="00F808F4" w:rsidRPr="0045025E" w:rsidRDefault="00F808F4" w:rsidP="00F808F4">
      <w:pPr>
        <w:pStyle w:val="MGTHeader"/>
      </w:pPr>
      <w:r w:rsidRPr="0045025E">
        <w:t>ER_H2O_IWRMD - Degree of integrated water resources management implementation (%) [6.5.1]</w:t>
      </w:r>
    </w:p>
    <w:p w14:paraId="76820A1C" w14:textId="77777777" w:rsidR="00F808F4" w:rsidRPr="0045025E" w:rsidRDefault="00F808F4" w:rsidP="00F808F4">
      <w:pPr>
        <w:pStyle w:val="MGTHeader"/>
      </w:pPr>
      <w:r w:rsidRPr="0045025E">
        <w:t>ER_H2O_IWRMD_EE - Degree of integrated water resources management implementation, enabling environment (%) [6.5.1]</w:t>
      </w:r>
    </w:p>
    <w:p w14:paraId="75CADC50" w14:textId="77777777" w:rsidR="00F808F4" w:rsidRPr="0045025E" w:rsidRDefault="00F808F4" w:rsidP="00F808F4">
      <w:pPr>
        <w:pStyle w:val="MGTHeader"/>
      </w:pPr>
      <w:r w:rsidRPr="0045025E">
        <w:t>ER_H2O_IWRMD_FI - Degree of integrated water resources management implementation, financing (%) [6.5.1]</w:t>
      </w:r>
    </w:p>
    <w:p w14:paraId="0272EAEB" w14:textId="77777777" w:rsidR="00F808F4" w:rsidRPr="0045025E" w:rsidRDefault="00F808F4" w:rsidP="00F808F4">
      <w:pPr>
        <w:pStyle w:val="MGTHeader"/>
      </w:pPr>
      <w:r w:rsidRPr="0045025E">
        <w:t>ER_H2O_IWRMD_IP - Degree of integrated water resources management implementation, institutions and participation (%) [6.5.1]</w:t>
      </w:r>
    </w:p>
    <w:p w14:paraId="0DAAE49C" w14:textId="77777777" w:rsidR="00F808F4" w:rsidRPr="0045025E" w:rsidRDefault="00F808F4" w:rsidP="00F808F4">
      <w:pPr>
        <w:pStyle w:val="MGTHeader"/>
      </w:pPr>
      <w:r w:rsidRPr="0045025E">
        <w:t>ER_H2O_IWRMD_MI - Degree of integrated water resources management implementation, management instruments (%) [6.5.1]</w:t>
      </w:r>
    </w:p>
    <w:p w14:paraId="37A26B57" w14:textId="1AA4BCA4" w:rsidR="00694756" w:rsidRPr="007C177D" w:rsidRDefault="00F808F4" w:rsidP="00D24330">
      <w:pPr>
        <w:pStyle w:val="MGTHeader"/>
        <w:rPr>
          <w:rFonts w:ascii="Calibri" w:hAnsi="Calibri"/>
          <w:color w:val="444444"/>
        </w:rPr>
      </w:pPr>
      <w:r w:rsidRPr="0045025E">
        <w:t>ER_H2O_IWRMP - Proportion of countries by IWRM implementation category [6.5.1]</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361833266"/>
        <w:placeholder>
          <w:docPart w:val="DefaultPlaceholder_-1854013437"/>
        </w:placeholder>
        <w:date w:fullDate="2024-07-29T00:00:00Z">
          <w:dateFormat w:val="yyyy-MM-dd"/>
          <w:lid w:val="en-US"/>
          <w:storeMappedDataAs w:val="dateTime"/>
          <w:calendar w:val="gregorian"/>
        </w:date>
      </w:sdtPr>
      <w:sdtContent>
        <w:p w14:paraId="32E92741" w14:textId="3CE5A796" w:rsidR="00E92576" w:rsidRPr="00A96255" w:rsidRDefault="009067AA" w:rsidP="00D24330">
          <w:pPr>
            <w:pStyle w:val="MGTHeader"/>
          </w:pPr>
          <w:r>
            <w:rPr>
              <w:lang w:val="en-US"/>
            </w:rPr>
            <w:t>2024-07-29</w:t>
          </w:r>
        </w:p>
      </w:sdtContent>
    </w:sdt>
    <w:p w14:paraId="415C9FF1" w14:textId="66D7793E" w:rsidR="00D24330" w:rsidRDefault="00D24330" w:rsidP="00D24330">
      <w:pPr>
        <w:pStyle w:val="MIndHeader"/>
      </w:pPr>
      <w:r w:rsidRPr="00A96255">
        <w:t xml:space="preserve">0.f. Related indicators </w:t>
      </w:r>
      <w:r>
        <w:rPr>
          <w:color w:val="B4B4B4"/>
          <w:sz w:val="20"/>
        </w:rPr>
        <w:t>(SDG_RELATED_INDICATORS)</w:t>
      </w:r>
    </w:p>
    <w:p w14:paraId="735332D6" w14:textId="2C10782C" w:rsidR="00A354ED" w:rsidRPr="00E1472C" w:rsidRDefault="00B01857" w:rsidP="00E1472C">
      <w:pPr>
        <w:pStyle w:val="MGTHeader"/>
      </w:pPr>
      <w:r w:rsidRPr="00E1472C">
        <w:t xml:space="preserve">1.4.1, 1.4.2, 2.3.1, 2.3.2, 4.7.1, 5.5.1, 5.5.2, </w:t>
      </w:r>
      <w:r w:rsidR="00822214" w:rsidRPr="00E1472C">
        <w:t xml:space="preserve">6.6.1, 6.a.1, 6.b.1, </w:t>
      </w:r>
      <w:r w:rsidR="001A5484" w:rsidRPr="00E1472C">
        <w:t>7.1.1, 7.1.2</w:t>
      </w:r>
      <w:r w:rsidR="00716328" w:rsidRPr="00E1472C">
        <w:t>, 8.5.1, 8.5.2, 10.2.1</w:t>
      </w:r>
      <w:r w:rsidR="009D623C" w:rsidRPr="00E1472C">
        <w:t>, 11.3.1, 11.3.2, 13.2.1, 13.2.2</w:t>
      </w:r>
      <w:r w:rsidR="00657932" w:rsidRPr="00E1472C">
        <w:t xml:space="preserve">, 15.9.1, 16.3.1, 16.3.2, </w:t>
      </w:r>
      <w:r w:rsidR="009905B3" w:rsidRPr="00E1472C">
        <w:t>16.5.1, 16.5.2, 16.7.1, 16.7.2</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158CC45" w14:textId="68F966A5" w:rsidR="00E7335B" w:rsidRPr="00A96255" w:rsidRDefault="00E7335B" w:rsidP="00D24330">
      <w:pPr>
        <w:pStyle w:val="MGTHeader"/>
        <w:rPr>
          <w:color w:val="4A4A4A"/>
        </w:rPr>
      </w:pPr>
      <w:r w:rsidRPr="00E7335B">
        <w:t>United Nations Environment Programme (UNEP)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4CE8F21B" w14:textId="07CB49B2" w:rsidR="00011F45" w:rsidRDefault="00011F45" w:rsidP="00576CFA">
      <w:pPr>
        <w:pStyle w:val="MText"/>
      </w:pPr>
      <w:r w:rsidRPr="00011F45">
        <w:t>United Nations Environment Programme (UNEP)</w:t>
      </w:r>
      <w:r w:rsidR="00732C3F">
        <w:t>, implemented by the UNEP-DHI Centre on Water and Environment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153B09C3" w14:textId="3A06F2A3" w:rsidR="00D51E7C" w:rsidRDefault="008B0AC7" w:rsidP="00BA4112">
      <w:pPr>
        <w:pStyle w:val="MHeader2"/>
      </w:pPr>
      <w:r w:rsidRPr="00A96255">
        <w:t xml:space="preserve">2.a. Definition and concepts </w:t>
      </w:r>
      <w:r>
        <w:rPr>
          <w:color w:val="B4B4B4"/>
          <w:sz w:val="20"/>
        </w:rPr>
        <w:t>(STAT_CONC_DEF)</w:t>
      </w:r>
    </w:p>
    <w:p w14:paraId="6C689889" w14:textId="77777777" w:rsidR="00BA4112" w:rsidRPr="00F07C28" w:rsidRDefault="00BA4112">
      <w:pPr>
        <w:shd w:val="clear" w:color="auto" w:fill="FFFFFF"/>
        <w:spacing w:after="0"/>
        <w:contextualSpacing/>
        <w:rPr>
          <w:rFonts w:eastAsia="Times New Roman" w:cs="Times New Roman"/>
          <w:color w:val="4A4A4A"/>
          <w:sz w:val="21"/>
          <w:szCs w:val="21"/>
          <w:lang w:eastAsia="en-GB"/>
        </w:rPr>
      </w:pPr>
      <w:r w:rsidRPr="00F07C28">
        <w:rPr>
          <w:rFonts w:eastAsia="Times New Roman" w:cs="Times New Roman"/>
          <w:b/>
          <w:bCs/>
          <w:color w:val="4A4A4A"/>
          <w:sz w:val="21"/>
          <w:szCs w:val="21"/>
          <w:lang w:eastAsia="en-GB"/>
        </w:rPr>
        <w:t>Definition:</w:t>
      </w:r>
    </w:p>
    <w:p w14:paraId="03B0A527" w14:textId="76DF45EE" w:rsidR="00BA4112" w:rsidRDefault="00BA4112" w:rsidP="00072722">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lastRenderedPageBreak/>
        <w:t xml:space="preserve">Indicator 6.5.1 is ‘degree of integrated water resources management implementation’. It measures the stages of development and implementation of Integrated Water Resources Management (IWRM), on a scale of 0 to 100, in six categories (see Rationale section). The indicator score is calculated from a country survey with 33 questions, with each question scored on the same scale of 0-100.  </w:t>
      </w:r>
    </w:p>
    <w:p w14:paraId="6E8ABB5C" w14:textId="77777777" w:rsidR="00072722" w:rsidRPr="00F07C28" w:rsidRDefault="00072722" w:rsidP="00072722">
      <w:pPr>
        <w:shd w:val="clear" w:color="auto" w:fill="FFFFFF"/>
        <w:spacing w:after="0"/>
        <w:rPr>
          <w:rFonts w:eastAsia="Times New Roman" w:cs="Times New Roman"/>
          <w:color w:val="4A4A4A"/>
          <w:sz w:val="21"/>
          <w:szCs w:val="21"/>
          <w:lang w:eastAsia="en-GB"/>
        </w:rPr>
      </w:pPr>
    </w:p>
    <w:p w14:paraId="2ABC7F0B" w14:textId="5B42BB05" w:rsidR="00BA4112" w:rsidRDefault="00BA4112" w:rsidP="00072722">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definition of IWRM is based on an internationally agreed </w:t>
      </w:r>
      <w:proofErr w:type="gramStart"/>
      <w:r w:rsidRPr="00F07C28">
        <w:rPr>
          <w:rFonts w:eastAsia="Times New Roman" w:cs="Times New Roman"/>
          <w:color w:val="4A4A4A"/>
          <w:sz w:val="21"/>
          <w:szCs w:val="21"/>
          <w:lang w:eastAsia="en-GB"/>
        </w:rPr>
        <w:t>definition, and</w:t>
      </w:r>
      <w:proofErr w:type="gramEnd"/>
      <w:r w:rsidRPr="00F07C28">
        <w:rPr>
          <w:rFonts w:eastAsia="Times New Roman" w:cs="Times New Roman"/>
          <w:color w:val="4A4A4A"/>
          <w:sz w:val="21"/>
          <w:szCs w:val="21"/>
          <w:lang w:eastAsia="en-GB"/>
        </w:rPr>
        <w:t xml:space="preserve"> is universally applicable. IWRM was officially established in 1992 and is defined as “a process which promotes the coordinated development and management of water, land and related resources in order to maximise economic and social welfare in an equitable manner without compromising the sustainability of vital ecosystems.” (GWP 2010). </w:t>
      </w:r>
    </w:p>
    <w:p w14:paraId="2A0D9FBC" w14:textId="77777777" w:rsidR="00072722" w:rsidRPr="00F07C28" w:rsidRDefault="00072722" w:rsidP="00072722">
      <w:pPr>
        <w:shd w:val="clear" w:color="auto" w:fill="FFFFFF"/>
        <w:spacing w:after="0"/>
        <w:rPr>
          <w:rFonts w:eastAsia="Times New Roman" w:cs="Times New Roman"/>
          <w:color w:val="4A4A4A"/>
          <w:sz w:val="21"/>
          <w:szCs w:val="21"/>
          <w:lang w:eastAsia="en-GB"/>
        </w:rPr>
      </w:pPr>
    </w:p>
    <w:p w14:paraId="1C62937A" w14:textId="77777777" w:rsidR="00BA4112" w:rsidRPr="00F07C28" w:rsidRDefault="00BA4112" w:rsidP="00072722">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The method builds on official UN IWRM status reporting, from 2008 and 2012, of the Johannesburg Plan of Implementation from the UN World Summit for Sustainable Development (1992).</w:t>
      </w:r>
    </w:p>
    <w:p w14:paraId="0D976037" w14:textId="77777777" w:rsidR="00BA4112" w:rsidRPr="00F07C28" w:rsidRDefault="00BA4112">
      <w:pPr>
        <w:shd w:val="clear" w:color="auto" w:fill="FFFFFF"/>
        <w:spacing w:after="0"/>
        <w:contextualSpacing/>
        <w:rPr>
          <w:rFonts w:eastAsia="Times New Roman" w:cs="Times New Roman"/>
          <w:b/>
          <w:bCs/>
          <w:color w:val="4A4A4A"/>
          <w:sz w:val="21"/>
          <w:szCs w:val="21"/>
          <w:lang w:eastAsia="en-GB"/>
        </w:rPr>
      </w:pPr>
    </w:p>
    <w:p w14:paraId="0352E2C5" w14:textId="77777777" w:rsidR="00BA4112" w:rsidRPr="00F07C28" w:rsidRDefault="00BA4112">
      <w:pPr>
        <w:shd w:val="clear" w:color="auto" w:fill="FFFFFF"/>
        <w:spacing w:after="0"/>
        <w:contextualSpacing/>
        <w:rPr>
          <w:rFonts w:eastAsia="Times New Roman" w:cs="Times New Roman"/>
          <w:color w:val="4A4A4A"/>
          <w:sz w:val="21"/>
          <w:szCs w:val="21"/>
          <w:lang w:eastAsia="en-GB"/>
        </w:rPr>
      </w:pPr>
      <w:r w:rsidRPr="00F07C28">
        <w:rPr>
          <w:rFonts w:eastAsia="Times New Roman" w:cs="Times New Roman"/>
          <w:b/>
          <w:bCs/>
          <w:color w:val="4A4A4A"/>
          <w:sz w:val="21"/>
          <w:szCs w:val="21"/>
          <w:lang w:eastAsia="en-GB"/>
        </w:rPr>
        <w:t>Concepts:</w:t>
      </w:r>
    </w:p>
    <w:p w14:paraId="1DD2494E" w14:textId="77777777" w:rsidR="00BA4112" w:rsidRPr="00F07C28" w:rsidRDefault="00BA4112" w:rsidP="00072722">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concept of IWRM is measured in 4 main sections, each representing key dimension of IWRM: </w:t>
      </w:r>
    </w:p>
    <w:p w14:paraId="2752EF7C" w14:textId="77777777" w:rsidR="00BA4112" w:rsidRPr="00F07C28" w:rsidRDefault="00BA4112" w:rsidP="002F1274">
      <w:pPr>
        <w:pStyle w:val="ListParagraph"/>
        <w:numPr>
          <w:ilvl w:val="0"/>
          <w:numId w:val="14"/>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Enabling environment: this includes the policies, laws, plans and strategies which create the ‘enabling environment’ for IWRM. </w:t>
      </w:r>
    </w:p>
    <w:p w14:paraId="33BA30BA" w14:textId="77777777" w:rsidR="00BA4112" w:rsidRPr="00F07C28" w:rsidRDefault="00BA4112">
      <w:pPr>
        <w:pStyle w:val="ListParagraph"/>
        <w:numPr>
          <w:ilvl w:val="0"/>
          <w:numId w:val="14"/>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Institutions and </w:t>
      </w:r>
      <w:proofErr w:type="gramStart"/>
      <w:r w:rsidRPr="00F07C28">
        <w:rPr>
          <w:rFonts w:eastAsia="Times New Roman" w:cs="Times New Roman"/>
          <w:color w:val="4A4A4A"/>
          <w:sz w:val="21"/>
          <w:szCs w:val="21"/>
          <w:lang w:eastAsia="en-GB"/>
        </w:rPr>
        <w:t>participation:</w:t>
      </w:r>
      <w:proofErr w:type="gramEnd"/>
      <w:r w:rsidRPr="00F07C28">
        <w:rPr>
          <w:rFonts w:eastAsia="Times New Roman" w:cs="Times New Roman"/>
          <w:color w:val="4A4A4A"/>
          <w:sz w:val="21"/>
          <w:szCs w:val="21"/>
          <w:lang w:eastAsia="en-GB"/>
        </w:rPr>
        <w:t xml:space="preserve"> includes the range and roles of political, social, economic and administrative institutions that help to support the implementation of IWRM. </w:t>
      </w:r>
    </w:p>
    <w:p w14:paraId="08EC30C2" w14:textId="77777777" w:rsidR="00BA4112" w:rsidRPr="00F07C28" w:rsidRDefault="00BA4112">
      <w:pPr>
        <w:pStyle w:val="ListParagraph"/>
        <w:numPr>
          <w:ilvl w:val="0"/>
          <w:numId w:val="14"/>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Management Instruments: The tools and activities that enable decision-makers and users to make rational and informed choices between alternative actions. </w:t>
      </w:r>
    </w:p>
    <w:p w14:paraId="68172624" w14:textId="77777777" w:rsidR="00BA4112" w:rsidRPr="00F07C28" w:rsidRDefault="00BA4112">
      <w:pPr>
        <w:pStyle w:val="ListParagraph"/>
        <w:numPr>
          <w:ilvl w:val="0"/>
          <w:numId w:val="14"/>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Financing: Budgeting and financing made available and used for water resources development and management from various sources.</w:t>
      </w:r>
    </w:p>
    <w:p w14:paraId="5B1F1E99" w14:textId="77777777" w:rsidR="00BA4112" w:rsidRPr="00F07C28" w:rsidRDefault="00BA4112" w:rsidP="00D72599">
      <w:pPr>
        <w:shd w:val="clear" w:color="auto" w:fill="FFFFFF"/>
        <w:spacing w:after="0" w:line="23" w:lineRule="atLeast"/>
        <w:rPr>
          <w:rFonts w:eastAsia="Times New Roman" w:cs="Times New Roman"/>
          <w:color w:val="4A4A4A"/>
          <w:sz w:val="21"/>
          <w:szCs w:val="21"/>
          <w:lang w:eastAsia="en-GB"/>
        </w:rPr>
      </w:pPr>
    </w:p>
    <w:p w14:paraId="53E5C685" w14:textId="77777777" w:rsidR="00BA4112" w:rsidRPr="00F07C28" w:rsidRDefault="00BA4112" w:rsidP="00072722">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The indicator is based on a national survey structured around these four main sectio</w:t>
      </w:r>
      <w:r>
        <w:rPr>
          <w:rFonts w:eastAsia="Times New Roman" w:cs="Times New Roman"/>
          <w:color w:val="4A4A4A"/>
          <w:sz w:val="21"/>
          <w:szCs w:val="21"/>
          <w:lang w:eastAsia="en-GB"/>
        </w:rPr>
        <w:t>ns</w:t>
      </w:r>
      <w:r w:rsidRPr="00F07C28">
        <w:rPr>
          <w:rFonts w:eastAsia="Times New Roman" w:cs="Times New Roman"/>
          <w:color w:val="4A4A4A"/>
          <w:sz w:val="21"/>
          <w:szCs w:val="21"/>
          <w:lang w:eastAsia="en-GB"/>
        </w:rPr>
        <w:t>. Each section is split into two parts: questions concerning the ‘National level’ and ‘Other levels’ respectively. ‘Other levels’ includes sub-national (including provinces/states for federated countries), basin level, and the transboundary level as appropriate. These two parts address the wording of Target 6.5 ‘implement [IWRM] at all levels …’.</w:t>
      </w:r>
    </w:p>
    <w:p w14:paraId="6E54D3D6" w14:textId="77777777" w:rsidR="00EC2915" w:rsidRPr="00A96255" w:rsidRDefault="00EC2915">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5739755C" w:rsidR="00576CFA" w:rsidRPr="00A96255" w:rsidRDefault="00297292" w:rsidP="00576CFA">
      <w:pPr>
        <w:pStyle w:val="MText"/>
      </w:pPr>
      <w:r>
        <w:t>P</w:t>
      </w:r>
      <w:r w:rsidR="003C0C2C" w:rsidRPr="00D72599">
        <w:t>ercent</w:t>
      </w:r>
      <w:r w:rsidR="0092661E">
        <w:t xml:space="preserve"> (%)</w:t>
      </w:r>
      <w:r w:rsidR="003C0C2C" w:rsidRPr="00D72599">
        <w:t xml:space="preserve"> </w:t>
      </w:r>
    </w:p>
    <w:p w14:paraId="548E9AAA" w14:textId="77777777" w:rsidR="00EC2915" w:rsidRPr="00A96255" w:rsidRDefault="00EC2915" w:rsidP="00576CFA">
      <w:pPr>
        <w:pStyle w:val="MText"/>
      </w:pPr>
    </w:p>
    <w:p w14:paraId="651AA7AC" w14:textId="4310B4B7" w:rsidR="00DA615C" w:rsidRPr="00A96255" w:rsidRDefault="008B0AC7" w:rsidP="00F719A8">
      <w:pPr>
        <w:pStyle w:val="MHeader2"/>
      </w:pPr>
      <w:r w:rsidRPr="00A96255">
        <w:t xml:space="preserve">2.c. Classifications </w:t>
      </w:r>
      <w:r>
        <w:rPr>
          <w:color w:val="B4B4B4"/>
          <w:sz w:val="20"/>
        </w:rPr>
        <w:t>(CLASS_SYSTEM)</w:t>
      </w:r>
    </w:p>
    <w:p w14:paraId="4F339888" w14:textId="77777777" w:rsidR="00C03DE0" w:rsidRDefault="00C03DE0" w:rsidP="00E1472C">
      <w:pPr>
        <w:pStyle w:val="Heading3"/>
        <w:numPr>
          <w:ilvl w:val="0"/>
          <w:numId w:val="16"/>
        </w:numPr>
        <w:shd w:val="clear" w:color="auto" w:fill="FFFFFF"/>
        <w:spacing w:before="0" w:line="360" w:lineRule="auto"/>
        <w:rPr>
          <w:rFonts w:asciiTheme="minorHAnsi" w:eastAsia="Times New Roman" w:hAnsiTheme="minorHAnsi" w:cs="Times New Roman"/>
          <w:color w:val="4A4A4A"/>
          <w:sz w:val="21"/>
          <w:szCs w:val="21"/>
          <w:lang w:eastAsia="en-GB"/>
        </w:rPr>
      </w:pPr>
      <w:r w:rsidRPr="00A90DE8">
        <w:rPr>
          <w:rFonts w:asciiTheme="minorHAnsi" w:eastAsia="Times New Roman" w:hAnsiTheme="minorHAnsi" w:cs="Times New Roman"/>
          <w:color w:val="4A4A4A"/>
          <w:sz w:val="21"/>
          <w:szCs w:val="21"/>
          <w:lang w:eastAsia="en-GB"/>
        </w:rPr>
        <w:t>Classification of inland water bodies</w:t>
      </w:r>
      <w:r>
        <w:rPr>
          <w:rFonts w:asciiTheme="minorHAnsi" w:eastAsia="Times New Roman" w:hAnsiTheme="minorHAnsi" w:cs="Times New Roman"/>
          <w:color w:val="4A4A4A"/>
          <w:sz w:val="21"/>
          <w:szCs w:val="21"/>
          <w:lang w:eastAsia="en-GB"/>
        </w:rPr>
        <w:t xml:space="preserve">: </w:t>
      </w:r>
      <w:hyperlink r:id="rId11" w:history="1">
        <w:r w:rsidRPr="00BD0754">
          <w:rPr>
            <w:rStyle w:val="Hyperlink"/>
            <w:rFonts w:asciiTheme="minorHAnsi" w:eastAsia="Times New Roman" w:hAnsiTheme="minorHAnsi" w:cs="Times New Roman"/>
            <w:sz w:val="21"/>
            <w:szCs w:val="21"/>
            <w:lang w:eastAsia="en-GB"/>
          </w:rPr>
          <w:t>https://unstats.un.org/unsd/classifications/Family/Detail/2002</w:t>
        </w:r>
      </w:hyperlink>
      <w:r>
        <w:rPr>
          <w:rFonts w:asciiTheme="minorHAnsi" w:eastAsia="Times New Roman" w:hAnsiTheme="minorHAnsi" w:cs="Times New Roman"/>
          <w:color w:val="4A4A4A"/>
          <w:sz w:val="21"/>
          <w:szCs w:val="21"/>
          <w:lang w:eastAsia="en-GB"/>
        </w:rPr>
        <w:t xml:space="preserve"> </w:t>
      </w:r>
    </w:p>
    <w:p w14:paraId="6291A7DD" w14:textId="0F9508DE" w:rsidR="00576CFA" w:rsidRPr="00E1472C" w:rsidRDefault="00C03DE0" w:rsidP="00E1472C">
      <w:pPr>
        <w:pStyle w:val="ListParagraph"/>
        <w:numPr>
          <w:ilvl w:val="0"/>
          <w:numId w:val="16"/>
        </w:numPr>
        <w:spacing w:after="0"/>
        <w:rPr>
          <w:rFonts w:eastAsia="Times New Roman" w:cs="Times New Roman"/>
          <w:color w:val="4A4A4A"/>
          <w:sz w:val="21"/>
          <w:szCs w:val="21"/>
          <w:lang w:eastAsia="en-GB"/>
        </w:rPr>
      </w:pPr>
      <w:r w:rsidRPr="00E1472C">
        <w:rPr>
          <w:rFonts w:eastAsia="Times New Roman" w:cs="Times New Roman"/>
          <w:color w:val="4A4A4A"/>
          <w:sz w:val="21"/>
          <w:szCs w:val="21"/>
          <w:lang w:eastAsia="en-GB"/>
        </w:rPr>
        <w:t>Standard Country or Area Codes for Statistical Use</w:t>
      </w:r>
      <w:r w:rsidRPr="00E1472C">
        <w:rPr>
          <w:rFonts w:eastAsia="Times New Roman" w:cs="Times New Roman"/>
          <w:color w:val="4A4A4A"/>
          <w:lang w:eastAsia="en-GB"/>
        </w:rPr>
        <w:t xml:space="preserve"> (UN M49 classification of countries and regions)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0E972FE" w14:textId="67C17C4B" w:rsidR="00563586" w:rsidRDefault="00563586" w:rsidP="00D60CB3">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lastRenderedPageBreak/>
        <w:t>Monitoring progress on meeting SDG 6.5 is owned by and is the responsibility of the national government. The government assign</w:t>
      </w:r>
      <w:r w:rsidR="00703AA4">
        <w:rPr>
          <w:rFonts w:eastAsia="Times New Roman" w:cs="Times New Roman"/>
          <w:color w:val="4A4A4A"/>
          <w:sz w:val="21"/>
          <w:szCs w:val="21"/>
          <w:lang w:eastAsia="en-GB"/>
        </w:rPr>
        <w:t>s</w:t>
      </w:r>
      <w:r w:rsidRPr="00F07C28">
        <w:rPr>
          <w:rFonts w:eastAsia="Times New Roman" w:cs="Times New Roman"/>
          <w:color w:val="4A4A4A"/>
          <w:sz w:val="21"/>
          <w:szCs w:val="21"/>
          <w:lang w:eastAsia="en-GB"/>
        </w:rPr>
        <w:t xml:space="preserve"> a ministry with the primary responsibility for overseeing this survey, which </w:t>
      </w:r>
      <w:r w:rsidR="00703AA4">
        <w:rPr>
          <w:rFonts w:eastAsia="Times New Roman" w:cs="Times New Roman"/>
          <w:color w:val="4A4A4A"/>
          <w:sz w:val="21"/>
          <w:szCs w:val="21"/>
          <w:lang w:eastAsia="en-GB"/>
        </w:rPr>
        <w:t>then</w:t>
      </w:r>
      <w:r w:rsidRPr="00F07C28">
        <w:rPr>
          <w:rFonts w:eastAsia="Times New Roman" w:cs="Times New Roman"/>
          <w:color w:val="4A4A4A"/>
          <w:sz w:val="21"/>
          <w:szCs w:val="21"/>
          <w:lang w:eastAsia="en-GB"/>
        </w:rPr>
        <w:t xml:space="preserve"> take</w:t>
      </w:r>
      <w:r w:rsidR="00703AA4">
        <w:rPr>
          <w:rFonts w:eastAsia="Times New Roman" w:cs="Times New Roman"/>
          <w:color w:val="4A4A4A"/>
          <w:sz w:val="21"/>
          <w:szCs w:val="21"/>
          <w:lang w:eastAsia="en-GB"/>
        </w:rPr>
        <w:t>s</w:t>
      </w:r>
      <w:r w:rsidRPr="00F07C28">
        <w:rPr>
          <w:rFonts w:eastAsia="Times New Roman" w:cs="Times New Roman"/>
          <w:color w:val="4A4A4A"/>
          <w:sz w:val="21"/>
          <w:szCs w:val="21"/>
          <w:lang w:eastAsia="en-GB"/>
        </w:rPr>
        <w:t xml:space="preserve"> on the responsibility of coordinating the national IWRM monitoring and reporting process. As water management issues cut across a wide number of sectors, often overseen by different ministries and other administrative bodies at national or other levels, the process should be inclusive. Major stakeholders should be involved in order to contribute to well informed and objective answers to the survey. </w:t>
      </w:r>
    </w:p>
    <w:p w14:paraId="04CA4375" w14:textId="77777777" w:rsidR="00D60CB3" w:rsidRPr="00F07C28" w:rsidRDefault="00D60CB3" w:rsidP="00D60CB3">
      <w:pPr>
        <w:shd w:val="clear" w:color="auto" w:fill="FFFFFF"/>
        <w:spacing w:after="0"/>
        <w:rPr>
          <w:rFonts w:eastAsia="Times New Roman" w:cs="Times New Roman"/>
          <w:color w:val="4A4A4A"/>
          <w:sz w:val="21"/>
          <w:szCs w:val="21"/>
          <w:lang w:eastAsia="en-GB"/>
        </w:rPr>
      </w:pPr>
    </w:p>
    <w:p w14:paraId="66ED2521" w14:textId="3BFD3BDC" w:rsidR="00563586" w:rsidRPr="00F07C28" w:rsidRDefault="00563586" w:rsidP="00D60CB3">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The ministry is invited to nominate a national “IWRM focal point”, who may or may not be a government official. The UN provide</w:t>
      </w:r>
      <w:r w:rsidR="00703AA4">
        <w:rPr>
          <w:rFonts w:eastAsia="Times New Roman" w:cs="Times New Roman"/>
          <w:color w:val="4A4A4A"/>
          <w:sz w:val="21"/>
          <w:szCs w:val="21"/>
          <w:lang w:eastAsia="en-GB"/>
        </w:rPr>
        <w:t>s</w:t>
      </w:r>
      <w:r w:rsidRPr="00F07C28">
        <w:rPr>
          <w:rFonts w:eastAsia="Times New Roman" w:cs="Times New Roman"/>
          <w:color w:val="4A4A4A"/>
          <w:sz w:val="21"/>
          <w:szCs w:val="21"/>
          <w:lang w:eastAsia="en-GB"/>
        </w:rPr>
        <w:t xml:space="preserve"> support where needed and possible. The following steps are suggested as guidance only, as it is up to countries to decide which process or processes would best serve their needs. It should also be noted that the following steps represent a ‘ladder’ approach, in that completing all the steps will generally lead to a more robust indicator. However, it may not be possible or necessary for all countries to complete all steps. </w:t>
      </w:r>
    </w:p>
    <w:p w14:paraId="32B65F4C" w14:textId="7CEE46E7" w:rsidR="00563586" w:rsidRPr="00F07C28" w:rsidRDefault="00563586">
      <w:pPr>
        <w:pStyle w:val="ListParagraph"/>
        <w:numPr>
          <w:ilvl w:val="0"/>
          <w:numId w:val="5"/>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responsible ministry or IWRM focal point contacts other relevant ministries/agencies to compile responses to the questionnaire. Each possible response option has a score which </w:t>
      </w:r>
      <w:r w:rsidR="00703AA4">
        <w:rPr>
          <w:rFonts w:eastAsia="Times New Roman" w:cs="Times New Roman"/>
          <w:color w:val="4A4A4A"/>
          <w:sz w:val="21"/>
          <w:szCs w:val="21"/>
          <w:lang w:eastAsia="en-GB"/>
        </w:rPr>
        <w:t>is</w:t>
      </w:r>
      <w:r w:rsidRPr="00F07C28">
        <w:rPr>
          <w:rFonts w:eastAsia="Times New Roman" w:cs="Times New Roman"/>
          <w:color w:val="4A4A4A"/>
          <w:sz w:val="21"/>
          <w:szCs w:val="21"/>
          <w:lang w:eastAsia="en-GB"/>
        </w:rPr>
        <w:t xml:space="preserve"> used to calculate the overall indicator score.</w:t>
      </w:r>
    </w:p>
    <w:p w14:paraId="1972A733" w14:textId="77777777" w:rsidR="00563586" w:rsidRPr="00F07C28" w:rsidRDefault="00563586">
      <w:pPr>
        <w:pStyle w:val="ListParagraph"/>
        <w:numPr>
          <w:ilvl w:val="0"/>
          <w:numId w:val="5"/>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completed draft survey is reviewed by government stakeholders. These stakeholders could include those involved in water-relevant sectors, such as agriculture, energy, water supply and environment, as well as water management at different administrative levels. This process may be electronic (e.g. via email) and/or through workshops. </w:t>
      </w:r>
    </w:p>
    <w:p w14:paraId="5E851908" w14:textId="77777777" w:rsidR="00563586" w:rsidRPr="00F07C28" w:rsidRDefault="00563586">
      <w:pPr>
        <w:pStyle w:val="ListParagraph"/>
        <w:numPr>
          <w:ilvl w:val="0"/>
          <w:numId w:val="5"/>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The revised draft survey is validated at a multi-stakeholder workshop. Apart from government representatives these stakeholders could include water user associations, private sector, interest groups concerned with e.g. environment, agriculture, poverty, and academia. The suggested process is through a workshop but alternative m</w:t>
      </w:r>
      <w:r>
        <w:rPr>
          <w:rFonts w:eastAsia="Times New Roman" w:cs="Times New Roman"/>
          <w:color w:val="4A4A4A"/>
          <w:sz w:val="21"/>
          <w:szCs w:val="21"/>
          <w:lang w:eastAsia="en-GB"/>
        </w:rPr>
        <w:t>eans of consultation e.g. email or</w:t>
      </w:r>
      <w:r w:rsidRPr="00F07C28">
        <w:rPr>
          <w:rFonts w:eastAsia="Times New Roman" w:cs="Times New Roman"/>
          <w:color w:val="4A4A4A"/>
          <w:sz w:val="21"/>
          <w:szCs w:val="21"/>
          <w:lang w:eastAsia="en-GB"/>
        </w:rPr>
        <w:t xml:space="preserve"> online call for public submissions could be considered. Note that steps 2 and 3 could be combined if desired. </w:t>
      </w:r>
    </w:p>
    <w:p w14:paraId="331E2904" w14:textId="77777777" w:rsidR="00563586" w:rsidRPr="00F07C28" w:rsidRDefault="00563586">
      <w:pPr>
        <w:pStyle w:val="ListParagraph"/>
        <w:numPr>
          <w:ilvl w:val="0"/>
          <w:numId w:val="5"/>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responsible ministry or IWRM focal point discusses with relevant officials and consolidates the input into a final version. This version </w:t>
      </w:r>
      <w:r>
        <w:rPr>
          <w:rFonts w:eastAsia="Times New Roman" w:cs="Times New Roman"/>
          <w:color w:val="4A4A4A"/>
          <w:sz w:val="21"/>
          <w:szCs w:val="21"/>
          <w:lang w:eastAsia="en-GB"/>
        </w:rPr>
        <w:t>is</w:t>
      </w:r>
      <w:r w:rsidRPr="00F07C28">
        <w:rPr>
          <w:rFonts w:eastAsia="Times New Roman" w:cs="Times New Roman"/>
          <w:color w:val="4A4A4A"/>
          <w:sz w:val="21"/>
          <w:szCs w:val="21"/>
          <w:lang w:eastAsia="en-GB"/>
        </w:rPr>
        <w:t xml:space="preserve"> the basis for calculating the degree of IWRM implementation (0-100) for global reporting. </w:t>
      </w:r>
    </w:p>
    <w:p w14:paraId="27184184" w14:textId="77777777" w:rsidR="00563586" w:rsidRPr="00F07C28" w:rsidRDefault="00563586">
      <w:pPr>
        <w:pStyle w:val="ListParagraph"/>
        <w:numPr>
          <w:ilvl w:val="0"/>
          <w:numId w:val="5"/>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responsible ministry submits the final indicator score to the national statistics office responsible for compiling all national SDG target data. </w:t>
      </w:r>
    </w:p>
    <w:p w14:paraId="68962E3B" w14:textId="77777777" w:rsidR="00563586" w:rsidRPr="00F07C28" w:rsidRDefault="00563586">
      <w:pPr>
        <w:shd w:val="clear" w:color="auto" w:fill="FFFFFF"/>
        <w:spacing w:after="0" w:line="23" w:lineRule="atLeast"/>
        <w:rPr>
          <w:rFonts w:eastAsia="Times New Roman" w:cs="Times New Roman"/>
          <w:color w:val="4A4A4A"/>
          <w:sz w:val="21"/>
          <w:szCs w:val="21"/>
          <w:lang w:eastAsia="en-GB"/>
        </w:rPr>
      </w:pPr>
    </w:p>
    <w:p w14:paraId="40A5A5B3" w14:textId="078E147F" w:rsidR="00A51ADD" w:rsidRPr="00F07C28" w:rsidRDefault="00563586" w:rsidP="00364849">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Based on the national survey, UN-Water periodically prepare</w:t>
      </w:r>
      <w:r w:rsidR="00703AA4">
        <w:rPr>
          <w:rFonts w:eastAsia="Times New Roman" w:cs="Times New Roman"/>
          <w:color w:val="4A4A4A"/>
          <w:sz w:val="21"/>
          <w:szCs w:val="21"/>
          <w:lang w:eastAsia="en-GB"/>
        </w:rPr>
        <w:t>s</w:t>
      </w:r>
      <w:r w:rsidRPr="00F07C28">
        <w:rPr>
          <w:rFonts w:eastAsia="Times New Roman" w:cs="Times New Roman"/>
          <w:color w:val="4A4A4A"/>
          <w:sz w:val="21"/>
          <w:szCs w:val="21"/>
          <w:lang w:eastAsia="en-GB"/>
        </w:rPr>
        <w:t xml:space="preserve"> synthesis reports for regional and global levels to provide overall progress on meeting SDG target 6.5. </w:t>
      </w:r>
    </w:p>
    <w:p w14:paraId="7DD34F6C" w14:textId="77777777" w:rsidR="00563586" w:rsidRPr="00F07C28" w:rsidRDefault="00563586" w:rsidP="00364849">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Temporal Coverage: A reporting cycle of three years is recommended.</w:t>
      </w:r>
    </w:p>
    <w:p w14:paraId="3018A8D8" w14:textId="77777777" w:rsidR="00EC2915" w:rsidRPr="00A96255" w:rsidRDefault="00EC2915">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402F11FF" w14:textId="77777777" w:rsidR="00563586" w:rsidRDefault="00563586" w:rsidP="00563586">
      <w:pPr>
        <w:pStyle w:val="MText"/>
      </w:pPr>
      <w:r>
        <w:t xml:space="preserve">Official counterparts at the country level oversee the validation and consultation process. </w:t>
      </w:r>
    </w:p>
    <w:p w14:paraId="5823FBC8" w14:textId="68D24857" w:rsidR="00576CFA" w:rsidRPr="00A96255" w:rsidRDefault="00563586" w:rsidP="00563586">
      <w:pPr>
        <w:pStyle w:val="MText"/>
      </w:pPr>
      <w:r>
        <w:t>The survey has been designed so that the indicator is comparable between countries and time periods. No adjustments are foreseen.</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45C04803" w:rsidR="00EC2915" w:rsidRDefault="009A499A" w:rsidP="00576CFA">
      <w:pPr>
        <w:pStyle w:val="MText"/>
      </w:pPr>
      <w:r>
        <w:t xml:space="preserve">Data is collected approximately every 3-4 years. The baseline dataset was collected in 2017, with the second data collection round in 2020. Subsequent data collection rounds are expected in 2023-24, 2026-27, and 2030. Each data collection round spans approximately 9-12 months. </w:t>
      </w:r>
    </w:p>
    <w:p w14:paraId="59AC1FEA" w14:textId="77777777" w:rsidR="00E7335B" w:rsidRPr="00A96255" w:rsidRDefault="00E7335B" w:rsidP="00576CFA">
      <w:pPr>
        <w:pStyle w:val="MText"/>
      </w:pPr>
    </w:p>
    <w:p w14:paraId="7D466604" w14:textId="674844F0" w:rsidR="00E46D96" w:rsidRPr="00F719A8" w:rsidRDefault="00E46D96" w:rsidP="00F719A8">
      <w:pPr>
        <w:pStyle w:val="MHeader2"/>
      </w:pPr>
      <w:r w:rsidRPr="00A96255">
        <w:lastRenderedPageBreak/>
        <w:t xml:space="preserve">3.d. Data release calendar </w:t>
      </w:r>
      <w:r>
        <w:rPr>
          <w:color w:val="B4B4B4"/>
          <w:sz w:val="20"/>
        </w:rPr>
        <w:t>(REL_CAL_POLICY)</w:t>
      </w:r>
    </w:p>
    <w:p w14:paraId="64C749BD" w14:textId="5C4A9F27" w:rsidR="00EC2915" w:rsidRDefault="00AF2769" w:rsidP="00576CFA">
      <w:pPr>
        <w:pStyle w:val="MText"/>
      </w:pPr>
      <w:r>
        <w:t xml:space="preserve">Data is released approximately 3 months after the </w:t>
      </w:r>
      <w:r w:rsidR="002C05EF">
        <w:t xml:space="preserve">close of each data collection round. </w:t>
      </w:r>
    </w:p>
    <w:p w14:paraId="3F28D2F5" w14:textId="77777777" w:rsidR="00E7335B" w:rsidRPr="00A96255" w:rsidRDefault="00E7335B"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35C88BF0" w:rsidR="00EC2915" w:rsidRDefault="00E7335B" w:rsidP="00576CFA">
      <w:pPr>
        <w:pStyle w:val="MText"/>
      </w:pPr>
      <w:r w:rsidRPr="00E7335B">
        <w:t xml:space="preserve">The information required to complete the survey is expected to be held by government officials responsible for water resources management in the country, supported by official documentation. E.g. Ministry of Water in coordination with Ministry of Environment, Ministry of Finance, Ministry of Planning, Ministry of Lands and Agriculture, Ministry of Industry and Mining etc. See also ‘data sources’ section above. As a minimum, a small group of officials may be able to complete the survey. However, these government officials may belong to various government authorities, and coordination </w:t>
      </w:r>
      <w:r w:rsidR="00703AA4">
        <w:t>is</w:t>
      </w:r>
      <w:r w:rsidRPr="00E7335B">
        <w:t xml:space="preserve"> required to determine and validate the responses to each question. Increased government and non-government stakeholder participation in validating the question scores will lead to a more robust indicator score and facilitate tracking progress over time.</w:t>
      </w:r>
    </w:p>
    <w:p w14:paraId="5B4D7145" w14:textId="77777777" w:rsidR="00E7335B" w:rsidRPr="00A96255" w:rsidRDefault="00E7335B"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0A548838" w:rsidR="00EC2915" w:rsidRDefault="00EA1F15" w:rsidP="00576CFA">
      <w:pPr>
        <w:pStyle w:val="MText"/>
      </w:pPr>
      <w:r w:rsidRPr="00011F45">
        <w:t xml:space="preserve">United Nations Environment Programme </w:t>
      </w:r>
      <w:r>
        <w:t>(</w:t>
      </w:r>
      <w:r w:rsidR="00E7335B" w:rsidRPr="00E7335B">
        <w:t>UNEP</w:t>
      </w:r>
      <w:r>
        <w:t>)</w:t>
      </w:r>
      <w:r w:rsidR="00732C3F">
        <w:t>, implemented by the UNEP-DHI Centre on Water and Environment,</w:t>
      </w:r>
      <w:r w:rsidR="00E7335B" w:rsidRPr="00E7335B">
        <w:t xml:space="preserve"> and UN-Water partners, under the </w:t>
      </w:r>
      <w:hyperlink r:id="rId12" w:tgtFrame="_blank" w:history="1">
        <w:r w:rsidR="00732C3F">
          <w:rPr>
            <w:rStyle w:val="Hyperlink"/>
            <w:rFonts w:eastAsiaTheme="majorEastAsia"/>
          </w:rPr>
          <w:t>UN-Water Integrated Monitoring Initiative for SDG 6 (IMI-SDG6)</w:t>
        </w:r>
      </w:hyperlink>
      <w:r w:rsidR="00E7335B" w:rsidRPr="00E7335B">
        <w:t>.</w:t>
      </w:r>
    </w:p>
    <w:p w14:paraId="2746F398" w14:textId="77777777" w:rsidR="00E7335B" w:rsidRPr="00A96255" w:rsidRDefault="00E7335B"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6B863C3" w14:textId="785EF2AF" w:rsidR="00576CFA" w:rsidRPr="00A96255" w:rsidRDefault="002F0098" w:rsidP="00576CFA">
      <w:pPr>
        <w:pStyle w:val="MText"/>
      </w:pPr>
      <w:r w:rsidRPr="00D72599">
        <w:t xml:space="preserve">UNEP is the designated Custodian Agency for the indicator. Support on the collection, processing, and dissemination of statistics for this indicator is provided by the UNEP-DHI Centre on Water and Environment, the Global Water Partnership (GWP), and Cap-Net. </w:t>
      </w:r>
    </w:p>
    <w:p w14:paraId="7D007C3C" w14:textId="68631AC1" w:rsidR="00EC2915" w:rsidRDefault="00EC2915"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49ED2139" w14:textId="77777777" w:rsidR="004D500D" w:rsidRDefault="00BA4112" w:rsidP="002E56B5">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The indicator provides a direct progress measurement of the first part of Target 6.5 “…implement integrated water resources management at all levels …”. The indicator score provides an easy and understandable way of measuring progress towards the target, with ‘0’ interpreted as no implementation of IWRM, and ‘100’ interpreted as IWRM being fully implemented.</w:t>
      </w:r>
    </w:p>
    <w:p w14:paraId="1F6E54BB" w14:textId="09F6537A" w:rsidR="00BA4112" w:rsidRPr="00F07C28" w:rsidRDefault="00BA4112"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 </w:t>
      </w:r>
    </w:p>
    <w:p w14:paraId="66B55E3A" w14:textId="29206080" w:rsidR="00BA4112" w:rsidRDefault="00BA4112" w:rsidP="004D500D">
      <w:pPr>
        <w:shd w:val="clear" w:color="auto" w:fill="FFFFFF"/>
        <w:spacing w:after="0" w:line="23" w:lineRule="atLeast"/>
        <w:rPr>
          <w:rFonts w:eastAsia="Times New Roman" w:cs="Times New Roman"/>
          <w:color w:val="4A4A4A"/>
          <w:sz w:val="21"/>
          <w:szCs w:val="21"/>
          <w:lang w:eastAsia="en-GB"/>
        </w:rPr>
      </w:pPr>
      <w:r w:rsidRPr="00601316">
        <w:rPr>
          <w:rFonts w:eastAsia="Times New Roman" w:cs="Times New Roman"/>
          <w:color w:val="4A4A4A"/>
          <w:sz w:val="21"/>
          <w:szCs w:val="21"/>
          <w:lang w:eastAsia="en-GB"/>
        </w:rPr>
        <w:t>To further aid interpretation and comparison, the indicator results can be categorized as follows:</w:t>
      </w:r>
      <w:r w:rsidRPr="00F07C28">
        <w:rPr>
          <w:rFonts w:eastAsia="Times New Roman" w:cs="Times New Roman"/>
          <w:color w:val="4A4A4A"/>
          <w:sz w:val="21"/>
          <w:szCs w:val="21"/>
          <w:lang w:eastAsia="en-GB"/>
        </w:rPr>
        <w:t xml:space="preserve"> </w:t>
      </w:r>
    </w:p>
    <w:p w14:paraId="5A22CB57" w14:textId="77777777" w:rsidR="004D500D" w:rsidRPr="00F07C28" w:rsidRDefault="004D500D" w:rsidP="00D72599">
      <w:pPr>
        <w:shd w:val="clear" w:color="auto" w:fill="FFFFFF"/>
        <w:spacing w:after="0" w:line="23" w:lineRule="atLeast"/>
        <w:rPr>
          <w:rFonts w:eastAsia="Times New Roman" w:cs="Times New Roman"/>
          <w:color w:val="4A4A4A"/>
          <w:sz w:val="21"/>
          <w:szCs w:val="21"/>
          <w:lang w:eastAsia="en-GB"/>
        </w:rPr>
      </w:pPr>
    </w:p>
    <w:tbl>
      <w:tblPr>
        <w:tblStyle w:val="TableGrid"/>
        <w:tblW w:w="9639" w:type="dxa"/>
        <w:tblLayout w:type="fixed"/>
        <w:tblCellMar>
          <w:left w:w="57" w:type="dxa"/>
          <w:right w:w="57" w:type="dxa"/>
        </w:tblCellMar>
        <w:tblLook w:val="04A0" w:firstRow="1" w:lastRow="0" w:firstColumn="1" w:lastColumn="0" w:noHBand="0" w:noVBand="1"/>
      </w:tblPr>
      <w:tblGrid>
        <w:gridCol w:w="1510"/>
        <w:gridCol w:w="895"/>
        <w:gridCol w:w="7234"/>
      </w:tblGrid>
      <w:tr w:rsidR="00BA4112" w:rsidRPr="00F07C28" w14:paraId="76D12C0A" w14:textId="77777777" w:rsidTr="0038667D">
        <w:trPr>
          <w:trHeight w:val="447"/>
        </w:trPr>
        <w:tc>
          <w:tcPr>
            <w:tcW w:w="1510" w:type="dxa"/>
          </w:tcPr>
          <w:p w14:paraId="56ECBE2C" w14:textId="77777777" w:rsidR="00BA4112" w:rsidRPr="00F07C28" w:rsidRDefault="00BA4112">
            <w:pPr>
              <w:tabs>
                <w:tab w:val="left" w:pos="2126"/>
              </w:tabs>
              <w:rPr>
                <w:color w:val="4A4A4A"/>
                <w:sz w:val="21"/>
                <w:szCs w:val="21"/>
              </w:rPr>
            </w:pPr>
            <w:r w:rsidRPr="00F07C28">
              <w:rPr>
                <w:color w:val="4A4A4A"/>
                <w:sz w:val="21"/>
                <w:szCs w:val="21"/>
              </w:rPr>
              <w:t>Degree of implementation</w:t>
            </w:r>
          </w:p>
        </w:tc>
        <w:tc>
          <w:tcPr>
            <w:tcW w:w="895" w:type="dxa"/>
          </w:tcPr>
          <w:p w14:paraId="5348756D" w14:textId="77777777" w:rsidR="00BA4112" w:rsidRPr="00F07C28" w:rsidRDefault="00BA4112">
            <w:pPr>
              <w:tabs>
                <w:tab w:val="left" w:pos="2126"/>
              </w:tabs>
              <w:jc w:val="center"/>
              <w:rPr>
                <w:color w:val="4A4A4A"/>
                <w:sz w:val="21"/>
                <w:szCs w:val="21"/>
              </w:rPr>
            </w:pPr>
            <w:r w:rsidRPr="00F07C28">
              <w:rPr>
                <w:color w:val="4A4A4A"/>
                <w:sz w:val="21"/>
                <w:szCs w:val="21"/>
              </w:rPr>
              <w:t>Score range</w:t>
            </w:r>
          </w:p>
        </w:tc>
        <w:tc>
          <w:tcPr>
            <w:tcW w:w="7234" w:type="dxa"/>
            <w:shd w:val="clear" w:color="auto" w:fill="auto"/>
          </w:tcPr>
          <w:p w14:paraId="1DCDAF77" w14:textId="77777777" w:rsidR="00BA4112" w:rsidRPr="00F07C28" w:rsidRDefault="00BA4112">
            <w:pPr>
              <w:tabs>
                <w:tab w:val="left" w:pos="2126"/>
              </w:tabs>
              <w:rPr>
                <w:color w:val="4A4A4A"/>
                <w:sz w:val="21"/>
                <w:szCs w:val="21"/>
              </w:rPr>
            </w:pPr>
            <w:r w:rsidRPr="00F07C28">
              <w:rPr>
                <w:color w:val="4A4A4A"/>
                <w:sz w:val="21"/>
                <w:szCs w:val="21"/>
              </w:rPr>
              <w:t>General interpretation for overall IWRM score</w:t>
            </w:r>
          </w:p>
        </w:tc>
      </w:tr>
      <w:tr w:rsidR="00BA4112" w:rsidRPr="00F07C28" w14:paraId="314926E9" w14:textId="77777777" w:rsidTr="0038667D">
        <w:trPr>
          <w:trHeight w:val="166"/>
        </w:trPr>
        <w:tc>
          <w:tcPr>
            <w:tcW w:w="1510" w:type="dxa"/>
            <w:shd w:val="clear" w:color="auto" w:fill="0A97D9"/>
          </w:tcPr>
          <w:p w14:paraId="5193643B" w14:textId="77777777" w:rsidR="00BA4112" w:rsidRPr="00F07C28" w:rsidRDefault="00BA4112">
            <w:pPr>
              <w:tabs>
                <w:tab w:val="left" w:pos="2126"/>
              </w:tabs>
              <w:rPr>
                <w:color w:val="FFFFFF" w:themeColor="background1"/>
                <w:sz w:val="21"/>
                <w:szCs w:val="21"/>
              </w:rPr>
            </w:pPr>
            <w:r w:rsidRPr="00F07C28">
              <w:rPr>
                <w:color w:val="FFFFFF" w:themeColor="background1"/>
                <w:sz w:val="21"/>
                <w:szCs w:val="21"/>
              </w:rPr>
              <w:t>Very high</w:t>
            </w:r>
          </w:p>
        </w:tc>
        <w:tc>
          <w:tcPr>
            <w:tcW w:w="895" w:type="dxa"/>
            <w:shd w:val="clear" w:color="auto" w:fill="0A97D9"/>
          </w:tcPr>
          <w:p w14:paraId="1E791B27" w14:textId="77777777" w:rsidR="00BA4112" w:rsidRPr="00F07C28" w:rsidRDefault="00BA4112">
            <w:pPr>
              <w:tabs>
                <w:tab w:val="left" w:pos="2126"/>
              </w:tabs>
              <w:jc w:val="center"/>
              <w:rPr>
                <w:color w:val="FFFFFF" w:themeColor="background1"/>
                <w:sz w:val="21"/>
                <w:szCs w:val="21"/>
              </w:rPr>
            </w:pPr>
            <w:r w:rsidRPr="00F07C28">
              <w:rPr>
                <w:color w:val="FFFFFF" w:themeColor="background1"/>
                <w:sz w:val="21"/>
                <w:szCs w:val="21"/>
              </w:rPr>
              <w:t>91 - 100</w:t>
            </w:r>
          </w:p>
        </w:tc>
        <w:tc>
          <w:tcPr>
            <w:tcW w:w="7234" w:type="dxa"/>
            <w:shd w:val="clear" w:color="auto" w:fill="auto"/>
          </w:tcPr>
          <w:p w14:paraId="27137A57" w14:textId="77777777" w:rsidR="00BA4112" w:rsidRPr="00F07C28" w:rsidRDefault="00BA4112" w:rsidP="002E56B5">
            <w:pPr>
              <w:tabs>
                <w:tab w:val="left" w:pos="2126"/>
              </w:tabs>
              <w:spacing w:line="276" w:lineRule="auto"/>
              <w:rPr>
                <w:color w:val="4A4A4A"/>
                <w:sz w:val="21"/>
                <w:szCs w:val="21"/>
              </w:rPr>
            </w:pPr>
            <w:r w:rsidRPr="00F07C28">
              <w:rPr>
                <w:color w:val="4A4A4A"/>
                <w:sz w:val="21"/>
                <w:szCs w:val="21"/>
              </w:rPr>
              <w:t>Vast majority of IWRM elements are fully implemented, with objectives consistently achieved, and plans and programmes periodically assessed and revised.</w:t>
            </w:r>
          </w:p>
        </w:tc>
      </w:tr>
      <w:tr w:rsidR="00BA4112" w:rsidRPr="00F07C28" w14:paraId="62F6992E" w14:textId="77777777" w:rsidTr="0038667D">
        <w:tc>
          <w:tcPr>
            <w:tcW w:w="1510" w:type="dxa"/>
            <w:shd w:val="clear" w:color="auto" w:fill="6CC1E4"/>
          </w:tcPr>
          <w:p w14:paraId="5E66812C" w14:textId="77777777" w:rsidR="00BA4112" w:rsidRPr="00F07C28" w:rsidRDefault="00BA4112">
            <w:pPr>
              <w:tabs>
                <w:tab w:val="left" w:pos="2126"/>
              </w:tabs>
              <w:rPr>
                <w:color w:val="4A4A4A"/>
                <w:sz w:val="21"/>
                <w:szCs w:val="21"/>
              </w:rPr>
            </w:pPr>
            <w:r w:rsidRPr="00F07C28">
              <w:rPr>
                <w:color w:val="4A4A4A"/>
                <w:sz w:val="21"/>
                <w:szCs w:val="21"/>
              </w:rPr>
              <w:t>High</w:t>
            </w:r>
          </w:p>
        </w:tc>
        <w:tc>
          <w:tcPr>
            <w:tcW w:w="895" w:type="dxa"/>
            <w:shd w:val="clear" w:color="auto" w:fill="6CC1E4"/>
          </w:tcPr>
          <w:p w14:paraId="1D766E98" w14:textId="77777777" w:rsidR="00BA4112" w:rsidRPr="00F07C28" w:rsidRDefault="00BA4112">
            <w:pPr>
              <w:tabs>
                <w:tab w:val="left" w:pos="2126"/>
              </w:tabs>
              <w:jc w:val="center"/>
              <w:rPr>
                <w:color w:val="4A4A4A"/>
                <w:sz w:val="21"/>
                <w:szCs w:val="21"/>
              </w:rPr>
            </w:pPr>
            <w:r w:rsidRPr="00F07C28">
              <w:rPr>
                <w:color w:val="4A4A4A"/>
                <w:sz w:val="21"/>
                <w:szCs w:val="21"/>
              </w:rPr>
              <w:t>71 - 90</w:t>
            </w:r>
          </w:p>
        </w:tc>
        <w:tc>
          <w:tcPr>
            <w:tcW w:w="7234" w:type="dxa"/>
            <w:shd w:val="clear" w:color="auto" w:fill="auto"/>
          </w:tcPr>
          <w:p w14:paraId="637D8F7D" w14:textId="77777777" w:rsidR="00BA4112" w:rsidRPr="00F07C28" w:rsidRDefault="00BA4112" w:rsidP="002E56B5">
            <w:pPr>
              <w:tabs>
                <w:tab w:val="left" w:pos="2126"/>
              </w:tabs>
              <w:spacing w:line="276" w:lineRule="auto"/>
              <w:rPr>
                <w:color w:val="4A4A4A"/>
                <w:sz w:val="21"/>
                <w:szCs w:val="21"/>
              </w:rPr>
            </w:pPr>
            <w:r w:rsidRPr="00F07C28">
              <w:rPr>
                <w:color w:val="4A4A4A"/>
                <w:sz w:val="21"/>
                <w:szCs w:val="21"/>
              </w:rPr>
              <w:t>IWRM objectives of plans and programmes are generally met, and geographic coverage and stakeholder engagement is generally good.</w:t>
            </w:r>
          </w:p>
        </w:tc>
      </w:tr>
      <w:tr w:rsidR="00BA4112" w:rsidRPr="00F07C28" w14:paraId="1E696C58" w14:textId="77777777" w:rsidTr="0038667D">
        <w:tc>
          <w:tcPr>
            <w:tcW w:w="1510" w:type="dxa"/>
            <w:shd w:val="clear" w:color="auto" w:fill="7EB06B"/>
          </w:tcPr>
          <w:p w14:paraId="295F73B2" w14:textId="77777777" w:rsidR="00BA4112" w:rsidRPr="00F07C28" w:rsidRDefault="00BA4112">
            <w:pPr>
              <w:tabs>
                <w:tab w:val="left" w:pos="2126"/>
              </w:tabs>
              <w:rPr>
                <w:color w:val="4A4A4A"/>
                <w:sz w:val="21"/>
                <w:szCs w:val="21"/>
              </w:rPr>
            </w:pPr>
            <w:r w:rsidRPr="00F07C28">
              <w:rPr>
                <w:color w:val="4A4A4A"/>
                <w:sz w:val="21"/>
                <w:szCs w:val="21"/>
              </w:rPr>
              <w:t>Medium-high</w:t>
            </w:r>
          </w:p>
        </w:tc>
        <w:tc>
          <w:tcPr>
            <w:tcW w:w="895" w:type="dxa"/>
            <w:shd w:val="clear" w:color="auto" w:fill="7EB06B"/>
          </w:tcPr>
          <w:p w14:paraId="4DE6426A" w14:textId="77777777" w:rsidR="00BA4112" w:rsidRPr="00F07C28" w:rsidRDefault="00BA4112">
            <w:pPr>
              <w:tabs>
                <w:tab w:val="left" w:pos="2126"/>
              </w:tabs>
              <w:jc w:val="center"/>
              <w:rPr>
                <w:color w:val="4A4A4A"/>
                <w:sz w:val="21"/>
                <w:szCs w:val="21"/>
              </w:rPr>
            </w:pPr>
            <w:r w:rsidRPr="00F07C28">
              <w:rPr>
                <w:color w:val="4A4A4A"/>
                <w:sz w:val="21"/>
                <w:szCs w:val="21"/>
              </w:rPr>
              <w:t>51 - 70</w:t>
            </w:r>
          </w:p>
        </w:tc>
        <w:tc>
          <w:tcPr>
            <w:tcW w:w="7234" w:type="dxa"/>
            <w:shd w:val="clear" w:color="auto" w:fill="auto"/>
          </w:tcPr>
          <w:p w14:paraId="158EB2AE" w14:textId="77777777" w:rsidR="00BA4112" w:rsidRPr="00F07C28" w:rsidRDefault="00BA4112" w:rsidP="002E56B5">
            <w:pPr>
              <w:tabs>
                <w:tab w:val="left" w:pos="2126"/>
              </w:tabs>
              <w:spacing w:line="276" w:lineRule="auto"/>
              <w:rPr>
                <w:color w:val="4A4A4A"/>
                <w:sz w:val="21"/>
                <w:szCs w:val="21"/>
              </w:rPr>
            </w:pPr>
            <w:r w:rsidRPr="00F07C28">
              <w:rPr>
                <w:color w:val="4A4A4A"/>
                <w:sz w:val="21"/>
                <w:szCs w:val="21"/>
              </w:rPr>
              <w:t>Capacity to implement elements of IWRM is generally adequate, and elements are generally being implemented under long-term programmes.</w:t>
            </w:r>
          </w:p>
        </w:tc>
      </w:tr>
      <w:tr w:rsidR="00BA4112" w:rsidRPr="00F07C28" w14:paraId="4E4F52FC" w14:textId="77777777" w:rsidTr="0038667D">
        <w:trPr>
          <w:trHeight w:val="228"/>
        </w:trPr>
        <w:tc>
          <w:tcPr>
            <w:tcW w:w="1510" w:type="dxa"/>
            <w:shd w:val="clear" w:color="auto" w:fill="FBB811"/>
          </w:tcPr>
          <w:p w14:paraId="4D6E291C" w14:textId="77777777" w:rsidR="00BA4112" w:rsidRPr="00F07C28" w:rsidRDefault="00BA4112">
            <w:pPr>
              <w:tabs>
                <w:tab w:val="left" w:pos="2126"/>
              </w:tabs>
              <w:rPr>
                <w:color w:val="4A4A4A"/>
                <w:sz w:val="21"/>
                <w:szCs w:val="21"/>
              </w:rPr>
            </w:pPr>
            <w:r w:rsidRPr="00F07C28">
              <w:rPr>
                <w:color w:val="4A4A4A"/>
                <w:sz w:val="21"/>
                <w:szCs w:val="21"/>
              </w:rPr>
              <w:lastRenderedPageBreak/>
              <w:t>Medium-low</w:t>
            </w:r>
          </w:p>
        </w:tc>
        <w:tc>
          <w:tcPr>
            <w:tcW w:w="895" w:type="dxa"/>
            <w:shd w:val="clear" w:color="auto" w:fill="FBB811"/>
          </w:tcPr>
          <w:p w14:paraId="162BF968" w14:textId="77777777" w:rsidR="00BA4112" w:rsidRPr="00F07C28" w:rsidRDefault="00BA4112">
            <w:pPr>
              <w:tabs>
                <w:tab w:val="left" w:pos="2126"/>
              </w:tabs>
              <w:jc w:val="center"/>
              <w:rPr>
                <w:color w:val="4A4A4A"/>
                <w:sz w:val="21"/>
                <w:szCs w:val="21"/>
              </w:rPr>
            </w:pPr>
            <w:r w:rsidRPr="00F07C28">
              <w:rPr>
                <w:color w:val="4A4A4A"/>
                <w:sz w:val="21"/>
                <w:szCs w:val="21"/>
              </w:rPr>
              <w:t>31 - 50</w:t>
            </w:r>
          </w:p>
        </w:tc>
        <w:tc>
          <w:tcPr>
            <w:tcW w:w="7234" w:type="dxa"/>
            <w:shd w:val="clear" w:color="auto" w:fill="auto"/>
          </w:tcPr>
          <w:p w14:paraId="300BC347" w14:textId="77777777" w:rsidR="00BA4112" w:rsidRPr="00F07C28" w:rsidRDefault="00BA4112" w:rsidP="002E56B5">
            <w:pPr>
              <w:tabs>
                <w:tab w:val="left" w:pos="2126"/>
              </w:tabs>
              <w:spacing w:line="276" w:lineRule="auto"/>
              <w:rPr>
                <w:color w:val="4A4A4A"/>
                <w:sz w:val="21"/>
                <w:szCs w:val="21"/>
              </w:rPr>
            </w:pPr>
            <w:r w:rsidRPr="00F07C28">
              <w:rPr>
                <w:color w:val="4A4A4A"/>
                <w:sz w:val="21"/>
                <w:szCs w:val="21"/>
              </w:rPr>
              <w:t>Elements of IWRM are generally institutionalized, and implementation is underway.</w:t>
            </w:r>
          </w:p>
        </w:tc>
      </w:tr>
      <w:tr w:rsidR="00BA4112" w:rsidRPr="00F07C28" w14:paraId="7D9312D6" w14:textId="77777777" w:rsidTr="0038667D">
        <w:tc>
          <w:tcPr>
            <w:tcW w:w="1510" w:type="dxa"/>
            <w:shd w:val="clear" w:color="auto" w:fill="FD6925"/>
          </w:tcPr>
          <w:p w14:paraId="542F5F5E" w14:textId="77777777" w:rsidR="00BA4112" w:rsidRPr="00F07C28" w:rsidRDefault="00BA4112">
            <w:pPr>
              <w:tabs>
                <w:tab w:val="left" w:pos="2126"/>
              </w:tabs>
              <w:rPr>
                <w:color w:val="4A4A4A"/>
                <w:sz w:val="21"/>
                <w:szCs w:val="21"/>
              </w:rPr>
            </w:pPr>
            <w:r w:rsidRPr="00F07C28">
              <w:rPr>
                <w:color w:val="4A4A4A"/>
                <w:sz w:val="21"/>
                <w:szCs w:val="21"/>
              </w:rPr>
              <w:t>Low</w:t>
            </w:r>
          </w:p>
        </w:tc>
        <w:tc>
          <w:tcPr>
            <w:tcW w:w="895" w:type="dxa"/>
            <w:shd w:val="clear" w:color="auto" w:fill="FD6925"/>
          </w:tcPr>
          <w:p w14:paraId="386A807A" w14:textId="77777777" w:rsidR="00BA4112" w:rsidRPr="00F07C28" w:rsidRDefault="00BA4112">
            <w:pPr>
              <w:tabs>
                <w:tab w:val="left" w:pos="2126"/>
              </w:tabs>
              <w:jc w:val="center"/>
              <w:rPr>
                <w:color w:val="4A4A4A"/>
                <w:sz w:val="21"/>
                <w:szCs w:val="21"/>
              </w:rPr>
            </w:pPr>
            <w:r w:rsidRPr="00F07C28">
              <w:rPr>
                <w:color w:val="4A4A4A"/>
                <w:sz w:val="21"/>
                <w:szCs w:val="21"/>
              </w:rPr>
              <w:t>11 - 30</w:t>
            </w:r>
          </w:p>
        </w:tc>
        <w:tc>
          <w:tcPr>
            <w:tcW w:w="7234" w:type="dxa"/>
            <w:shd w:val="clear" w:color="auto" w:fill="auto"/>
          </w:tcPr>
          <w:p w14:paraId="68CF8E4D" w14:textId="77777777" w:rsidR="00BA4112" w:rsidRPr="00F07C28" w:rsidRDefault="00BA4112" w:rsidP="002E56B5">
            <w:pPr>
              <w:tabs>
                <w:tab w:val="left" w:pos="2126"/>
              </w:tabs>
              <w:spacing w:line="276" w:lineRule="auto"/>
              <w:rPr>
                <w:color w:val="4A4A4A"/>
                <w:sz w:val="21"/>
                <w:szCs w:val="21"/>
              </w:rPr>
            </w:pPr>
            <w:r w:rsidRPr="00F07C28">
              <w:rPr>
                <w:color w:val="4A4A4A"/>
                <w:sz w:val="21"/>
                <w:szCs w:val="21"/>
              </w:rPr>
              <w:t>Implementation of elements of IWRM has generally begun, but with limited uptake across the country, and potentially low engagement of stakeholder groups.</w:t>
            </w:r>
          </w:p>
        </w:tc>
      </w:tr>
      <w:tr w:rsidR="00BA4112" w:rsidRPr="00F07C28" w14:paraId="0FADEEC2" w14:textId="77777777" w:rsidTr="0038667D">
        <w:trPr>
          <w:trHeight w:val="193"/>
        </w:trPr>
        <w:tc>
          <w:tcPr>
            <w:tcW w:w="1510" w:type="dxa"/>
            <w:shd w:val="clear" w:color="auto" w:fill="AD1736"/>
          </w:tcPr>
          <w:p w14:paraId="0E46870B" w14:textId="77777777" w:rsidR="00BA4112" w:rsidRPr="00F07C28" w:rsidRDefault="00BA4112">
            <w:pPr>
              <w:tabs>
                <w:tab w:val="left" w:pos="2126"/>
              </w:tabs>
              <w:rPr>
                <w:color w:val="FFFFFF"/>
                <w:sz w:val="21"/>
                <w:szCs w:val="21"/>
              </w:rPr>
            </w:pPr>
            <w:r w:rsidRPr="00F07C28">
              <w:rPr>
                <w:color w:val="FFFFFF"/>
                <w:sz w:val="21"/>
                <w:szCs w:val="21"/>
              </w:rPr>
              <w:t>Very low</w:t>
            </w:r>
          </w:p>
        </w:tc>
        <w:tc>
          <w:tcPr>
            <w:tcW w:w="895" w:type="dxa"/>
            <w:shd w:val="clear" w:color="auto" w:fill="AD1736"/>
          </w:tcPr>
          <w:p w14:paraId="42B768AB" w14:textId="77777777" w:rsidR="00BA4112" w:rsidRPr="00F07C28" w:rsidRDefault="00BA4112">
            <w:pPr>
              <w:tabs>
                <w:tab w:val="left" w:pos="2126"/>
              </w:tabs>
              <w:jc w:val="center"/>
              <w:rPr>
                <w:color w:val="FFFFFF"/>
                <w:sz w:val="21"/>
                <w:szCs w:val="21"/>
              </w:rPr>
            </w:pPr>
            <w:r w:rsidRPr="00F07C28">
              <w:rPr>
                <w:color w:val="FFFFFF"/>
                <w:sz w:val="21"/>
                <w:szCs w:val="21"/>
              </w:rPr>
              <w:t>0 - 10</w:t>
            </w:r>
          </w:p>
        </w:tc>
        <w:tc>
          <w:tcPr>
            <w:tcW w:w="7234" w:type="dxa"/>
            <w:shd w:val="clear" w:color="auto" w:fill="auto"/>
          </w:tcPr>
          <w:p w14:paraId="11374064" w14:textId="77777777" w:rsidR="00BA4112" w:rsidRPr="00F07C28" w:rsidRDefault="00BA4112" w:rsidP="002E56B5">
            <w:pPr>
              <w:tabs>
                <w:tab w:val="left" w:pos="2126"/>
              </w:tabs>
              <w:spacing w:line="276" w:lineRule="auto"/>
              <w:rPr>
                <w:color w:val="4A4A4A"/>
                <w:sz w:val="21"/>
                <w:szCs w:val="21"/>
              </w:rPr>
            </w:pPr>
            <w:r w:rsidRPr="00F07C28">
              <w:rPr>
                <w:color w:val="4A4A4A"/>
                <w:sz w:val="21"/>
                <w:szCs w:val="21"/>
              </w:rPr>
              <w:t xml:space="preserve">Development of elements of IWRM has generally not </w:t>
            </w:r>
            <w:proofErr w:type="gramStart"/>
            <w:r w:rsidRPr="00F07C28">
              <w:rPr>
                <w:color w:val="4A4A4A"/>
                <w:sz w:val="21"/>
                <w:szCs w:val="21"/>
              </w:rPr>
              <w:t>begun, or</w:t>
            </w:r>
            <w:proofErr w:type="gramEnd"/>
            <w:r w:rsidRPr="00F07C28">
              <w:rPr>
                <w:color w:val="4A4A4A"/>
                <w:sz w:val="21"/>
                <w:szCs w:val="21"/>
              </w:rPr>
              <w:t xml:space="preserve"> has stalled.</w:t>
            </w:r>
          </w:p>
        </w:tc>
      </w:tr>
    </w:tbl>
    <w:p w14:paraId="383C207F" w14:textId="77777777" w:rsidR="004D500D" w:rsidRDefault="004D500D" w:rsidP="004D500D">
      <w:pPr>
        <w:shd w:val="clear" w:color="auto" w:fill="FFFFFF"/>
        <w:spacing w:after="0" w:line="23" w:lineRule="atLeast"/>
        <w:rPr>
          <w:rFonts w:eastAsia="Times New Roman" w:cs="Times New Roman"/>
          <w:color w:val="4A4A4A"/>
          <w:sz w:val="21"/>
          <w:szCs w:val="21"/>
          <w:lang w:eastAsia="en-GB"/>
        </w:rPr>
      </w:pPr>
    </w:p>
    <w:p w14:paraId="1EAD4552" w14:textId="75B77ED3" w:rsidR="00BA4112" w:rsidRDefault="00BA4112" w:rsidP="002E56B5">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concept of the survey is that it provides sufficient information to be of real value to the countries in determining their progress towards the target, and through this, various aspects of IWRM. A balance has been sought between providing sufficient information to cover the core principles of IWRM, and thus providing a robust indicator value, and not overburdening countries with unnecessary reporting requirements. </w:t>
      </w:r>
    </w:p>
    <w:p w14:paraId="1B896AED" w14:textId="77777777" w:rsidR="004D500D" w:rsidRPr="00F07C28" w:rsidRDefault="004D500D" w:rsidP="00D72599">
      <w:pPr>
        <w:shd w:val="clear" w:color="auto" w:fill="FFFFFF"/>
        <w:spacing w:after="0" w:line="23" w:lineRule="atLeast"/>
        <w:rPr>
          <w:rFonts w:eastAsia="Times New Roman" w:cs="Times New Roman"/>
          <w:color w:val="4A4A4A"/>
          <w:sz w:val="21"/>
          <w:szCs w:val="21"/>
          <w:lang w:eastAsia="en-GB"/>
        </w:rPr>
      </w:pPr>
    </w:p>
    <w:p w14:paraId="78492125" w14:textId="77777777" w:rsidR="00BA4112" w:rsidRPr="00F07C28" w:rsidRDefault="00BA4112" w:rsidP="00AD5F65">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Countries are encouraged to provide additional information on each question, which may help to qualify their choice of score, and/or put that score into their national context. </w:t>
      </w:r>
    </w:p>
    <w:p w14:paraId="1DAA49F5" w14:textId="490A973E" w:rsidR="00A57BB1" w:rsidRDefault="00A57BB1">
      <w:pPr>
        <w:shd w:val="clear" w:color="auto" w:fill="FFFFFF"/>
        <w:spacing w:after="0"/>
        <w:rPr>
          <w:rFonts w:eastAsia="Times New Roman" w:cs="Times New Roman"/>
          <w:color w:val="4A4A4A"/>
          <w:sz w:val="21"/>
          <w:szCs w:val="21"/>
          <w:lang w:eastAsia="en-GB"/>
        </w:rPr>
      </w:pPr>
    </w:p>
    <w:p w14:paraId="288977C9" w14:textId="6B45DAC1" w:rsidR="00BA4112" w:rsidRPr="00F07C28" w:rsidRDefault="00BA4112" w:rsidP="00AD5F65">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Indicator 6.5.1 is supported by indicator 6.5.2 “Proportion of transboundary basin area with an operational arrangement for water cooperation”, which directly addresses the portion of Target 6.5 “…, including through transboundary cooperation as appropriate.”.</w:t>
      </w:r>
    </w:p>
    <w:p w14:paraId="18EA7892" w14:textId="77777777" w:rsidR="00576CFA" w:rsidRPr="00A96255" w:rsidRDefault="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41F542D9" w14:textId="77777777" w:rsidR="001D70A5" w:rsidRPr="00F07C28" w:rsidRDefault="001D70A5"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challenge of subjectivity in responses associated with this type of survey is being addressed in </w:t>
      </w:r>
      <w:proofErr w:type="gramStart"/>
      <w:r w:rsidRPr="00F07C28">
        <w:rPr>
          <w:rFonts w:eastAsia="Times New Roman" w:cs="Times New Roman"/>
          <w:color w:val="4A4A4A"/>
          <w:sz w:val="21"/>
          <w:szCs w:val="21"/>
          <w:lang w:eastAsia="en-GB"/>
        </w:rPr>
        <w:t>a number of</w:t>
      </w:r>
      <w:proofErr w:type="gramEnd"/>
      <w:r w:rsidRPr="00F07C28">
        <w:rPr>
          <w:rFonts w:eastAsia="Times New Roman" w:cs="Times New Roman"/>
          <w:color w:val="4A4A4A"/>
          <w:sz w:val="21"/>
          <w:szCs w:val="21"/>
          <w:lang w:eastAsia="en-GB"/>
        </w:rPr>
        <w:t xml:space="preserve"> ways: </w:t>
      </w:r>
    </w:p>
    <w:p w14:paraId="5067AA14" w14:textId="77777777" w:rsidR="001D70A5" w:rsidRPr="00F07C28" w:rsidRDefault="001D70A5">
      <w:pPr>
        <w:pStyle w:val="ListParagraph"/>
        <w:numPr>
          <w:ilvl w:val="0"/>
          <w:numId w:val="13"/>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Draft responses are reviewed by </w:t>
      </w:r>
      <w:proofErr w:type="gramStart"/>
      <w:r w:rsidRPr="00F07C28">
        <w:rPr>
          <w:rFonts w:eastAsia="Times New Roman" w:cs="Times New Roman"/>
          <w:color w:val="4A4A4A"/>
          <w:sz w:val="21"/>
          <w:szCs w:val="21"/>
          <w:lang w:eastAsia="en-GB"/>
        </w:rPr>
        <w:t>a number of</w:t>
      </w:r>
      <w:proofErr w:type="gramEnd"/>
      <w:r w:rsidRPr="00F07C28">
        <w:rPr>
          <w:rFonts w:eastAsia="Times New Roman" w:cs="Times New Roman"/>
          <w:color w:val="4A4A4A"/>
          <w:sz w:val="21"/>
          <w:szCs w:val="21"/>
          <w:lang w:eastAsia="en-GB"/>
        </w:rPr>
        <w:t xml:space="preserve"> governmental and non-governmental stakeholders in an open, inclusive and transparent process. </w:t>
      </w:r>
    </w:p>
    <w:p w14:paraId="33F498DC" w14:textId="77777777" w:rsidR="001D70A5" w:rsidRPr="00F07C28" w:rsidRDefault="001D70A5">
      <w:pPr>
        <w:pStyle w:val="ListParagraph"/>
        <w:numPr>
          <w:ilvl w:val="0"/>
          <w:numId w:val="13"/>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Countries are encouraged to provide further information to qualify their responses and/or set them in the national context. </w:t>
      </w:r>
    </w:p>
    <w:p w14:paraId="4998F05C" w14:textId="77777777" w:rsidR="001D70A5" w:rsidRPr="00F07C28" w:rsidRDefault="001D70A5" w:rsidP="00D72599">
      <w:pPr>
        <w:pStyle w:val="ListParagraph"/>
        <w:numPr>
          <w:ilvl w:val="0"/>
          <w:numId w:val="13"/>
        </w:numPr>
        <w:shd w:val="clear" w:color="auto" w:fill="FFFFFF"/>
        <w:spacing w:after="0"/>
        <w:ind w:left="714" w:hanging="357"/>
        <w:contextualSpacing w:val="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Guidelines are provided for each of the four main sections, each question, and each of the six thresholds for every single question, to ensure responses are as objective as possible, and are comparable both between countries, and between reporting periods. </w:t>
      </w:r>
    </w:p>
    <w:p w14:paraId="0B49DB5B" w14:textId="67FA922D" w:rsidR="001D70A5" w:rsidRPr="00F07C28" w:rsidRDefault="001D70A5" w:rsidP="00AA4EE9">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To achieve robust indicator results requires a country process involving a wide range of stakeholders which require</w:t>
      </w:r>
      <w:r w:rsidR="00703AA4">
        <w:rPr>
          <w:rFonts w:eastAsia="Times New Roman" w:cs="Times New Roman"/>
          <w:color w:val="4A4A4A"/>
          <w:sz w:val="21"/>
          <w:szCs w:val="21"/>
          <w:lang w:eastAsia="en-GB"/>
        </w:rPr>
        <w:t>s</w:t>
      </w:r>
      <w:r w:rsidRPr="00F07C28">
        <w:rPr>
          <w:rFonts w:eastAsia="Times New Roman" w:cs="Times New Roman"/>
          <w:color w:val="4A4A4A"/>
          <w:sz w:val="21"/>
          <w:szCs w:val="21"/>
          <w:lang w:eastAsia="en-GB"/>
        </w:rPr>
        <w:t xml:space="preserve"> a certain amount of time and resources. The advantage of this is that it puts in place a process that addresses the integrated and indivisible nature of the SDG targets, as well as stressing the importance of “leaving no on</w:t>
      </w:r>
      <w:r w:rsidR="00D6449E">
        <w:rPr>
          <w:rFonts w:eastAsia="Times New Roman" w:cs="Times New Roman"/>
          <w:color w:val="4A4A4A"/>
          <w:sz w:val="21"/>
          <w:szCs w:val="21"/>
          <w:lang w:eastAsia="en-GB"/>
        </w:rPr>
        <w:t>e</w:t>
      </w:r>
      <w:r w:rsidRPr="00F07C28">
        <w:rPr>
          <w:rFonts w:eastAsia="Times New Roman" w:cs="Times New Roman"/>
          <w:color w:val="4A4A4A"/>
          <w:sz w:val="21"/>
          <w:szCs w:val="21"/>
          <w:lang w:eastAsia="en-GB"/>
        </w:rPr>
        <w:t xml:space="preserve"> behind”.</w:t>
      </w:r>
    </w:p>
    <w:p w14:paraId="398C00AE" w14:textId="77777777" w:rsidR="00EC2915" w:rsidRPr="00A96255" w:rsidRDefault="00EC2915">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7F2AAC80" w14:textId="77777777" w:rsidR="001D70A5" w:rsidRPr="00F07C28" w:rsidRDefault="001D70A5" w:rsidP="00292599">
      <w:pPr>
        <w:pStyle w:val="ListParagraph"/>
        <w:numPr>
          <w:ilvl w:val="0"/>
          <w:numId w:val="23"/>
        </w:num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survey contains 33 questions divided into the four main sections described above. </w:t>
      </w:r>
    </w:p>
    <w:p w14:paraId="2328AE9A" w14:textId="23AA4636" w:rsidR="001D70A5" w:rsidRPr="00DA25B2" w:rsidRDefault="001D70A5" w:rsidP="00292599">
      <w:pPr>
        <w:pStyle w:val="ListParagraph"/>
        <w:numPr>
          <w:ilvl w:val="0"/>
          <w:numId w:val="23"/>
        </w:numPr>
        <w:shd w:val="clear" w:color="auto" w:fill="FFFFFF"/>
        <w:spacing w:after="0"/>
        <w:rPr>
          <w:rFonts w:eastAsia="Times New Roman" w:cs="Times New Roman"/>
          <w:color w:val="4A4A4A"/>
          <w:sz w:val="21"/>
          <w:szCs w:val="21"/>
          <w:lang w:eastAsia="en-GB"/>
        </w:rPr>
      </w:pPr>
      <w:r w:rsidRPr="00DA25B2">
        <w:rPr>
          <w:rFonts w:eastAsia="Times New Roman" w:cs="Times New Roman"/>
          <w:color w:val="4A4A4A"/>
          <w:sz w:val="21"/>
          <w:szCs w:val="21"/>
          <w:lang w:eastAsia="en-GB"/>
        </w:rPr>
        <w:t>Each question is given a score between 0 and 100, in increments of 10, guided by threshold descriptions for the following 6 categories:</w:t>
      </w:r>
    </w:p>
    <w:p w14:paraId="0E82A3AA" w14:textId="77777777" w:rsidR="007A4BE6" w:rsidRPr="00DA25B2" w:rsidRDefault="007A4BE6" w:rsidP="00292599">
      <w:pPr>
        <w:pStyle w:val="ListParagraph"/>
        <w:numPr>
          <w:ilvl w:val="1"/>
          <w:numId w:val="24"/>
        </w:numPr>
        <w:shd w:val="clear" w:color="auto" w:fill="FFFFFF"/>
        <w:spacing w:after="0"/>
        <w:rPr>
          <w:rFonts w:eastAsia="Times New Roman" w:cs="Times New Roman"/>
          <w:color w:val="4A4A4A"/>
          <w:sz w:val="21"/>
          <w:szCs w:val="21"/>
          <w:lang w:eastAsia="en-GB"/>
        </w:rPr>
      </w:pPr>
      <w:r w:rsidRPr="00DA25B2">
        <w:rPr>
          <w:rFonts w:eastAsia="Times New Roman" w:cs="Times New Roman"/>
          <w:color w:val="4A4A4A"/>
          <w:sz w:val="21"/>
          <w:szCs w:val="21"/>
          <w:lang w:eastAsia="en-GB"/>
        </w:rPr>
        <w:t>Very low (0)</w:t>
      </w:r>
    </w:p>
    <w:p w14:paraId="44CD7AB6" w14:textId="77777777" w:rsidR="007A4BE6" w:rsidRPr="00DA25B2" w:rsidRDefault="007A4BE6" w:rsidP="00292599">
      <w:pPr>
        <w:pStyle w:val="ListParagraph"/>
        <w:numPr>
          <w:ilvl w:val="1"/>
          <w:numId w:val="24"/>
        </w:numPr>
        <w:shd w:val="clear" w:color="auto" w:fill="FFFFFF"/>
        <w:spacing w:after="0"/>
        <w:rPr>
          <w:rFonts w:eastAsia="Times New Roman" w:cs="Times New Roman"/>
          <w:color w:val="4A4A4A"/>
          <w:sz w:val="21"/>
          <w:szCs w:val="21"/>
          <w:lang w:eastAsia="en-GB"/>
        </w:rPr>
      </w:pPr>
      <w:r w:rsidRPr="00DA25B2">
        <w:rPr>
          <w:rFonts w:eastAsia="Times New Roman" w:cs="Times New Roman"/>
          <w:color w:val="4A4A4A"/>
          <w:sz w:val="21"/>
          <w:szCs w:val="21"/>
          <w:lang w:eastAsia="en-GB"/>
        </w:rPr>
        <w:t>Low (20)</w:t>
      </w:r>
    </w:p>
    <w:p w14:paraId="19E97CAC" w14:textId="77777777" w:rsidR="007A4BE6" w:rsidRPr="00DA25B2" w:rsidRDefault="007A4BE6" w:rsidP="00292599">
      <w:pPr>
        <w:pStyle w:val="ListParagraph"/>
        <w:numPr>
          <w:ilvl w:val="1"/>
          <w:numId w:val="24"/>
        </w:numPr>
        <w:shd w:val="clear" w:color="auto" w:fill="FFFFFF"/>
        <w:spacing w:after="0"/>
        <w:rPr>
          <w:rFonts w:eastAsia="Times New Roman" w:cs="Times New Roman"/>
          <w:color w:val="4A4A4A"/>
          <w:sz w:val="21"/>
          <w:szCs w:val="21"/>
          <w:lang w:eastAsia="en-GB"/>
        </w:rPr>
      </w:pPr>
      <w:r w:rsidRPr="00DA25B2">
        <w:rPr>
          <w:rFonts w:eastAsia="Times New Roman" w:cs="Times New Roman"/>
          <w:color w:val="4A4A4A"/>
          <w:sz w:val="21"/>
          <w:szCs w:val="21"/>
          <w:lang w:eastAsia="en-GB"/>
        </w:rPr>
        <w:t>Medium-low (40)</w:t>
      </w:r>
    </w:p>
    <w:p w14:paraId="2D60A32F" w14:textId="77777777" w:rsidR="007A4BE6" w:rsidRPr="00DA25B2" w:rsidRDefault="007A4BE6" w:rsidP="00292599">
      <w:pPr>
        <w:pStyle w:val="ListParagraph"/>
        <w:numPr>
          <w:ilvl w:val="1"/>
          <w:numId w:val="24"/>
        </w:numPr>
        <w:shd w:val="clear" w:color="auto" w:fill="FFFFFF"/>
        <w:spacing w:after="0"/>
        <w:rPr>
          <w:rFonts w:eastAsia="Times New Roman" w:cs="Times New Roman"/>
          <w:color w:val="4A4A4A"/>
          <w:sz w:val="21"/>
          <w:szCs w:val="21"/>
          <w:lang w:eastAsia="en-GB"/>
        </w:rPr>
      </w:pPr>
      <w:r w:rsidRPr="00DA25B2">
        <w:rPr>
          <w:rFonts w:eastAsia="Times New Roman" w:cs="Times New Roman"/>
          <w:color w:val="4A4A4A"/>
          <w:sz w:val="21"/>
          <w:szCs w:val="21"/>
          <w:lang w:eastAsia="en-GB"/>
        </w:rPr>
        <w:t>Medium-high (60)</w:t>
      </w:r>
    </w:p>
    <w:p w14:paraId="6F610D99" w14:textId="77777777" w:rsidR="007A4BE6" w:rsidRPr="00601316" w:rsidRDefault="007A4BE6" w:rsidP="00292599">
      <w:pPr>
        <w:pStyle w:val="ListParagraph"/>
        <w:numPr>
          <w:ilvl w:val="1"/>
          <w:numId w:val="24"/>
        </w:numPr>
        <w:shd w:val="clear" w:color="auto" w:fill="FFFFFF"/>
        <w:spacing w:after="0"/>
        <w:rPr>
          <w:rFonts w:eastAsia="Times New Roman" w:cs="Times New Roman"/>
          <w:color w:val="4A4A4A"/>
          <w:sz w:val="21"/>
          <w:szCs w:val="21"/>
          <w:lang w:eastAsia="en-GB"/>
        </w:rPr>
      </w:pPr>
      <w:r w:rsidRPr="00601316">
        <w:rPr>
          <w:rFonts w:eastAsia="Times New Roman" w:cs="Times New Roman"/>
          <w:color w:val="4A4A4A"/>
          <w:sz w:val="21"/>
          <w:szCs w:val="21"/>
          <w:lang w:eastAsia="en-GB"/>
        </w:rPr>
        <w:t>High (80)</w:t>
      </w:r>
    </w:p>
    <w:p w14:paraId="6433EBC9" w14:textId="5195D244" w:rsidR="007A4BE6" w:rsidRPr="00896F0C" w:rsidRDefault="007A4BE6" w:rsidP="00292599">
      <w:pPr>
        <w:pStyle w:val="ListParagraph"/>
        <w:numPr>
          <w:ilvl w:val="1"/>
          <w:numId w:val="24"/>
        </w:numPr>
        <w:shd w:val="clear" w:color="auto" w:fill="FFFFFF"/>
        <w:spacing w:after="0"/>
        <w:rPr>
          <w:rFonts w:eastAsia="Times New Roman" w:cs="Times New Roman"/>
          <w:color w:val="4A4A4A"/>
          <w:sz w:val="21"/>
          <w:szCs w:val="21"/>
          <w:lang w:eastAsia="en-GB"/>
        </w:rPr>
      </w:pPr>
      <w:r w:rsidRPr="00896F0C">
        <w:rPr>
          <w:rFonts w:eastAsia="Times New Roman" w:cs="Times New Roman"/>
          <w:color w:val="4A4A4A"/>
          <w:sz w:val="21"/>
          <w:szCs w:val="21"/>
          <w:lang w:eastAsia="en-GB"/>
        </w:rPr>
        <w:t>Very high (100)</w:t>
      </w:r>
      <w:r w:rsidR="00896F0C">
        <w:rPr>
          <w:rFonts w:eastAsia="Times New Roman" w:cs="Times New Roman"/>
          <w:color w:val="4A4A4A"/>
          <w:sz w:val="21"/>
          <w:szCs w:val="21"/>
          <w:lang w:eastAsia="en-GB"/>
        </w:rPr>
        <w:br/>
      </w:r>
      <w:r w:rsidR="00896F0C">
        <w:rPr>
          <w:rFonts w:eastAsia="Times New Roman" w:cs="Times New Roman"/>
          <w:color w:val="4A4A4A"/>
          <w:sz w:val="21"/>
          <w:szCs w:val="21"/>
          <w:lang w:eastAsia="en-GB"/>
        </w:rPr>
        <w:br/>
      </w:r>
      <w:r w:rsidRPr="00292599">
        <w:rPr>
          <w:rFonts w:eastAsia="Times New Roman" w:cs="Times New Roman"/>
          <w:color w:val="4A4A4A"/>
          <w:sz w:val="21"/>
          <w:szCs w:val="21"/>
          <w:lang w:eastAsia="en-GB"/>
        </w:rPr>
        <w:t xml:space="preserve">Where question is not applicable, n/a can be selected as a reply, providing adequate </w:t>
      </w:r>
      <w:r w:rsidRPr="00292599">
        <w:rPr>
          <w:rFonts w:eastAsia="Times New Roman" w:cs="Times New Roman"/>
          <w:color w:val="4A4A4A"/>
          <w:sz w:val="21"/>
          <w:szCs w:val="21"/>
          <w:lang w:eastAsia="en-GB"/>
        </w:rPr>
        <w:lastRenderedPageBreak/>
        <w:t>explanation.</w:t>
      </w:r>
      <w:r w:rsidRPr="005713E3">
        <w:rPr>
          <w:lang w:eastAsia="en-GB"/>
        </w:rPr>
        <w:t xml:space="preserve"> </w:t>
      </w:r>
      <w:r w:rsidR="00896F0C">
        <w:rPr>
          <w:lang w:eastAsia="en-GB"/>
        </w:rPr>
        <w:br/>
      </w:r>
      <w:r w:rsidR="00896F0C">
        <w:rPr>
          <w:lang w:eastAsia="en-GB"/>
        </w:rPr>
        <w:br/>
      </w:r>
      <w:r w:rsidRPr="00292599">
        <w:rPr>
          <w:rFonts w:eastAsia="Times New Roman" w:cs="Times New Roman"/>
          <w:color w:val="4A4A4A"/>
          <w:sz w:val="21"/>
          <w:szCs w:val="21"/>
          <w:lang w:eastAsia="en-GB"/>
        </w:rPr>
        <w:t>Note that more question-specific guidance is provided for each threshold for each question, to ensure objective and comparable results.</w:t>
      </w:r>
      <w:r w:rsidRPr="007A4BE6">
        <w:rPr>
          <w:lang w:eastAsia="en-GB"/>
        </w:rPr>
        <w:t xml:space="preserve"> </w:t>
      </w:r>
    </w:p>
    <w:p w14:paraId="32A12043" w14:textId="77777777" w:rsidR="007A4BE6" w:rsidRDefault="007A4BE6" w:rsidP="007A4BE6">
      <w:pPr>
        <w:shd w:val="clear" w:color="auto" w:fill="FFFFFF"/>
        <w:spacing w:after="0"/>
        <w:ind w:left="720"/>
        <w:rPr>
          <w:lang w:eastAsia="en-GB"/>
        </w:rPr>
      </w:pPr>
    </w:p>
    <w:p w14:paraId="3D285A0A" w14:textId="36E963A9" w:rsidR="001D70A5" w:rsidRPr="007A4BE6" w:rsidRDefault="001D70A5" w:rsidP="00292599">
      <w:pPr>
        <w:pStyle w:val="ListParagraph"/>
        <w:numPr>
          <w:ilvl w:val="0"/>
          <w:numId w:val="23"/>
        </w:numPr>
        <w:shd w:val="clear" w:color="auto" w:fill="FFFFFF"/>
        <w:spacing w:after="0"/>
        <w:rPr>
          <w:rFonts w:eastAsia="Times New Roman" w:cs="Times New Roman"/>
          <w:color w:val="4A4A4A"/>
          <w:sz w:val="21"/>
          <w:szCs w:val="21"/>
          <w:lang w:eastAsia="en-GB"/>
        </w:rPr>
      </w:pPr>
      <w:r w:rsidRPr="007A4BE6">
        <w:rPr>
          <w:rFonts w:eastAsia="Times New Roman" w:cs="Times New Roman"/>
          <w:color w:val="4A4A4A"/>
          <w:sz w:val="21"/>
          <w:szCs w:val="21"/>
          <w:lang w:eastAsia="en-GB"/>
        </w:rPr>
        <w:t xml:space="preserve">The un-weighted average of the question scores within each of the four sections is calculated to give a score of 0 – 100 for each section, rounded to the nearest whole number. </w:t>
      </w:r>
      <w:r w:rsidR="00CF172D" w:rsidRPr="007A4BE6">
        <w:rPr>
          <w:rFonts w:eastAsia="Times New Roman" w:cs="Times New Roman"/>
          <w:color w:val="4A4A4A"/>
          <w:sz w:val="21"/>
          <w:szCs w:val="21"/>
          <w:lang w:eastAsia="en-GB"/>
        </w:rPr>
        <w:t>Questions with response n/a are omitted from calculation.</w:t>
      </w:r>
    </w:p>
    <w:p w14:paraId="5012FD16" w14:textId="77777777" w:rsidR="001D70A5" w:rsidRPr="00601316" w:rsidRDefault="001D70A5" w:rsidP="00292599">
      <w:pPr>
        <w:pStyle w:val="ListParagraph"/>
        <w:numPr>
          <w:ilvl w:val="0"/>
          <w:numId w:val="23"/>
        </w:numPr>
        <w:shd w:val="clear" w:color="auto" w:fill="FFFFFF"/>
        <w:spacing w:after="0"/>
        <w:rPr>
          <w:rFonts w:eastAsia="Times New Roman" w:cs="Times New Roman"/>
          <w:color w:val="4A4A4A"/>
          <w:sz w:val="21"/>
          <w:szCs w:val="21"/>
          <w:lang w:eastAsia="en-GB"/>
        </w:rPr>
      </w:pPr>
      <w:proofErr w:type="gramStart"/>
      <w:r w:rsidRPr="00601316">
        <w:rPr>
          <w:rFonts w:eastAsia="Times New Roman" w:cs="Times New Roman"/>
          <w:color w:val="4A4A4A"/>
          <w:sz w:val="21"/>
          <w:szCs w:val="21"/>
          <w:lang w:eastAsia="en-GB"/>
        </w:rPr>
        <w:t>The section scores (rounded to the nearest whole number),</w:t>
      </w:r>
      <w:proofErr w:type="gramEnd"/>
      <w:r w:rsidRPr="00601316">
        <w:rPr>
          <w:rFonts w:eastAsia="Times New Roman" w:cs="Times New Roman"/>
          <w:color w:val="4A4A4A"/>
          <w:sz w:val="21"/>
          <w:szCs w:val="21"/>
          <w:lang w:eastAsia="en-GB"/>
        </w:rPr>
        <w:t xml:space="preserve"> are averaged (un-weighted), and rounded to the nearest whole number, to give the indicator score, expressed as a number between 0 and 100.</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88B39BD" w14:textId="4C52A4A6" w:rsidR="00576CFA" w:rsidRPr="00A96255" w:rsidRDefault="00D56E44" w:rsidP="00576CFA">
      <w:pPr>
        <w:pStyle w:val="MText"/>
      </w:pPr>
      <w:r w:rsidRPr="00D72599">
        <w:t xml:space="preserve">There is a dedicated SDG 6.5.1 Help Desk for ensuring the quality of the statistical results. </w:t>
      </w:r>
      <w:r w:rsidR="00E50CAE" w:rsidRPr="00D72599">
        <w:t xml:space="preserve">Firstly, the data goes through any national quality assurance and approval processes, before being submitted to the Help Desk. The Help Desk then undertakes the Quality Assurance procedure described in section 4.j. All issues are discussed between the Help Desk and the Focal Point(s). Only when all issues are resolved, are the data finalised and entered into the Help Desk Database. The data is then submitted to the UNEP SDG focal point, who collates all indicator data for which UNEP is the Custodian Agency, where a further quality check is undertaken, prior to submission to the SDGs Indicator Database. </w:t>
      </w:r>
    </w:p>
    <w:p w14:paraId="49CB8337" w14:textId="195BDE66" w:rsidR="00EC2915" w:rsidRDefault="00EC2915"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05FCA198" w:rsidR="00576CFA" w:rsidRPr="00A96255" w:rsidRDefault="002D290D" w:rsidP="00576CFA">
      <w:pPr>
        <w:pStyle w:val="MText"/>
      </w:pPr>
      <w:r w:rsidRPr="00D72599">
        <w:t xml:space="preserve">Once the validation process described above is complete, no further adjustments are made. </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58DCB865" w14:textId="73E1B691" w:rsidR="00D51E7C" w:rsidRPr="00672DED" w:rsidRDefault="00D51E7C" w:rsidP="00660624">
      <w:pPr>
        <w:pStyle w:val="MText"/>
        <w:shd w:val="clear" w:color="auto" w:fill="auto"/>
        <w:rPr>
          <w:b/>
        </w:rPr>
      </w:pPr>
      <w:r w:rsidRPr="00672DED">
        <w:rPr>
          <w:b/>
        </w:rPr>
        <w:t>•</w:t>
      </w:r>
      <w:r w:rsidRPr="00672DED">
        <w:rPr>
          <w:b/>
        </w:rPr>
        <w:tab/>
        <w:t>At country level</w:t>
      </w:r>
    </w:p>
    <w:p w14:paraId="3525BDC1" w14:textId="20A0607A" w:rsidR="00660624" w:rsidRPr="00C019E5" w:rsidRDefault="00660624" w:rsidP="00D51E7C">
      <w:pPr>
        <w:pStyle w:val="MText"/>
        <w:rPr>
          <w:highlight w:val="cyan"/>
        </w:rPr>
      </w:pPr>
      <w:r w:rsidRPr="00660624">
        <w:t>The indicator and survey have been designed for all countries to be able to submit an indicator value</w:t>
      </w:r>
      <w:r w:rsidR="0008669A">
        <w:t xml:space="preserve">, and </w:t>
      </w:r>
      <w:r w:rsidRPr="00660624">
        <w:t xml:space="preserve">the number of country responses under the SDG process </w:t>
      </w:r>
      <w:r w:rsidR="00FA59D7">
        <w:t>is</w:t>
      </w:r>
      <w:r w:rsidRPr="00660624">
        <w:t xml:space="preserve"> in excess of 90%. Estimates for countries not responding to the survey </w:t>
      </w:r>
      <w:r w:rsidR="00FA59D7">
        <w:t>are</w:t>
      </w:r>
      <w:r w:rsidR="00FA59D7" w:rsidRPr="00660624">
        <w:t xml:space="preserve"> </w:t>
      </w:r>
      <w:r w:rsidRPr="00660624">
        <w:t>therefore not made.</w:t>
      </w:r>
    </w:p>
    <w:p w14:paraId="1B6182A5" w14:textId="54983DC5" w:rsidR="00D51E7C" w:rsidRPr="00C019E5" w:rsidRDefault="00D51E7C" w:rsidP="00D51E7C">
      <w:pPr>
        <w:pStyle w:val="MText"/>
        <w:rPr>
          <w:highlight w:val="cyan"/>
        </w:rPr>
      </w:pPr>
    </w:p>
    <w:p w14:paraId="06DDC253" w14:textId="77777777" w:rsidR="00D51E7C" w:rsidRPr="00672DED" w:rsidRDefault="00D51E7C" w:rsidP="00D51E7C">
      <w:pPr>
        <w:pStyle w:val="MText"/>
        <w:rPr>
          <w:b/>
        </w:rPr>
      </w:pPr>
      <w:r w:rsidRPr="00672DED">
        <w:rPr>
          <w:b/>
        </w:rPr>
        <w:t>•</w:t>
      </w:r>
      <w:r w:rsidRPr="00672DED">
        <w:rPr>
          <w:b/>
        </w:rPr>
        <w:tab/>
        <w:t>At regional and global levels</w:t>
      </w:r>
    </w:p>
    <w:p w14:paraId="04748E1F" w14:textId="37D7AC58" w:rsidR="00D51E7C" w:rsidRDefault="00347D42" w:rsidP="00D51E7C">
      <w:pPr>
        <w:pStyle w:val="MText"/>
      </w:pPr>
      <w:bookmarkStart w:id="5" w:name="_Hlk100242271"/>
      <w:r>
        <w:t>As</w:t>
      </w:r>
      <w:r w:rsidR="00660624" w:rsidRPr="00660624">
        <w:t xml:space="preserve"> the number of country responses </w:t>
      </w:r>
      <w:r>
        <w:t>is</w:t>
      </w:r>
      <w:r w:rsidR="00660624" w:rsidRPr="00660624">
        <w:t xml:space="preserve"> in excess of 90%</w:t>
      </w:r>
      <w:r>
        <w:t>, t</w:t>
      </w:r>
      <w:r w:rsidR="00660624" w:rsidRPr="00660624">
        <w:t xml:space="preserve">his coverage of data </w:t>
      </w:r>
      <w:r>
        <w:t>is</w:t>
      </w:r>
      <w:r w:rsidR="00660624" w:rsidRPr="00660624">
        <w:t xml:space="preserve"> deemed to be representative of</w:t>
      </w:r>
      <w:r>
        <w:t xml:space="preserve"> regional and</w:t>
      </w:r>
      <w:r w:rsidR="00660624" w:rsidRPr="00660624">
        <w:t xml:space="preserve"> global aggregates. Estimates for countries not responding to the survey </w:t>
      </w:r>
      <w:r>
        <w:t>are</w:t>
      </w:r>
      <w:r w:rsidRPr="00660624">
        <w:t xml:space="preserve"> </w:t>
      </w:r>
      <w:r w:rsidR="00660624" w:rsidRPr="00660624">
        <w:t>therefore not made.</w:t>
      </w:r>
    </w:p>
    <w:bookmarkEnd w:id="5"/>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67F85AD3" w14:textId="223F703E" w:rsidR="004D500D" w:rsidRDefault="00660624" w:rsidP="00364DD8">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Following the Agenda 2030 principle of “leaving no one behind”, regional and global values </w:t>
      </w:r>
      <w:r w:rsidR="005C110C">
        <w:rPr>
          <w:rFonts w:eastAsia="Times New Roman" w:cs="Times New Roman"/>
          <w:color w:val="4A4A4A"/>
          <w:sz w:val="21"/>
          <w:szCs w:val="21"/>
          <w:lang w:eastAsia="en-GB"/>
        </w:rPr>
        <w:t>are</w:t>
      </w:r>
      <w:r w:rsidRPr="00F07C28">
        <w:rPr>
          <w:rFonts w:eastAsia="Times New Roman" w:cs="Times New Roman"/>
          <w:color w:val="4A4A4A"/>
          <w:sz w:val="21"/>
          <w:szCs w:val="21"/>
          <w:lang w:eastAsia="en-GB"/>
        </w:rPr>
        <w:t xml:space="preserve"> based on simple, un-weighted averages of country scores. The country scores </w:t>
      </w:r>
      <w:r w:rsidR="005C110C">
        <w:rPr>
          <w:rFonts w:eastAsia="Times New Roman" w:cs="Times New Roman"/>
          <w:color w:val="4A4A4A"/>
          <w:sz w:val="21"/>
          <w:szCs w:val="21"/>
          <w:lang w:eastAsia="en-GB"/>
        </w:rPr>
        <w:t>are</w:t>
      </w:r>
      <w:r w:rsidRPr="00F07C28">
        <w:rPr>
          <w:rFonts w:eastAsia="Times New Roman" w:cs="Times New Roman"/>
          <w:color w:val="4A4A4A"/>
          <w:sz w:val="21"/>
          <w:szCs w:val="21"/>
          <w:lang w:eastAsia="en-GB"/>
        </w:rPr>
        <w:t xml:space="preserve"> presented as a whole number, and regional and global averages </w:t>
      </w:r>
      <w:r w:rsidR="005C110C">
        <w:rPr>
          <w:rFonts w:eastAsia="Times New Roman" w:cs="Times New Roman"/>
          <w:color w:val="4A4A4A"/>
          <w:sz w:val="21"/>
          <w:szCs w:val="21"/>
          <w:lang w:eastAsia="en-GB"/>
        </w:rPr>
        <w:t>are also</w:t>
      </w:r>
      <w:r w:rsidRPr="00F07C28">
        <w:rPr>
          <w:rFonts w:eastAsia="Times New Roman" w:cs="Times New Roman"/>
          <w:color w:val="4A4A4A"/>
          <w:sz w:val="21"/>
          <w:szCs w:val="21"/>
          <w:lang w:eastAsia="en-GB"/>
        </w:rPr>
        <w:t xml:space="preserve"> presented as a whole number. Global averages </w:t>
      </w:r>
      <w:r w:rsidR="005C110C">
        <w:rPr>
          <w:rFonts w:eastAsia="Times New Roman" w:cs="Times New Roman"/>
          <w:color w:val="4A4A4A"/>
          <w:sz w:val="21"/>
          <w:szCs w:val="21"/>
          <w:lang w:eastAsia="en-GB"/>
        </w:rPr>
        <w:t>are</w:t>
      </w:r>
      <w:r w:rsidRPr="00F07C28">
        <w:rPr>
          <w:rFonts w:eastAsia="Times New Roman" w:cs="Times New Roman"/>
          <w:color w:val="4A4A4A"/>
          <w:sz w:val="21"/>
          <w:szCs w:val="21"/>
          <w:lang w:eastAsia="en-GB"/>
        </w:rPr>
        <w:t xml:space="preserve"> based on country values, not regional averages.</w:t>
      </w:r>
    </w:p>
    <w:p w14:paraId="08AF71EA" w14:textId="176DBD00" w:rsidR="00660624" w:rsidRPr="00F07C28" w:rsidRDefault="00660624"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 </w:t>
      </w:r>
    </w:p>
    <w:p w14:paraId="4DB1CB1D" w14:textId="08FDCE9E" w:rsidR="00660624" w:rsidRPr="00F07C28" w:rsidRDefault="00660624" w:rsidP="00364DD8">
      <w:pPr>
        <w:shd w:val="clear" w:color="auto" w:fill="FFFFFF"/>
        <w:spacing w:after="0"/>
        <w:rPr>
          <w:rFonts w:eastAsia="Times New Roman" w:cs="Times New Roman"/>
          <w:color w:val="4A4A4A"/>
          <w:sz w:val="21"/>
          <w:szCs w:val="21"/>
          <w:lang w:eastAsia="en-GB"/>
        </w:rPr>
      </w:pPr>
      <w:r w:rsidRPr="00D34614">
        <w:rPr>
          <w:rFonts w:eastAsia="Times New Roman" w:cs="Times New Roman"/>
          <w:color w:val="4A4A4A"/>
          <w:sz w:val="21"/>
          <w:szCs w:val="21"/>
          <w:lang w:eastAsia="en-GB"/>
        </w:rPr>
        <w:lastRenderedPageBreak/>
        <w:t>Regional values may be assembled by regional bodies responsible for water resources in the region, such as the African Ministerial Council on Water (AMCOW), the European Environment Agency (EEA), and the United Nations Economic and Social Commission for West Asia (ESCWA)</w:t>
      </w:r>
      <w:r w:rsidR="00D34614">
        <w:rPr>
          <w:rFonts w:eastAsia="Times New Roman" w:cs="Times New Roman"/>
          <w:color w:val="4A4A4A"/>
          <w:sz w:val="21"/>
          <w:szCs w:val="21"/>
          <w:lang w:eastAsia="en-GB"/>
        </w:rPr>
        <w:t>.</w:t>
      </w:r>
    </w:p>
    <w:p w14:paraId="2EA010B7" w14:textId="77777777" w:rsidR="00EC2915" w:rsidRPr="00A96255" w:rsidRDefault="00EC2915">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713AEA81" w14:textId="77777777" w:rsidR="00563586" w:rsidRPr="00F07C28" w:rsidRDefault="00563586" w:rsidP="007B024E">
      <w:pPr>
        <w:pStyle w:val="MText"/>
        <w:numPr>
          <w:ilvl w:val="0"/>
          <w:numId w:val="10"/>
        </w:numPr>
        <w:shd w:val="clear" w:color="auto" w:fill="auto"/>
      </w:pPr>
      <w:r w:rsidRPr="00F07C28">
        <w:t xml:space="preserve">National focal points selected by each country.  </w:t>
      </w:r>
    </w:p>
    <w:p w14:paraId="3EEE733C" w14:textId="77777777" w:rsidR="00563586" w:rsidRPr="00F07C28" w:rsidRDefault="00563586" w:rsidP="007B024E">
      <w:pPr>
        <w:pStyle w:val="MText"/>
        <w:numPr>
          <w:ilvl w:val="0"/>
          <w:numId w:val="10"/>
        </w:numPr>
        <w:shd w:val="clear" w:color="auto" w:fill="auto"/>
      </w:pPr>
      <w:r w:rsidRPr="00F07C28">
        <w:t xml:space="preserve">National focal points are responsible for coordinating a national process to engage governmental and non-governmental stakeholders, as appropriate in the context of each country, to develop draft responses and finalise responses. This may be via email, workshops, and online notices.   </w:t>
      </w:r>
    </w:p>
    <w:p w14:paraId="5CC7895B" w14:textId="6AF249F8" w:rsidR="00563586" w:rsidRDefault="00563586" w:rsidP="007B024E">
      <w:pPr>
        <w:pStyle w:val="MText"/>
        <w:numPr>
          <w:ilvl w:val="0"/>
          <w:numId w:val="10"/>
        </w:numPr>
        <w:shd w:val="clear" w:color="auto" w:fill="auto"/>
      </w:pPr>
      <w:r w:rsidRPr="00F07C28">
        <w:t xml:space="preserve">The following </w:t>
      </w:r>
      <w:r w:rsidR="00FE0E83">
        <w:t xml:space="preserve">guidance </w:t>
      </w:r>
      <w:r w:rsidRPr="00F07C28">
        <w:t xml:space="preserve">materials are available for national focal points in 7 languages (English, Spanish, French, Arabic, Russian, Chinese, Portuguese), at </w:t>
      </w:r>
      <w:hyperlink r:id="rId13" w:history="1">
        <w:r w:rsidR="00732C3F">
          <w:rPr>
            <w:rStyle w:val="Hyperlink"/>
            <w:rFonts w:eastAsiaTheme="majorEastAsia"/>
          </w:rPr>
          <w:t>http://iwrmdataportal.unepdhi.org/about</w:t>
        </w:r>
      </w:hyperlink>
      <w:r w:rsidR="00732C3F">
        <w:t xml:space="preserve"> </w:t>
      </w:r>
      <w:hyperlink r:id="rId14" w:history="1">
        <w:r w:rsidR="00FE0E83" w:rsidRPr="00FE0E83">
          <w:rPr>
            <w:rStyle w:val="Hyperlink"/>
          </w:rPr>
          <w:t>http://iwrmdataportal.unepdhi.org</w:t>
        </w:r>
      </w:hyperlink>
      <w:r w:rsidRPr="00F07C28">
        <w:t>: the survey (MS Word); a detailed monitoring guide; and a PowerPoint presentation and video recording. In addition, focal points may access the following</w:t>
      </w:r>
      <w:r w:rsidR="00171C38">
        <w:t xml:space="preserve"> country-level </w:t>
      </w:r>
      <w:r w:rsidRPr="00F07C28">
        <w:t>materials</w:t>
      </w:r>
      <w:r w:rsidR="00B07BAF">
        <w:t xml:space="preserve"> </w:t>
      </w:r>
      <w:r w:rsidR="00880EAD">
        <w:t xml:space="preserve">at </w:t>
      </w:r>
      <w:hyperlink r:id="rId15" w:history="1">
        <w:r w:rsidR="00880EAD">
          <w:rPr>
            <w:rStyle w:val="Hyperlink"/>
            <w:rFonts w:eastAsiaTheme="majorEastAsia"/>
          </w:rPr>
          <w:t>http://iwrmdataportal.unepdhi.org/countrydatabase</w:t>
        </w:r>
      </w:hyperlink>
      <w:r w:rsidRPr="00F07C28">
        <w:t>: the 2017</w:t>
      </w:r>
      <w:r w:rsidR="00880EAD">
        <w:t xml:space="preserve"> and 2020</w:t>
      </w:r>
      <w:r w:rsidRPr="00F07C28">
        <w:t xml:space="preserve"> baseline surveys and 2-page results summaries (for 1</w:t>
      </w:r>
      <w:r w:rsidR="00880EAD">
        <w:t>86</w:t>
      </w:r>
      <w:r w:rsidRPr="00F07C28">
        <w:t xml:space="preserve"> countries); and 2017 </w:t>
      </w:r>
      <w:r w:rsidR="00880EAD">
        <w:t xml:space="preserve">and 2020 </w:t>
      </w:r>
      <w:r w:rsidRPr="00F07C28">
        <w:t>workshop reports (for 36 countries)</w:t>
      </w:r>
      <w:r w:rsidR="00BE0D31">
        <w:t xml:space="preserve"> </w:t>
      </w:r>
      <w:r w:rsidR="001B26E9">
        <w:t xml:space="preserve">from </w:t>
      </w:r>
      <w:hyperlink r:id="rId16" w:history="1">
        <w:r w:rsidR="001B26E9">
          <w:rPr>
            <w:rStyle w:val="Hyperlink"/>
            <w:rFonts w:eastAsiaTheme="majorEastAsia"/>
          </w:rPr>
          <w:t>https://www.gwp.org/en/sdg6support/sdgmap/</w:t>
        </w:r>
      </w:hyperlink>
      <w:r w:rsidRPr="00F07C28">
        <w:t xml:space="preserve">. </w:t>
      </w:r>
    </w:p>
    <w:p w14:paraId="66A3EC16" w14:textId="6C0C8C61" w:rsidR="00DB3C52" w:rsidRDefault="00DB3C52" w:rsidP="007B024E">
      <w:pPr>
        <w:pStyle w:val="MText"/>
        <w:numPr>
          <w:ilvl w:val="0"/>
          <w:numId w:val="10"/>
        </w:numPr>
        <w:shd w:val="clear" w:color="auto" w:fill="auto"/>
      </w:pPr>
      <w:r>
        <w:t xml:space="preserve">In addition, </w:t>
      </w:r>
      <w:r w:rsidR="00A2248A">
        <w:t xml:space="preserve">an “SDG 6.5.1 Facilitator’s Training Course” is available online via </w:t>
      </w:r>
      <w:hyperlink w:history="1"/>
      <w:hyperlink r:id="rId17" w:history="1">
        <w:r w:rsidR="006814EF">
          <w:rPr>
            <w:rStyle w:val="Hyperlink"/>
            <w:rFonts w:eastAsiaTheme="majorEastAsia"/>
          </w:rPr>
          <w:t>https://www.gwp.org/en/sdg6support/consultations/where-we-are/stage-1-activities/</w:t>
        </w:r>
      </w:hyperlink>
      <w:r w:rsidR="00A2248A">
        <w:t xml:space="preserve"> , through the SDG 6 IWRM Support Programme. </w:t>
      </w:r>
    </w:p>
    <w:p w14:paraId="020B3F36" w14:textId="2EE6A03A" w:rsidR="00A2248A" w:rsidRPr="00F07C28" w:rsidRDefault="00A2248A" w:rsidP="007B024E">
      <w:pPr>
        <w:pStyle w:val="MText"/>
        <w:numPr>
          <w:ilvl w:val="0"/>
          <w:numId w:val="10"/>
        </w:numPr>
        <w:shd w:val="clear" w:color="auto" w:fill="auto"/>
      </w:pPr>
      <w:r>
        <w:t>A more comprehensive “</w:t>
      </w:r>
      <w:r w:rsidRPr="00A2248A">
        <w:t>IWRM Stage 1 Support Package</w:t>
      </w:r>
      <w:r>
        <w:t>” is available for a limited number of countries (approximately 60 countries in 2020)</w:t>
      </w:r>
      <w:r w:rsidR="00BA0651">
        <w:t xml:space="preserve"> see </w:t>
      </w:r>
      <w:hyperlink r:id="rId18" w:history="1">
        <w:r w:rsidR="00BA0651">
          <w:rPr>
            <w:rStyle w:val="Hyperlink"/>
            <w:rFonts w:eastAsiaTheme="majorEastAsia"/>
          </w:rPr>
          <w:t>https://www.gwp.org/en/sdg6support/consultations/where-we-are/stage-1-activities/</w:t>
        </w:r>
      </w:hyperlink>
      <w:r>
        <w:t>. The Support Package includes seed funding to engage a Facilitator to support the stakeholder consultation process</w:t>
      </w:r>
      <w:r w:rsidR="00DA789B">
        <w:t xml:space="preserve">. </w:t>
      </w:r>
    </w:p>
    <w:p w14:paraId="6DED499D" w14:textId="77777777" w:rsidR="00563586" w:rsidRPr="00F07C28" w:rsidRDefault="00563586" w:rsidP="00563586">
      <w:pPr>
        <w:pStyle w:val="MText"/>
      </w:pPr>
    </w:p>
    <w:p w14:paraId="432DF8E8" w14:textId="77777777" w:rsidR="00563586" w:rsidRPr="00F07C28" w:rsidRDefault="00563586" w:rsidP="00563586">
      <w:pPr>
        <w:pStyle w:val="MText"/>
      </w:pPr>
      <w:r w:rsidRPr="00F07C28">
        <w:t xml:space="preserve">Extensive explanations are provided in the monitoring guide and in the survey itself. The survey contains: an overall introduction and explanation; a glossary; an introduction and glossary in each of the four sections; threshold descriptions for six thresholds for each question; and </w:t>
      </w:r>
      <w:proofErr w:type="gramStart"/>
      <w:r w:rsidRPr="00F07C28">
        <w:t>a number of</w:t>
      </w:r>
      <w:proofErr w:type="gramEnd"/>
      <w:r w:rsidRPr="00F07C28">
        <w:t xml:space="preserve"> footnotes to explain aspects of questions or threshold descriptions. All materials can be downloaded from </w:t>
      </w:r>
      <w:hyperlink r:id="rId19" w:history="1">
        <w:r w:rsidRPr="00DF7F63">
          <w:rPr>
            <w:rStyle w:val="Hyperlink"/>
          </w:rPr>
          <w:t>http://iwrmdataportal.unepdhi.org</w:t>
        </w:r>
      </w:hyperlink>
      <w:r w:rsidRPr="00F07C28">
        <w:t xml:space="preserve">. In addition, a dedicated </w:t>
      </w:r>
      <w:r>
        <w:t>Help Desk</w:t>
      </w:r>
      <w:r w:rsidRPr="00F07C28">
        <w:t xml:space="preserve"> is available to </w:t>
      </w:r>
      <w:proofErr w:type="gramStart"/>
      <w:r w:rsidRPr="00F07C28">
        <w:t>provide assistance</w:t>
      </w:r>
      <w:proofErr w:type="gramEnd"/>
      <w:r w:rsidRPr="00F07C28">
        <w:t xml:space="preserve"> at all times. The </w:t>
      </w:r>
      <w:r>
        <w:t xml:space="preserve">Help Desk is accessible via email </w:t>
      </w:r>
      <w:hyperlink r:id="rId20" w:history="1">
        <w:r w:rsidRPr="00DF7F63">
          <w:rPr>
            <w:rStyle w:val="Hyperlink"/>
          </w:rPr>
          <w:t>iwrmsdg651@un.org</w:t>
        </w:r>
      </w:hyperlink>
      <w:r w:rsidRPr="00F07C28">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0167CEB7" w:rsidR="00576CFA" w:rsidRPr="00A96255" w:rsidRDefault="00301E12" w:rsidP="00576CFA">
      <w:pPr>
        <w:pStyle w:val="MText"/>
      </w:pPr>
      <w:r w:rsidRPr="00D72599">
        <w:t>UNEP-DHI Centre, which manages the statistical reporting processes for UNEP on indicator 6.5.1, operates through a Business Management System that fulfils the requirements of ISO 9001 (quality management)</w:t>
      </w:r>
      <w:r w:rsidR="005E5A87" w:rsidRPr="00D72599">
        <w:t xml:space="preserve">, which covers relevant areas such as consulting and capacity development and training courses. </w:t>
      </w:r>
    </w:p>
    <w:p w14:paraId="5484B16D" w14:textId="77777777" w:rsidR="00EC2915" w:rsidRPr="00A96255" w:rsidRDefault="00EC2915" w:rsidP="00576CFA">
      <w:pPr>
        <w:pStyle w:val="MText"/>
      </w:pPr>
    </w:p>
    <w:p w14:paraId="17B979CA" w14:textId="28E4068F" w:rsidR="00E1050F" w:rsidRPr="00A96255" w:rsidRDefault="00E1050F" w:rsidP="00F719A8">
      <w:pPr>
        <w:pStyle w:val="MHeader2"/>
      </w:pPr>
      <w:r w:rsidRPr="00A96255">
        <w:t xml:space="preserve">4.j Quality assurance </w:t>
      </w:r>
      <w:r>
        <w:rPr>
          <w:color w:val="B4B4B4"/>
          <w:sz w:val="20"/>
        </w:rPr>
        <w:t>(QUALITY_ASSURE)</w:t>
      </w:r>
    </w:p>
    <w:p w14:paraId="068098E3" w14:textId="77777777" w:rsidR="00563586" w:rsidRPr="00F07C28" w:rsidRDefault="00563586">
      <w:pPr>
        <w:pStyle w:val="MText"/>
      </w:pPr>
      <w:r w:rsidRPr="00F07C28">
        <w:t xml:space="preserve">The following quality assurance guidelines are available to all individuals involved in quality assurance for 6.5.1.  </w:t>
      </w:r>
    </w:p>
    <w:p w14:paraId="0E75FD0E" w14:textId="77777777" w:rsidR="00563586" w:rsidRPr="00F07C28" w:rsidRDefault="00563586">
      <w:pPr>
        <w:pStyle w:val="MText"/>
      </w:pPr>
      <w:r w:rsidRPr="00F07C28">
        <w:t xml:space="preserve">Process: </w:t>
      </w:r>
    </w:p>
    <w:p w14:paraId="5F79CB97" w14:textId="33721AF5" w:rsidR="00563586" w:rsidRPr="00F07C28" w:rsidRDefault="00563586" w:rsidP="00CC76CD">
      <w:pPr>
        <w:pStyle w:val="MText"/>
        <w:numPr>
          <w:ilvl w:val="0"/>
          <w:numId w:val="6"/>
        </w:numPr>
        <w:shd w:val="clear" w:color="auto" w:fill="auto"/>
      </w:pPr>
      <w:r w:rsidRPr="00F07C28">
        <w:lastRenderedPageBreak/>
        <w:t xml:space="preserve">Nominate person responsible for </w:t>
      </w:r>
      <w:r w:rsidR="00A57BB1">
        <w:t>the quality assurance (</w:t>
      </w:r>
      <w:r w:rsidRPr="00F07C28">
        <w:t>QA</w:t>
      </w:r>
      <w:r w:rsidR="00A57BB1">
        <w:t>)</w:t>
      </w:r>
      <w:r w:rsidRPr="00F07C28">
        <w:t xml:space="preserve"> for a country response once it is submitted for the first time.  </w:t>
      </w:r>
    </w:p>
    <w:p w14:paraId="5E8440F6" w14:textId="1B2AB7F6" w:rsidR="00563586" w:rsidRPr="00F07C28" w:rsidRDefault="00563586" w:rsidP="00CC76CD">
      <w:pPr>
        <w:pStyle w:val="MText"/>
        <w:numPr>
          <w:ilvl w:val="0"/>
          <w:numId w:val="6"/>
        </w:numPr>
        <w:shd w:val="clear" w:color="auto" w:fill="auto"/>
      </w:pPr>
      <w:r w:rsidRPr="00F07C28">
        <w:t xml:space="preserve">Acknowledge receipt and inform the country of </w:t>
      </w:r>
      <w:r w:rsidR="00A57BB1">
        <w:t xml:space="preserve">the </w:t>
      </w:r>
      <w:r w:rsidRPr="00F07C28">
        <w:t xml:space="preserve">QA process.  </w:t>
      </w:r>
    </w:p>
    <w:p w14:paraId="12BD06CB" w14:textId="182C42F8" w:rsidR="00563586" w:rsidRPr="00F07C28" w:rsidRDefault="00563586" w:rsidP="00CC76CD">
      <w:pPr>
        <w:pStyle w:val="MText"/>
        <w:numPr>
          <w:ilvl w:val="0"/>
          <w:numId w:val="6"/>
        </w:numPr>
        <w:shd w:val="clear" w:color="auto" w:fill="auto"/>
      </w:pPr>
      <w:r w:rsidRPr="00F07C28">
        <w:t xml:space="preserve">Update </w:t>
      </w:r>
      <w:r w:rsidR="00A57BB1">
        <w:t xml:space="preserve">the </w:t>
      </w:r>
      <w:r w:rsidRPr="00F07C28">
        <w:t xml:space="preserve">QA spreadsheet, indicating date of receipt and who submitted.  </w:t>
      </w:r>
    </w:p>
    <w:p w14:paraId="78BA6306" w14:textId="77777777" w:rsidR="00563586" w:rsidRPr="00F07C28" w:rsidRDefault="00563586" w:rsidP="00CC76CD">
      <w:pPr>
        <w:pStyle w:val="MText"/>
        <w:numPr>
          <w:ilvl w:val="0"/>
          <w:numId w:val="6"/>
        </w:numPr>
        <w:shd w:val="clear" w:color="auto" w:fill="auto"/>
      </w:pPr>
      <w:r w:rsidRPr="00F07C28">
        <w:t xml:space="preserve">Upload draft survey (MS Word) to the Dropbox folder.  </w:t>
      </w:r>
    </w:p>
    <w:p w14:paraId="2175CFBF" w14:textId="77777777" w:rsidR="00563586" w:rsidRPr="00F07C28" w:rsidRDefault="00563586" w:rsidP="00CC76CD">
      <w:pPr>
        <w:pStyle w:val="MText"/>
        <w:numPr>
          <w:ilvl w:val="0"/>
          <w:numId w:val="6"/>
        </w:numPr>
        <w:shd w:val="clear" w:color="auto" w:fill="auto"/>
      </w:pPr>
      <w:r w:rsidRPr="00F07C28">
        <w:t xml:space="preserve">Undertake ALL checks described below.  </w:t>
      </w:r>
    </w:p>
    <w:p w14:paraId="3FAFA1E3" w14:textId="77777777" w:rsidR="00563586" w:rsidRPr="00F07C28" w:rsidRDefault="00563586" w:rsidP="00CC76CD">
      <w:pPr>
        <w:pStyle w:val="MText"/>
        <w:numPr>
          <w:ilvl w:val="0"/>
          <w:numId w:val="6"/>
        </w:numPr>
        <w:shd w:val="clear" w:color="auto" w:fill="auto"/>
      </w:pPr>
      <w:r w:rsidRPr="00F07C28">
        <w:t xml:space="preserve">If there are any discrepancies, revert to UNEP-DHI colleagues.  </w:t>
      </w:r>
    </w:p>
    <w:p w14:paraId="4FE25097" w14:textId="77777777" w:rsidR="00563586" w:rsidRPr="00F07C28" w:rsidRDefault="00563586" w:rsidP="00CC76CD">
      <w:pPr>
        <w:pStyle w:val="MText"/>
        <w:numPr>
          <w:ilvl w:val="0"/>
          <w:numId w:val="6"/>
        </w:numPr>
        <w:shd w:val="clear" w:color="auto" w:fill="auto"/>
      </w:pPr>
      <w:r w:rsidRPr="00F07C28">
        <w:t xml:space="preserve">Once action is agreed, respond to the countries.  </w:t>
      </w:r>
    </w:p>
    <w:p w14:paraId="383A8381" w14:textId="77777777" w:rsidR="00563586" w:rsidRPr="00F07C28" w:rsidRDefault="00563586" w:rsidP="00CC76CD">
      <w:pPr>
        <w:pStyle w:val="MText"/>
        <w:numPr>
          <w:ilvl w:val="0"/>
          <w:numId w:val="6"/>
        </w:numPr>
        <w:shd w:val="clear" w:color="auto" w:fill="auto"/>
      </w:pPr>
      <w:r w:rsidRPr="00F07C28">
        <w:t xml:space="preserve">Complete all checks on each subsequent version of the questionnaire until all quality issues are resolved and questionnaire is marked ‘final’.     </w:t>
      </w:r>
    </w:p>
    <w:p w14:paraId="37D3ACC1" w14:textId="77777777" w:rsidR="00563586" w:rsidRPr="00F07C28" w:rsidRDefault="00563586">
      <w:pPr>
        <w:pStyle w:val="MText"/>
      </w:pPr>
    </w:p>
    <w:p w14:paraId="4E972721" w14:textId="77777777" w:rsidR="00563586" w:rsidRPr="00F07C28" w:rsidRDefault="00563586">
      <w:pPr>
        <w:pStyle w:val="MText"/>
      </w:pPr>
      <w:r w:rsidRPr="00F07C28">
        <w:t xml:space="preserve">Checks:  </w:t>
      </w:r>
    </w:p>
    <w:p w14:paraId="17C4ED9D" w14:textId="12BF6A72" w:rsidR="00563586" w:rsidRPr="00330891" w:rsidRDefault="00563586" w:rsidP="00CC76CD">
      <w:pPr>
        <w:pStyle w:val="MText"/>
        <w:numPr>
          <w:ilvl w:val="0"/>
          <w:numId w:val="7"/>
        </w:numPr>
        <w:shd w:val="clear" w:color="auto" w:fill="auto"/>
      </w:pPr>
      <w:r w:rsidRPr="00D72599">
        <w:rPr>
          <w:b/>
          <w:bCs/>
        </w:rPr>
        <w:t>Focal point:</w:t>
      </w:r>
      <w:r w:rsidRPr="00330891">
        <w:t xml:space="preserve"> Confirm the person submitting is the formal national focal point. If not, any reply should also add the national focal point in C</w:t>
      </w:r>
      <w:r w:rsidR="00E56F86">
        <w:t>c</w:t>
      </w:r>
      <w:r w:rsidRPr="00330891">
        <w:t xml:space="preserve">.  </w:t>
      </w:r>
    </w:p>
    <w:p w14:paraId="6CFDCE44" w14:textId="0181AFE4" w:rsidR="00330891" w:rsidRPr="00D72599" w:rsidRDefault="00330891" w:rsidP="00CC76CD">
      <w:pPr>
        <w:pStyle w:val="ListParagraph"/>
        <w:numPr>
          <w:ilvl w:val="0"/>
          <w:numId w:val="7"/>
        </w:numPr>
        <w:spacing w:after="0"/>
        <w:rPr>
          <w:rFonts w:eastAsia="Times New Roman" w:cs="Times New Roman"/>
          <w:color w:val="4A4A4A"/>
          <w:sz w:val="21"/>
          <w:szCs w:val="21"/>
          <w:lang w:eastAsia="en-GB"/>
        </w:rPr>
      </w:pPr>
      <w:r w:rsidRPr="00D72599">
        <w:rPr>
          <w:rFonts w:eastAsia="Times New Roman" w:cs="Times New Roman"/>
          <w:b/>
          <w:bCs/>
          <w:color w:val="4A4A4A"/>
          <w:sz w:val="21"/>
          <w:szCs w:val="21"/>
          <w:lang w:eastAsia="en-GB"/>
        </w:rPr>
        <w:t>Cover sheet:</w:t>
      </w:r>
      <w:r w:rsidRPr="00D72599">
        <w:rPr>
          <w:rFonts w:eastAsia="Times New Roman" w:cs="Times New Roman"/>
          <w:color w:val="4A4A4A"/>
          <w:sz w:val="21"/>
          <w:szCs w:val="21"/>
          <w:lang w:eastAsia="en-GB"/>
        </w:rPr>
        <w:t xml:space="preserve"> check if cover sheet is correctly filled out. Cross-check if the person submitting is the formal national focal point. If not, any reply should include the national focal point in C</w:t>
      </w:r>
      <w:r w:rsidR="00E56F86">
        <w:rPr>
          <w:rFonts w:eastAsia="Times New Roman" w:cs="Times New Roman"/>
          <w:color w:val="4A4A4A"/>
          <w:sz w:val="21"/>
          <w:szCs w:val="21"/>
          <w:lang w:eastAsia="en-GB"/>
        </w:rPr>
        <w:t>c</w:t>
      </w:r>
      <w:r w:rsidRPr="00D72599">
        <w:rPr>
          <w:rFonts w:eastAsia="Times New Roman" w:cs="Times New Roman"/>
          <w:color w:val="4A4A4A"/>
          <w:sz w:val="21"/>
          <w:szCs w:val="21"/>
          <w:lang w:eastAsia="en-GB"/>
        </w:rPr>
        <w:t>.</w:t>
      </w:r>
    </w:p>
    <w:p w14:paraId="5FDEE9E8" w14:textId="7A27C596" w:rsidR="00330891" w:rsidRPr="00D72599" w:rsidRDefault="00330891" w:rsidP="00CC76CD">
      <w:pPr>
        <w:pStyle w:val="ListParagraph"/>
        <w:numPr>
          <w:ilvl w:val="0"/>
          <w:numId w:val="7"/>
        </w:numPr>
        <w:spacing w:after="0"/>
        <w:rPr>
          <w:rFonts w:eastAsia="Times New Roman" w:cs="Times New Roman"/>
          <w:color w:val="4A4A4A"/>
          <w:sz w:val="21"/>
          <w:szCs w:val="21"/>
          <w:lang w:eastAsia="en-GB"/>
        </w:rPr>
      </w:pPr>
      <w:r w:rsidRPr="00D72599">
        <w:rPr>
          <w:rFonts w:eastAsia="Times New Roman" w:cs="Times New Roman"/>
          <w:b/>
          <w:bCs/>
          <w:color w:val="4A4A4A"/>
          <w:sz w:val="21"/>
          <w:szCs w:val="21"/>
          <w:lang w:eastAsia="en-GB"/>
        </w:rPr>
        <w:t>Question scores and calculations:</w:t>
      </w:r>
      <w:r w:rsidRPr="00D72599">
        <w:rPr>
          <w:rFonts w:eastAsia="Times New Roman" w:cs="Times New Roman"/>
          <w:color w:val="4A4A4A"/>
          <w:sz w:val="21"/>
          <w:szCs w:val="21"/>
          <w:lang w:eastAsia="en-GB"/>
        </w:rPr>
        <w:t xml:space="preserve"> In the spreadsheet ‘Quality_Assurance_651_2020.xlsx’ on Dropbox, fill in the given responses in sheet “QA 2020 scores-status”. Make</w:t>
      </w:r>
      <w:r w:rsidR="00E56F86">
        <w:rPr>
          <w:rFonts w:eastAsia="Times New Roman" w:cs="Times New Roman"/>
          <w:color w:val="4A4A4A"/>
          <w:sz w:val="21"/>
          <w:szCs w:val="21"/>
          <w:lang w:eastAsia="en-GB"/>
        </w:rPr>
        <w:t xml:space="preserve"> the</w:t>
      </w:r>
      <w:r w:rsidRPr="00D72599">
        <w:rPr>
          <w:rFonts w:eastAsia="Times New Roman" w:cs="Times New Roman"/>
          <w:color w:val="4A4A4A"/>
          <w:sz w:val="21"/>
          <w:szCs w:val="21"/>
          <w:lang w:eastAsia="en-GB"/>
        </w:rPr>
        <w:t xml:space="preserve"> following checks to scores:</w:t>
      </w:r>
    </w:p>
    <w:p w14:paraId="05C05602" w14:textId="77777777" w:rsidR="00330891" w:rsidRPr="00D72599" w:rsidRDefault="00330891" w:rsidP="00CC76CD">
      <w:pPr>
        <w:pStyle w:val="ListParagraph"/>
        <w:numPr>
          <w:ilvl w:val="1"/>
          <w:numId w:val="15"/>
        </w:numPr>
        <w:spacing w:after="0"/>
        <w:rPr>
          <w:rFonts w:eastAsia="Times New Roman" w:cs="Times New Roman"/>
          <w:color w:val="4A4A4A"/>
          <w:sz w:val="21"/>
          <w:szCs w:val="21"/>
          <w:lang w:eastAsia="en-GB"/>
        </w:rPr>
      </w:pPr>
      <w:r w:rsidRPr="00330891">
        <w:rPr>
          <w:sz w:val="21"/>
          <w:szCs w:val="21"/>
          <w:lang w:val="en-AU"/>
        </w:rPr>
        <w:t xml:space="preserve">All </w:t>
      </w:r>
      <w:r w:rsidRPr="00D72599">
        <w:rPr>
          <w:rFonts w:eastAsia="Times New Roman" w:cs="Times New Roman"/>
          <w:color w:val="4A4A4A"/>
          <w:sz w:val="21"/>
          <w:szCs w:val="21"/>
          <w:lang w:eastAsia="en-GB"/>
        </w:rPr>
        <w:t xml:space="preserve">questions answered. The official guidance is that all questions should be answered (either with a score or n/a). </w:t>
      </w:r>
    </w:p>
    <w:p w14:paraId="3EB02D58" w14:textId="0671FFDA" w:rsidR="00330891" w:rsidRPr="00D72599" w:rsidRDefault="00330891" w:rsidP="00CC76CD">
      <w:pPr>
        <w:pStyle w:val="ListParagraph"/>
        <w:numPr>
          <w:ilvl w:val="1"/>
          <w:numId w:val="15"/>
        </w:numPr>
        <w:spacing w:after="0"/>
        <w:rPr>
          <w:rFonts w:eastAsia="Times New Roman" w:cs="Times New Roman"/>
          <w:color w:val="4A4A4A"/>
          <w:sz w:val="21"/>
          <w:szCs w:val="21"/>
          <w:lang w:eastAsia="en-GB"/>
        </w:rPr>
      </w:pPr>
      <w:r w:rsidRPr="00D72599">
        <w:rPr>
          <w:rFonts w:eastAsia="Times New Roman" w:cs="Times New Roman"/>
          <w:color w:val="4A4A4A"/>
          <w:sz w:val="21"/>
          <w:szCs w:val="21"/>
          <w:lang w:eastAsia="en-GB"/>
        </w:rPr>
        <w:t xml:space="preserve">If there is confusion about whether to score or use ‘n/a’ for sub-national level questions, this list of administrative divisions by country may help in our understanding of the sub-national level(s) </w:t>
      </w:r>
      <w:hyperlink r:id="rId21" w:history="1">
        <w:r w:rsidR="005100A4" w:rsidRPr="00D72599">
          <w:rPr>
            <w:rStyle w:val="Hyperlink"/>
            <w:rFonts w:eastAsia="Times New Roman" w:cs="Times New Roman"/>
            <w:lang w:eastAsia="en-GB"/>
          </w:rPr>
          <w:t>https://en.wikipedia.org/wiki/List_of_administrative_divisions_by_countr</w:t>
        </w:r>
        <w:r w:rsidR="005100A4" w:rsidRPr="0066333E">
          <w:rPr>
            <w:rStyle w:val="Hyperlink"/>
            <w:rFonts w:eastAsia="Times New Roman" w:cs="Times New Roman"/>
            <w:lang w:eastAsia="en-GB"/>
          </w:rPr>
          <w:t xml:space="preserve">y </w:t>
        </w:r>
      </w:hyperlink>
      <w:r w:rsidR="005100A4">
        <w:rPr>
          <w:rFonts w:eastAsia="Times New Roman" w:cs="Times New Roman"/>
          <w:color w:val="4A4A4A"/>
          <w:lang w:eastAsia="en-GB"/>
        </w:rPr>
        <w:t xml:space="preserve"> </w:t>
      </w:r>
    </w:p>
    <w:p w14:paraId="07C85FAA" w14:textId="77777777" w:rsidR="00330891" w:rsidRPr="00D72599" w:rsidRDefault="00330891" w:rsidP="00CC76CD">
      <w:pPr>
        <w:pStyle w:val="ListParagraph"/>
        <w:numPr>
          <w:ilvl w:val="1"/>
          <w:numId w:val="15"/>
        </w:numPr>
        <w:spacing w:after="0"/>
        <w:rPr>
          <w:rFonts w:eastAsia="Times New Roman" w:cs="Times New Roman"/>
          <w:color w:val="4A4A4A"/>
          <w:sz w:val="21"/>
          <w:szCs w:val="21"/>
          <w:lang w:eastAsia="en-GB"/>
        </w:rPr>
      </w:pPr>
      <w:r w:rsidRPr="00D72599">
        <w:rPr>
          <w:rFonts w:eastAsia="Times New Roman" w:cs="Times New Roman"/>
          <w:color w:val="4A4A4A"/>
          <w:sz w:val="21"/>
          <w:szCs w:val="21"/>
          <w:lang w:eastAsia="en-GB"/>
        </w:rPr>
        <w:t>Scores are in range from 0-100, in increments of 10. If they only give ‘even’ scores (e.g. 0, 20, 40 etc), then they may not have understood that they can also give ‘odd’ scores (10, 30, 50 etc), if they feel their situation lies between two threshold descriptions.</w:t>
      </w:r>
    </w:p>
    <w:p w14:paraId="2D0AB64E" w14:textId="6D3B38F7" w:rsidR="00330891" w:rsidRPr="00D72599" w:rsidRDefault="00330891" w:rsidP="00CC76CD">
      <w:pPr>
        <w:pStyle w:val="ListParagraph"/>
        <w:numPr>
          <w:ilvl w:val="1"/>
          <w:numId w:val="15"/>
        </w:numPr>
        <w:spacing w:after="0"/>
        <w:rPr>
          <w:rFonts w:eastAsia="Times New Roman" w:cs="Times New Roman"/>
          <w:color w:val="4A4A4A"/>
          <w:sz w:val="21"/>
          <w:szCs w:val="21"/>
          <w:lang w:eastAsia="en-GB"/>
        </w:rPr>
      </w:pPr>
      <w:r w:rsidRPr="00D72599">
        <w:rPr>
          <w:rFonts w:eastAsia="Times New Roman" w:cs="Times New Roman"/>
          <w:color w:val="4A4A4A"/>
          <w:sz w:val="21"/>
          <w:szCs w:val="21"/>
          <w:lang w:eastAsia="en-GB"/>
        </w:rPr>
        <w:t xml:space="preserve">Any differences between ‘given’ and ‘calculated’ section scores and overall score are given in columns C – G. If the difference is greater than +/- 0.5, the cells are automatically highlighted in red using conditional formatting. </w:t>
      </w:r>
      <w:proofErr w:type="gramStart"/>
      <w:r w:rsidRPr="00D72599">
        <w:rPr>
          <w:rFonts w:eastAsia="Times New Roman" w:cs="Times New Roman"/>
          <w:color w:val="4A4A4A"/>
          <w:sz w:val="21"/>
          <w:szCs w:val="21"/>
          <w:lang w:eastAsia="en-GB"/>
        </w:rPr>
        <w:t xml:space="preserve">One  </w:t>
      </w:r>
      <w:r w:rsidR="003D6E5D">
        <w:rPr>
          <w:rFonts w:eastAsia="Times New Roman" w:cs="Times New Roman"/>
          <w:color w:val="4A4A4A"/>
          <w:sz w:val="21"/>
          <w:szCs w:val="21"/>
          <w:lang w:eastAsia="en-GB"/>
        </w:rPr>
        <w:t>must</w:t>
      </w:r>
      <w:proofErr w:type="gramEnd"/>
      <w:r w:rsidR="00E56F86">
        <w:rPr>
          <w:rFonts w:eastAsia="Times New Roman" w:cs="Times New Roman"/>
          <w:color w:val="4A4A4A"/>
          <w:sz w:val="21"/>
          <w:szCs w:val="21"/>
          <w:lang w:eastAsia="en-GB"/>
        </w:rPr>
        <w:t xml:space="preserve"> also</w:t>
      </w:r>
      <w:r w:rsidRPr="00D72599">
        <w:rPr>
          <w:rFonts w:eastAsia="Times New Roman" w:cs="Times New Roman"/>
          <w:color w:val="4A4A4A"/>
          <w:sz w:val="21"/>
          <w:szCs w:val="21"/>
          <w:lang w:eastAsia="en-GB"/>
        </w:rPr>
        <w:t xml:space="preserve"> fill in the date of last submission in column B, otherwise the differences will not be calculated. </w:t>
      </w:r>
    </w:p>
    <w:p w14:paraId="0F0094FF" w14:textId="77777777" w:rsidR="00330891" w:rsidRPr="00D72599" w:rsidRDefault="00330891" w:rsidP="00CC76CD">
      <w:pPr>
        <w:pStyle w:val="ListParagraph"/>
        <w:numPr>
          <w:ilvl w:val="1"/>
          <w:numId w:val="15"/>
        </w:numPr>
        <w:spacing w:after="0"/>
        <w:rPr>
          <w:rFonts w:eastAsia="Times New Roman" w:cs="Times New Roman"/>
          <w:color w:val="4A4A4A"/>
          <w:sz w:val="21"/>
          <w:szCs w:val="21"/>
          <w:lang w:eastAsia="en-GB"/>
        </w:rPr>
      </w:pPr>
      <w:r w:rsidRPr="00D72599">
        <w:rPr>
          <w:rFonts w:eastAsia="Times New Roman" w:cs="Times New Roman"/>
          <w:color w:val="4A4A4A"/>
          <w:sz w:val="21"/>
          <w:szCs w:val="21"/>
          <w:lang w:eastAsia="en-GB"/>
        </w:rPr>
        <w:t>Compare with baseline (2017). The QA ‘2017 Comparison’ spreadsheet automatically calculates differences. Note any negative changes (orange</w:t>
      </w:r>
      <w:proofErr w:type="gramStart"/>
      <w:r w:rsidRPr="00D72599">
        <w:rPr>
          <w:rFonts w:eastAsia="Times New Roman" w:cs="Times New Roman"/>
          <w:color w:val="4A4A4A"/>
          <w:sz w:val="21"/>
          <w:szCs w:val="21"/>
          <w:lang w:eastAsia="en-GB"/>
        </w:rPr>
        <w:t>), or</w:t>
      </w:r>
      <w:proofErr w:type="gramEnd"/>
      <w:r w:rsidRPr="00D72599">
        <w:rPr>
          <w:rFonts w:eastAsia="Times New Roman" w:cs="Times New Roman"/>
          <w:color w:val="4A4A4A"/>
          <w:sz w:val="21"/>
          <w:szCs w:val="21"/>
          <w:lang w:eastAsia="en-GB"/>
        </w:rPr>
        <w:t xml:space="preserve"> increases of more than 20 (yellow). If there are any significant/unexpected differences, the country should have given some explanation in the free text fields. </w:t>
      </w:r>
    </w:p>
    <w:p w14:paraId="2460B921" w14:textId="77777777" w:rsidR="00330891" w:rsidRPr="00D72599" w:rsidRDefault="00330891" w:rsidP="00CC76CD">
      <w:pPr>
        <w:pStyle w:val="ListParagraph"/>
        <w:numPr>
          <w:ilvl w:val="1"/>
          <w:numId w:val="15"/>
        </w:numPr>
        <w:spacing w:after="0"/>
        <w:rPr>
          <w:rFonts w:eastAsia="Times New Roman" w:cs="Times New Roman"/>
          <w:color w:val="4A4A4A"/>
          <w:sz w:val="21"/>
          <w:szCs w:val="21"/>
          <w:lang w:eastAsia="en-GB"/>
        </w:rPr>
      </w:pPr>
      <w:r w:rsidRPr="00D72599">
        <w:rPr>
          <w:rFonts w:eastAsia="Times New Roman" w:cs="Times New Roman"/>
          <w:color w:val="4A4A4A"/>
          <w:sz w:val="21"/>
          <w:szCs w:val="21"/>
          <w:lang w:eastAsia="en-GB"/>
        </w:rPr>
        <w:t>In the ‘given’ calculations (section 5 of the survey instrument), check that section averages and overall score are rounded to the nearest whole number. Rounding mistakes might occur.</w:t>
      </w:r>
    </w:p>
    <w:p w14:paraId="2DAAED33" w14:textId="77777777" w:rsidR="00330891" w:rsidRPr="00D72599" w:rsidRDefault="00330891" w:rsidP="00CC76CD">
      <w:pPr>
        <w:pStyle w:val="ListParagraph"/>
        <w:numPr>
          <w:ilvl w:val="1"/>
          <w:numId w:val="15"/>
        </w:numPr>
        <w:spacing w:after="0"/>
        <w:rPr>
          <w:rFonts w:eastAsia="Times New Roman" w:cs="Times New Roman"/>
          <w:color w:val="4A4A4A"/>
          <w:sz w:val="21"/>
          <w:szCs w:val="21"/>
          <w:lang w:eastAsia="en-GB"/>
        </w:rPr>
      </w:pPr>
      <w:r w:rsidRPr="00D72599">
        <w:rPr>
          <w:rFonts w:eastAsia="Times New Roman" w:cs="Times New Roman"/>
          <w:color w:val="4A4A4A"/>
          <w:sz w:val="21"/>
          <w:szCs w:val="21"/>
          <w:lang w:eastAsia="en-GB"/>
        </w:rPr>
        <w:t>Note: in the calculations, 0 scores are included, and N/A scores should be omitted. N/A scores should always have explanation (unless obvious – e.g. transboundary questions for island states).</w:t>
      </w:r>
    </w:p>
    <w:p w14:paraId="115A7893" w14:textId="77777777" w:rsidR="00330891" w:rsidRPr="00D72599" w:rsidRDefault="00330891" w:rsidP="00CC76CD">
      <w:pPr>
        <w:pStyle w:val="ListParagraph"/>
        <w:numPr>
          <w:ilvl w:val="1"/>
          <w:numId w:val="15"/>
        </w:numPr>
        <w:spacing w:after="0"/>
        <w:rPr>
          <w:rFonts w:eastAsia="Times New Roman" w:cs="Times New Roman"/>
          <w:color w:val="4A4A4A"/>
          <w:sz w:val="21"/>
          <w:szCs w:val="21"/>
          <w:lang w:eastAsia="en-GB"/>
        </w:rPr>
      </w:pPr>
      <w:r w:rsidRPr="00D72599">
        <w:rPr>
          <w:rFonts w:eastAsia="Times New Roman" w:cs="Times New Roman"/>
          <w:color w:val="4A4A4A"/>
          <w:sz w:val="21"/>
          <w:szCs w:val="21"/>
          <w:lang w:eastAsia="en-GB"/>
        </w:rPr>
        <w:t>Check if the final score is calculated as average of rounded section averages.</w:t>
      </w:r>
    </w:p>
    <w:p w14:paraId="56D057F9" w14:textId="68FF5B55" w:rsidR="00330891" w:rsidRPr="00330891" w:rsidRDefault="00330891" w:rsidP="00CC76CD">
      <w:pPr>
        <w:pStyle w:val="ListParagraph"/>
        <w:numPr>
          <w:ilvl w:val="1"/>
          <w:numId w:val="15"/>
        </w:numPr>
        <w:spacing w:after="0"/>
        <w:rPr>
          <w:sz w:val="21"/>
          <w:szCs w:val="21"/>
          <w:lang w:val="en-AU"/>
        </w:rPr>
      </w:pPr>
      <w:r w:rsidRPr="00D72599">
        <w:rPr>
          <w:rFonts w:eastAsia="Times New Roman" w:cs="Times New Roman"/>
          <w:color w:val="4A4A4A"/>
          <w:sz w:val="21"/>
          <w:szCs w:val="21"/>
          <w:lang w:eastAsia="en-GB"/>
        </w:rPr>
        <w:t xml:space="preserve">In the free text responses in columns (BE-BF) in the main “QA 2020-score status” tab, for assigning Low/ Medium/ High categories the following criteria should be followed: </w:t>
      </w:r>
      <w:r w:rsidRPr="00D72599">
        <w:rPr>
          <w:rFonts w:eastAsia="Times New Roman" w:cs="Times New Roman"/>
          <w:color w:val="4A4A4A"/>
          <w:sz w:val="21"/>
          <w:szCs w:val="21"/>
          <w:u w:val="single"/>
          <w:lang w:eastAsia="en-GB"/>
        </w:rPr>
        <w:t>Low:</w:t>
      </w:r>
      <w:r w:rsidRPr="00D72599">
        <w:rPr>
          <w:rFonts w:eastAsia="Times New Roman" w:cs="Times New Roman"/>
          <w:color w:val="4A4A4A"/>
          <w:sz w:val="21"/>
          <w:szCs w:val="21"/>
          <w:lang w:eastAsia="en-GB"/>
        </w:rPr>
        <w:t xml:space="preserve"> Less than three quarters of questions have responses and/or responses are poor quality. </w:t>
      </w:r>
      <w:r w:rsidRPr="00D72599">
        <w:rPr>
          <w:rFonts w:eastAsia="Times New Roman" w:cs="Times New Roman"/>
          <w:color w:val="4A4A4A"/>
          <w:sz w:val="21"/>
          <w:szCs w:val="21"/>
          <w:u w:val="single"/>
          <w:lang w:eastAsia="en-GB"/>
        </w:rPr>
        <w:t>Medium:</w:t>
      </w:r>
      <w:r w:rsidRPr="00D72599">
        <w:rPr>
          <w:rFonts w:eastAsia="Times New Roman" w:cs="Times New Roman"/>
          <w:color w:val="4A4A4A"/>
          <w:sz w:val="21"/>
          <w:szCs w:val="21"/>
          <w:lang w:eastAsia="en-GB"/>
        </w:rPr>
        <w:t xml:space="preserve"> At least three quarters of the questions have responses, and/or responses are </w:t>
      </w:r>
      <w:r w:rsidRPr="00D72599">
        <w:rPr>
          <w:rFonts w:eastAsia="Times New Roman" w:cs="Times New Roman"/>
          <w:color w:val="4A4A4A"/>
          <w:sz w:val="21"/>
          <w:szCs w:val="21"/>
          <w:lang w:eastAsia="en-GB"/>
        </w:rPr>
        <w:lastRenderedPageBreak/>
        <w:t xml:space="preserve">varying quality. Each question and the points make sense and are useful. </w:t>
      </w:r>
      <w:r w:rsidRPr="00D72599">
        <w:rPr>
          <w:rFonts w:eastAsia="Times New Roman" w:cs="Times New Roman"/>
          <w:color w:val="4A4A4A"/>
          <w:sz w:val="21"/>
          <w:szCs w:val="21"/>
          <w:u w:val="single"/>
          <w:lang w:eastAsia="en-GB"/>
        </w:rPr>
        <w:t>High:</w:t>
      </w:r>
      <w:r w:rsidRPr="00D72599">
        <w:rPr>
          <w:rFonts w:eastAsia="Times New Roman" w:cs="Times New Roman"/>
          <w:color w:val="4A4A4A"/>
          <w:sz w:val="21"/>
          <w:szCs w:val="21"/>
          <w:lang w:eastAsia="en-GB"/>
        </w:rPr>
        <w:t xml:space="preserve"> All questions have responses and most responses are high quality. NB: Quality responses mean ones that are useful/informative/detailed and can contribute to stakeholder understanding/discussions and planning</w:t>
      </w:r>
      <w:r w:rsidRPr="00330891">
        <w:rPr>
          <w:sz w:val="21"/>
          <w:szCs w:val="21"/>
          <w:lang w:val="en-AU"/>
        </w:rPr>
        <w:t>.</w:t>
      </w:r>
    </w:p>
    <w:p w14:paraId="11CBCA9E" w14:textId="77777777" w:rsidR="00330891" w:rsidRPr="00330891" w:rsidRDefault="00330891" w:rsidP="00420665">
      <w:pPr>
        <w:pStyle w:val="ListParagraph"/>
        <w:spacing w:after="0"/>
        <w:ind w:left="1440"/>
        <w:rPr>
          <w:sz w:val="21"/>
          <w:szCs w:val="21"/>
          <w:lang w:val="en-AU"/>
        </w:rPr>
      </w:pPr>
    </w:p>
    <w:p w14:paraId="5228DD19" w14:textId="77777777" w:rsidR="00330891" w:rsidRPr="00E1472C" w:rsidRDefault="00330891" w:rsidP="00834A8B">
      <w:pPr>
        <w:pStyle w:val="ListParagraph"/>
        <w:numPr>
          <w:ilvl w:val="0"/>
          <w:numId w:val="7"/>
        </w:numPr>
        <w:spacing w:after="0"/>
        <w:rPr>
          <w:b/>
          <w:color w:val="4A4A4A"/>
          <w:sz w:val="21"/>
          <w:szCs w:val="21"/>
          <w:lang w:val="en-AU"/>
        </w:rPr>
      </w:pPr>
      <w:r w:rsidRPr="00E67369">
        <w:rPr>
          <w:rFonts w:eastAsia="Times New Roman" w:cs="Times New Roman"/>
          <w:b/>
          <w:bCs/>
          <w:color w:val="4A4A4A"/>
          <w:sz w:val="21"/>
          <w:szCs w:val="21"/>
          <w:lang w:eastAsia="en-GB"/>
        </w:rPr>
        <w:t>Free text fields:</w:t>
      </w:r>
      <w:r w:rsidRPr="00E1472C">
        <w:rPr>
          <w:b/>
          <w:color w:val="4A4A4A"/>
          <w:sz w:val="21"/>
          <w:szCs w:val="21"/>
          <w:lang w:val="en-AU"/>
        </w:rPr>
        <w:t xml:space="preserve"> </w:t>
      </w:r>
      <w:r w:rsidRPr="00E1472C">
        <w:rPr>
          <w:color w:val="4A4A4A"/>
          <w:sz w:val="21"/>
          <w:szCs w:val="21"/>
          <w:lang w:val="en-AU"/>
        </w:rPr>
        <w:t xml:space="preserve">Using the ‘text’ tabs: </w:t>
      </w:r>
    </w:p>
    <w:p w14:paraId="04B6EFC9" w14:textId="77777777" w:rsidR="00330891" w:rsidRPr="00E67369" w:rsidRDefault="00330891" w:rsidP="00292599">
      <w:pPr>
        <w:pStyle w:val="ListParagraph"/>
        <w:numPr>
          <w:ilvl w:val="0"/>
          <w:numId w:val="17"/>
        </w:numPr>
        <w:spacing w:after="0"/>
        <w:rPr>
          <w:rFonts w:eastAsia="Times New Roman" w:cs="Times New Roman"/>
          <w:color w:val="4A4A4A"/>
          <w:sz w:val="21"/>
          <w:szCs w:val="21"/>
          <w:lang w:eastAsia="en-GB"/>
        </w:rPr>
      </w:pPr>
      <w:r w:rsidRPr="00E67369">
        <w:rPr>
          <w:rFonts w:eastAsia="Times New Roman" w:cs="Times New Roman"/>
          <w:color w:val="4A4A4A"/>
          <w:sz w:val="21"/>
          <w:szCs w:val="21"/>
          <w:lang w:eastAsia="en-GB"/>
        </w:rPr>
        <w:t>Check that the free text make sense in the context of the score (and vice versa) (particularly in the case of (n/</w:t>
      </w:r>
      <w:proofErr w:type="gramStart"/>
      <w:r w:rsidRPr="00E67369">
        <w:rPr>
          <w:rFonts w:eastAsia="Times New Roman" w:cs="Times New Roman"/>
          <w:color w:val="4A4A4A"/>
          <w:sz w:val="21"/>
          <w:szCs w:val="21"/>
          <w:lang w:eastAsia="en-GB"/>
        </w:rPr>
        <w:t>a or</w:t>
      </w:r>
      <w:proofErr w:type="gramEnd"/>
      <w:r w:rsidRPr="00E67369">
        <w:rPr>
          <w:rFonts w:eastAsia="Times New Roman" w:cs="Times New Roman"/>
          <w:color w:val="4A4A4A"/>
          <w:sz w:val="21"/>
          <w:szCs w:val="21"/>
          <w:lang w:eastAsia="en-GB"/>
        </w:rPr>
        <w:t xml:space="preserve"> 100 responses).</w:t>
      </w:r>
    </w:p>
    <w:p w14:paraId="7919B47A" w14:textId="77777777" w:rsidR="00330891" w:rsidRPr="00E67369" w:rsidRDefault="00330891" w:rsidP="00292599">
      <w:pPr>
        <w:pStyle w:val="ListParagraph"/>
        <w:numPr>
          <w:ilvl w:val="0"/>
          <w:numId w:val="17"/>
        </w:numPr>
        <w:spacing w:after="0"/>
        <w:rPr>
          <w:rFonts w:eastAsia="Times New Roman" w:cs="Times New Roman"/>
          <w:color w:val="4A4A4A"/>
          <w:sz w:val="21"/>
          <w:szCs w:val="21"/>
          <w:lang w:eastAsia="en-GB"/>
        </w:rPr>
      </w:pPr>
      <w:r w:rsidRPr="00E67369">
        <w:rPr>
          <w:rFonts w:eastAsia="Times New Roman" w:cs="Times New Roman"/>
          <w:color w:val="4A4A4A"/>
          <w:sz w:val="21"/>
          <w:szCs w:val="21"/>
          <w:lang w:eastAsia="en-GB"/>
        </w:rPr>
        <w:t xml:space="preserve">Check that n/a (not applicable) is used appropriately. </w:t>
      </w:r>
      <w:proofErr w:type="gramStart"/>
      <w:r w:rsidRPr="00E67369">
        <w:rPr>
          <w:rFonts w:eastAsia="Times New Roman" w:cs="Times New Roman"/>
          <w:color w:val="4A4A4A"/>
          <w:sz w:val="21"/>
          <w:szCs w:val="21"/>
          <w:lang w:eastAsia="en-GB"/>
        </w:rPr>
        <w:t>i.e.</w:t>
      </w:r>
      <w:proofErr w:type="gramEnd"/>
      <w:r w:rsidRPr="00E67369">
        <w:rPr>
          <w:rFonts w:eastAsia="Times New Roman" w:cs="Times New Roman"/>
          <w:color w:val="4A4A4A"/>
          <w:sz w:val="21"/>
          <w:szCs w:val="21"/>
          <w:lang w:eastAsia="en-GB"/>
        </w:rPr>
        <w:t xml:space="preserve"> only if the question is not applicable to the country. In some cases, a score of zero should be given, and in others, perhaps they need more help to figure out how to answer the question. </w:t>
      </w:r>
    </w:p>
    <w:p w14:paraId="6A2DB0F1" w14:textId="1895C23A" w:rsidR="00330891" w:rsidRPr="00E67369" w:rsidRDefault="00330891" w:rsidP="00292599">
      <w:pPr>
        <w:pStyle w:val="ListParagraph"/>
        <w:numPr>
          <w:ilvl w:val="0"/>
          <w:numId w:val="17"/>
        </w:numPr>
        <w:spacing w:after="0"/>
        <w:rPr>
          <w:rFonts w:eastAsia="Times New Roman" w:cs="Times New Roman"/>
          <w:color w:val="4A4A4A"/>
          <w:sz w:val="21"/>
          <w:szCs w:val="21"/>
          <w:lang w:eastAsia="en-GB"/>
        </w:rPr>
      </w:pPr>
      <w:r w:rsidRPr="00E67369">
        <w:rPr>
          <w:rFonts w:eastAsia="Times New Roman" w:cs="Times New Roman"/>
          <w:color w:val="4A4A4A"/>
          <w:sz w:val="21"/>
          <w:szCs w:val="21"/>
          <w:lang w:eastAsia="en-GB"/>
        </w:rPr>
        <w:t>Guidance for assigning Low/ Medium/ High categories: Low:  Blank or not useful. Medium:  Some text and details. High:  Useful amount of text and detail than can contribute to stakeholder understanding/consensus and planning.</w:t>
      </w:r>
    </w:p>
    <w:p w14:paraId="4448D87A" w14:textId="77777777" w:rsidR="00C46CA2" w:rsidRPr="00E1472C" w:rsidRDefault="00C46CA2" w:rsidP="00D72599">
      <w:pPr>
        <w:spacing w:after="0" w:line="240" w:lineRule="auto"/>
        <w:ind w:left="1080"/>
        <w:rPr>
          <w:color w:val="4A4A4A"/>
          <w:sz w:val="21"/>
          <w:szCs w:val="21"/>
          <w:lang w:val="en-AU"/>
        </w:rPr>
      </w:pPr>
    </w:p>
    <w:p w14:paraId="21781504" w14:textId="77777777" w:rsidR="00330891" w:rsidRPr="00330891" w:rsidRDefault="00330891" w:rsidP="00D72599">
      <w:pPr>
        <w:spacing w:after="0"/>
        <w:ind w:left="360"/>
        <w:rPr>
          <w:sz w:val="21"/>
          <w:szCs w:val="21"/>
          <w:lang w:val="en-AU"/>
        </w:rPr>
      </w:pPr>
      <w:r w:rsidRPr="00E1472C">
        <w:rPr>
          <w:b/>
          <w:color w:val="4A4A4A"/>
          <w:sz w:val="21"/>
          <w:szCs w:val="21"/>
          <w:lang w:val="en-AU"/>
        </w:rPr>
        <w:t>ANNEXES</w:t>
      </w:r>
      <w:r w:rsidRPr="00330891">
        <w:rPr>
          <w:sz w:val="21"/>
          <w:szCs w:val="21"/>
          <w:lang w:val="en-AU"/>
        </w:rPr>
        <w:t>. </w:t>
      </w:r>
    </w:p>
    <w:p w14:paraId="16CB0310" w14:textId="77777777" w:rsidR="00330891" w:rsidRPr="00D72599" w:rsidRDefault="00330891">
      <w:pPr>
        <w:pStyle w:val="ListParagraph"/>
        <w:numPr>
          <w:ilvl w:val="0"/>
          <w:numId w:val="7"/>
        </w:numPr>
        <w:spacing w:after="0" w:line="240" w:lineRule="auto"/>
        <w:rPr>
          <w:rFonts w:eastAsia="Times New Roman" w:cs="Times New Roman"/>
          <w:b/>
          <w:bCs/>
          <w:color w:val="4A4A4A"/>
          <w:sz w:val="21"/>
          <w:szCs w:val="21"/>
          <w:lang w:eastAsia="en-GB"/>
        </w:rPr>
      </w:pPr>
      <w:r w:rsidRPr="00D72599">
        <w:rPr>
          <w:rFonts w:eastAsia="Times New Roman" w:cs="Times New Roman"/>
          <w:b/>
          <w:bCs/>
          <w:color w:val="4A4A4A"/>
          <w:sz w:val="21"/>
          <w:szCs w:val="21"/>
          <w:lang w:eastAsia="en-GB"/>
        </w:rPr>
        <w:t>Annex B: Transboundary level:</w:t>
      </w:r>
    </w:p>
    <w:p w14:paraId="054130AB" w14:textId="2EFE304E" w:rsidR="00330891" w:rsidRPr="00D72599" w:rsidRDefault="00330891" w:rsidP="00292599">
      <w:pPr>
        <w:pStyle w:val="ListParagraph"/>
        <w:numPr>
          <w:ilvl w:val="0"/>
          <w:numId w:val="18"/>
        </w:numPr>
        <w:spacing w:after="0"/>
        <w:rPr>
          <w:rFonts w:eastAsia="Times New Roman" w:cs="Times New Roman"/>
          <w:color w:val="4A4A4A"/>
          <w:sz w:val="21"/>
          <w:szCs w:val="21"/>
          <w:lang w:eastAsia="en-GB"/>
        </w:rPr>
      </w:pPr>
      <w:r w:rsidRPr="00D72599">
        <w:rPr>
          <w:rFonts w:eastAsia="Times New Roman" w:cs="Times New Roman"/>
          <w:color w:val="4A4A4A"/>
          <w:sz w:val="21"/>
          <w:szCs w:val="21"/>
          <w:lang w:eastAsia="en-GB"/>
        </w:rPr>
        <w:t xml:space="preserve">Check the ‘transboundary basins’ table. A full list of transboundary basins can be found here: </w:t>
      </w:r>
      <w:hyperlink r:id="rId22" w:history="1">
        <w:r w:rsidRPr="00384E7E">
          <w:rPr>
            <w:rStyle w:val="Hyperlink"/>
            <w:sz w:val="21"/>
          </w:rPr>
          <w:t>http://twap-rivers.org/indicators/Report.ashx?type=IndicatorResultsSummary</w:t>
        </w:r>
      </w:hyperlink>
      <w:r w:rsidRPr="008E1C4E">
        <w:rPr>
          <w:rFonts w:eastAsia="Times New Roman" w:cs="Times New Roman"/>
          <w:color w:val="4A4A4A"/>
          <w:sz w:val="21"/>
          <w:szCs w:val="21"/>
          <w:lang w:eastAsia="en-GB"/>
        </w:rPr>
        <w:t>.</w:t>
      </w:r>
      <w:r w:rsidRPr="00D72599">
        <w:rPr>
          <w:rFonts w:eastAsia="Times New Roman" w:cs="Times New Roman"/>
          <w:color w:val="4A4A4A"/>
          <w:sz w:val="21"/>
          <w:szCs w:val="21"/>
          <w:lang w:eastAsia="en-GB"/>
        </w:rPr>
        <w:t xml:space="preserve"> Go to the final worksheet/tab to see the countries in each basin. You can also check the maps here: </w:t>
      </w:r>
      <w:hyperlink r:id="rId23" w:history="1">
        <w:r w:rsidR="005100A4" w:rsidRPr="00384E7E">
          <w:rPr>
            <w:rStyle w:val="Hyperlink"/>
            <w:sz w:val="21"/>
          </w:rPr>
          <w:t xml:space="preserve">http://twap-rivers.org/indicators/ </w:t>
        </w:r>
      </w:hyperlink>
      <w:r w:rsidRPr="00D72599">
        <w:rPr>
          <w:rFonts w:eastAsia="Times New Roman" w:cs="Times New Roman"/>
          <w:color w:val="4A4A4A"/>
          <w:sz w:val="21"/>
          <w:szCs w:val="21"/>
          <w:lang w:eastAsia="en-GB"/>
        </w:rPr>
        <w:t>to see if the basin is likely to be important for that country, or if there is only a small portion of the basin in their country (in which case they may not list it).</w:t>
      </w:r>
    </w:p>
    <w:p w14:paraId="30F4B7E9" w14:textId="275FB4B5" w:rsidR="00330891" w:rsidRPr="00D72599" w:rsidRDefault="00330891" w:rsidP="00292599">
      <w:pPr>
        <w:pStyle w:val="ListParagraph"/>
        <w:numPr>
          <w:ilvl w:val="0"/>
          <w:numId w:val="18"/>
        </w:numPr>
        <w:spacing w:after="0"/>
        <w:rPr>
          <w:rFonts w:eastAsia="Times New Roman" w:cs="Times New Roman"/>
          <w:color w:val="4A4A4A"/>
          <w:sz w:val="21"/>
          <w:szCs w:val="21"/>
          <w:lang w:eastAsia="en-GB"/>
        </w:rPr>
      </w:pPr>
      <w:r w:rsidRPr="00D72599">
        <w:rPr>
          <w:rFonts w:eastAsia="Times New Roman" w:cs="Times New Roman"/>
          <w:color w:val="4A4A4A"/>
          <w:sz w:val="21"/>
          <w:szCs w:val="21"/>
          <w:lang w:eastAsia="en-GB"/>
        </w:rPr>
        <w:t xml:space="preserve">For transboundary aquifers, check: </w:t>
      </w:r>
      <w:hyperlink r:id="rId24" w:history="1">
        <w:r w:rsidR="00E95367" w:rsidRPr="00E95367">
          <w:rPr>
            <w:rStyle w:val="Hyperlink"/>
          </w:rPr>
          <w:t>https://ggis.un-igrac.</w:t>
        </w:r>
        <w:r w:rsidR="00E95367" w:rsidRPr="0021436D">
          <w:rPr>
            <w:rStyle w:val="Hyperlink"/>
          </w:rPr>
          <w:t>org/view/twap</w:t>
        </w:r>
      </w:hyperlink>
      <w:r w:rsidR="005100A4">
        <w:rPr>
          <w:rFonts w:eastAsia="Times New Roman" w:cs="Times New Roman"/>
          <w:color w:val="4A4A4A"/>
          <w:lang w:eastAsia="en-GB"/>
        </w:rPr>
        <w:t xml:space="preserve"> </w:t>
      </w:r>
    </w:p>
    <w:p w14:paraId="37402A6E" w14:textId="77777777" w:rsidR="00330891" w:rsidRPr="00D72599" w:rsidRDefault="00330891" w:rsidP="00292599">
      <w:pPr>
        <w:pStyle w:val="ListParagraph"/>
        <w:numPr>
          <w:ilvl w:val="0"/>
          <w:numId w:val="18"/>
        </w:numPr>
        <w:spacing w:after="0"/>
        <w:rPr>
          <w:rFonts w:eastAsia="Times New Roman" w:cs="Times New Roman"/>
          <w:color w:val="4A4A4A"/>
          <w:sz w:val="21"/>
          <w:szCs w:val="21"/>
          <w:lang w:eastAsia="en-GB"/>
        </w:rPr>
      </w:pPr>
      <w:r w:rsidRPr="00D72599">
        <w:rPr>
          <w:rFonts w:eastAsia="Times New Roman" w:cs="Times New Roman"/>
          <w:color w:val="4A4A4A"/>
          <w:sz w:val="21"/>
          <w:szCs w:val="21"/>
          <w:lang w:eastAsia="en-GB"/>
        </w:rPr>
        <w:t xml:space="preserve">In case any sub-basins are listed, check that the main basin name is included in brackets. </w:t>
      </w:r>
    </w:p>
    <w:p w14:paraId="33A88E0F" w14:textId="77777777" w:rsidR="00330891" w:rsidRPr="00D72599" w:rsidRDefault="00330891" w:rsidP="00292599">
      <w:pPr>
        <w:pStyle w:val="ListParagraph"/>
        <w:numPr>
          <w:ilvl w:val="0"/>
          <w:numId w:val="18"/>
        </w:numPr>
        <w:spacing w:after="0"/>
        <w:rPr>
          <w:rFonts w:eastAsia="Times New Roman" w:cs="Times New Roman"/>
          <w:color w:val="4A4A4A"/>
          <w:sz w:val="21"/>
          <w:szCs w:val="21"/>
          <w:lang w:eastAsia="en-GB"/>
        </w:rPr>
      </w:pPr>
      <w:r w:rsidRPr="00D72599">
        <w:rPr>
          <w:rFonts w:eastAsia="Times New Roman" w:cs="Times New Roman"/>
          <w:color w:val="4A4A4A"/>
          <w:sz w:val="21"/>
          <w:szCs w:val="21"/>
          <w:lang w:eastAsia="en-GB"/>
        </w:rPr>
        <w:t>Check the transboundary questions: 1.2c; 2.2e; 3.2d; and 4.</w:t>
      </w:r>
      <w:proofErr w:type="gramStart"/>
      <w:r w:rsidRPr="00D72599">
        <w:rPr>
          <w:rFonts w:eastAsia="Times New Roman" w:cs="Times New Roman"/>
          <w:color w:val="4A4A4A"/>
          <w:sz w:val="21"/>
          <w:szCs w:val="21"/>
          <w:lang w:eastAsia="en-GB"/>
        </w:rPr>
        <w:t>2c, and</w:t>
      </w:r>
      <w:proofErr w:type="gramEnd"/>
      <w:r w:rsidRPr="00D72599">
        <w:rPr>
          <w:rFonts w:eastAsia="Times New Roman" w:cs="Times New Roman"/>
          <w:color w:val="4A4A4A"/>
          <w:sz w:val="21"/>
          <w:szCs w:val="21"/>
          <w:lang w:eastAsia="en-GB"/>
        </w:rPr>
        <w:t xml:space="preserve"> see if these make sense in the context of the country. </w:t>
      </w:r>
    </w:p>
    <w:p w14:paraId="645EB5F4" w14:textId="40913C7A" w:rsidR="00330891" w:rsidRPr="00330891" w:rsidRDefault="00330891" w:rsidP="00292599">
      <w:pPr>
        <w:pStyle w:val="ListParagraph"/>
        <w:numPr>
          <w:ilvl w:val="0"/>
          <w:numId w:val="18"/>
        </w:numPr>
        <w:spacing w:after="0"/>
        <w:rPr>
          <w:sz w:val="21"/>
          <w:szCs w:val="21"/>
          <w:lang w:val="en-AU"/>
        </w:rPr>
      </w:pPr>
      <w:r w:rsidRPr="00D72599">
        <w:rPr>
          <w:rFonts w:eastAsia="Times New Roman" w:cs="Times New Roman"/>
          <w:color w:val="4A4A4A"/>
          <w:sz w:val="21"/>
          <w:szCs w:val="21"/>
          <w:lang w:eastAsia="en-GB"/>
        </w:rPr>
        <w:t>Island countries should give ‘n/a’ for all the questions that relate to transboundary waters</w:t>
      </w:r>
      <w:r w:rsidRPr="00330891">
        <w:rPr>
          <w:sz w:val="21"/>
          <w:szCs w:val="21"/>
          <w:lang w:val="en-AU"/>
        </w:rPr>
        <w:t xml:space="preserve">. </w:t>
      </w:r>
    </w:p>
    <w:p w14:paraId="2077500C" w14:textId="1EC9E0C0" w:rsidR="00330891" w:rsidRPr="00D72599" w:rsidRDefault="00330891" w:rsidP="00834A8B">
      <w:pPr>
        <w:pStyle w:val="ListParagraph"/>
        <w:numPr>
          <w:ilvl w:val="0"/>
          <w:numId w:val="7"/>
        </w:numPr>
        <w:spacing w:after="0"/>
        <w:rPr>
          <w:rFonts w:eastAsia="Times New Roman" w:cs="Times New Roman"/>
          <w:color w:val="4A4A4A"/>
          <w:sz w:val="21"/>
          <w:szCs w:val="21"/>
          <w:lang w:eastAsia="en-GB"/>
        </w:rPr>
      </w:pPr>
      <w:r w:rsidRPr="00D72599">
        <w:rPr>
          <w:rFonts w:eastAsia="Times New Roman" w:cs="Times New Roman"/>
          <w:b/>
          <w:bCs/>
          <w:color w:val="4A4A4A"/>
          <w:sz w:val="21"/>
          <w:szCs w:val="21"/>
          <w:lang w:eastAsia="en-GB"/>
        </w:rPr>
        <w:t>Annex C: Barriers / enablers:</w:t>
      </w:r>
      <w:r w:rsidRPr="00D72599">
        <w:rPr>
          <w:rFonts w:eastAsia="Times New Roman" w:cs="Times New Roman"/>
          <w:color w:val="4A4A4A"/>
          <w:sz w:val="21"/>
          <w:szCs w:val="21"/>
          <w:lang w:eastAsia="en-GB"/>
        </w:rPr>
        <w:t xml:space="preserve"> </w:t>
      </w:r>
      <w:r w:rsidR="008E1C4E">
        <w:rPr>
          <w:rFonts w:eastAsia="Times New Roman" w:cs="Times New Roman"/>
          <w:color w:val="4A4A4A"/>
          <w:sz w:val="21"/>
          <w:szCs w:val="21"/>
          <w:lang w:eastAsia="en-GB"/>
        </w:rPr>
        <w:t>I</w:t>
      </w:r>
      <w:r w:rsidRPr="00D72599">
        <w:rPr>
          <w:rFonts w:eastAsia="Times New Roman" w:cs="Times New Roman"/>
          <w:color w:val="4A4A4A"/>
          <w:sz w:val="21"/>
          <w:szCs w:val="21"/>
          <w:lang w:eastAsia="en-GB"/>
        </w:rPr>
        <w:t xml:space="preserve">s this filled out? Low, moderate, or high level of information? </w:t>
      </w:r>
    </w:p>
    <w:p w14:paraId="1C46A03F" w14:textId="77777777" w:rsidR="00330891" w:rsidRPr="00D72599" w:rsidRDefault="00330891" w:rsidP="00292599">
      <w:pPr>
        <w:pStyle w:val="ListParagraph"/>
        <w:numPr>
          <w:ilvl w:val="0"/>
          <w:numId w:val="19"/>
        </w:numPr>
        <w:spacing w:after="0"/>
        <w:rPr>
          <w:rFonts w:eastAsia="Times New Roman" w:cs="Times New Roman"/>
          <w:color w:val="4A4A4A"/>
          <w:sz w:val="21"/>
          <w:szCs w:val="21"/>
          <w:lang w:eastAsia="en-GB"/>
        </w:rPr>
      </w:pPr>
      <w:r w:rsidRPr="00D72599">
        <w:rPr>
          <w:rFonts w:eastAsia="Times New Roman" w:cs="Times New Roman"/>
          <w:color w:val="4A4A4A"/>
          <w:sz w:val="21"/>
          <w:szCs w:val="21"/>
          <w:lang w:eastAsia="en-GB"/>
        </w:rPr>
        <w:t xml:space="preserve"> Guidance for assigning Low/ Medium/ High categories: </w:t>
      </w:r>
      <w:r w:rsidRPr="00D72599">
        <w:rPr>
          <w:rFonts w:eastAsia="Times New Roman" w:cs="Times New Roman"/>
          <w:color w:val="4A4A4A"/>
          <w:sz w:val="21"/>
          <w:szCs w:val="21"/>
          <w:u w:val="single"/>
          <w:lang w:eastAsia="en-GB"/>
        </w:rPr>
        <w:t>Low:</w:t>
      </w:r>
      <w:r w:rsidRPr="00D72599">
        <w:rPr>
          <w:rFonts w:eastAsia="Times New Roman" w:cs="Times New Roman"/>
          <w:color w:val="4A4A4A"/>
          <w:sz w:val="21"/>
          <w:szCs w:val="21"/>
          <w:lang w:eastAsia="en-GB"/>
        </w:rPr>
        <w:t xml:space="preserve"> Less than 1 point for each question. </w:t>
      </w:r>
      <w:r w:rsidRPr="00D72599">
        <w:rPr>
          <w:rFonts w:eastAsia="Times New Roman" w:cs="Times New Roman"/>
          <w:color w:val="4A4A4A"/>
          <w:sz w:val="21"/>
          <w:szCs w:val="21"/>
          <w:u w:val="single"/>
          <w:lang w:eastAsia="en-GB"/>
        </w:rPr>
        <w:t>Medium:</w:t>
      </w:r>
      <w:r w:rsidRPr="00D72599">
        <w:rPr>
          <w:rFonts w:eastAsia="Times New Roman" w:cs="Times New Roman"/>
          <w:color w:val="4A4A4A"/>
          <w:sz w:val="21"/>
          <w:szCs w:val="21"/>
          <w:lang w:eastAsia="en-GB"/>
        </w:rPr>
        <w:t xml:space="preserve"> At least one point for each question and the points make sense and are useful. </w:t>
      </w:r>
      <w:r w:rsidRPr="00D72599">
        <w:rPr>
          <w:rFonts w:eastAsia="Times New Roman" w:cs="Times New Roman"/>
          <w:color w:val="4A4A4A"/>
          <w:sz w:val="21"/>
          <w:szCs w:val="21"/>
          <w:u w:val="single"/>
          <w:lang w:eastAsia="en-GB"/>
        </w:rPr>
        <w:t>High:</w:t>
      </w:r>
      <w:r w:rsidRPr="00D72599">
        <w:rPr>
          <w:rFonts w:eastAsia="Times New Roman" w:cs="Times New Roman"/>
          <w:color w:val="4A4A4A"/>
          <w:sz w:val="21"/>
          <w:szCs w:val="21"/>
          <w:lang w:eastAsia="en-GB"/>
        </w:rPr>
        <w:t xml:space="preserve"> Useful analysis that would contribute to future planning.</w:t>
      </w:r>
    </w:p>
    <w:p w14:paraId="5C7E5A17" w14:textId="77777777" w:rsidR="00330891" w:rsidRPr="00D72599" w:rsidRDefault="00330891" w:rsidP="00834A8B">
      <w:pPr>
        <w:pStyle w:val="ListParagraph"/>
        <w:numPr>
          <w:ilvl w:val="0"/>
          <w:numId w:val="7"/>
        </w:numPr>
        <w:spacing w:after="0"/>
        <w:rPr>
          <w:rFonts w:eastAsia="Times New Roman" w:cs="Times New Roman"/>
          <w:color w:val="4A4A4A"/>
          <w:sz w:val="21"/>
          <w:szCs w:val="21"/>
          <w:lang w:eastAsia="en-GB"/>
        </w:rPr>
      </w:pPr>
      <w:r w:rsidRPr="00D72599">
        <w:rPr>
          <w:rFonts w:eastAsia="Times New Roman" w:cs="Times New Roman"/>
          <w:b/>
          <w:bCs/>
          <w:color w:val="4A4A4A"/>
          <w:sz w:val="21"/>
          <w:szCs w:val="21"/>
          <w:lang w:eastAsia="en-GB"/>
        </w:rPr>
        <w:t>Annex D:</w:t>
      </w:r>
      <w:r w:rsidRPr="00D72599">
        <w:rPr>
          <w:rFonts w:eastAsia="Times New Roman" w:cs="Times New Roman"/>
          <w:color w:val="4A4A4A"/>
          <w:sz w:val="21"/>
          <w:szCs w:val="21"/>
          <w:lang w:eastAsia="en-GB"/>
        </w:rPr>
        <w:t xml:space="preserve"> Priorities: completed (Yes/No/Partially)? Any info in the ‘comments’ field (low, moderate, high level of info there?)</w:t>
      </w:r>
    </w:p>
    <w:p w14:paraId="76530FF3" w14:textId="77777777" w:rsidR="00330891" w:rsidRPr="00D72599" w:rsidRDefault="00330891" w:rsidP="00292599">
      <w:pPr>
        <w:pStyle w:val="ListParagraph"/>
        <w:numPr>
          <w:ilvl w:val="0"/>
          <w:numId w:val="20"/>
        </w:numPr>
        <w:spacing w:after="0"/>
        <w:rPr>
          <w:rFonts w:eastAsia="Times New Roman" w:cs="Times New Roman"/>
          <w:color w:val="4A4A4A"/>
          <w:sz w:val="21"/>
          <w:szCs w:val="21"/>
          <w:lang w:eastAsia="en-GB"/>
        </w:rPr>
      </w:pPr>
      <w:r w:rsidRPr="00D72599">
        <w:rPr>
          <w:rFonts w:eastAsia="Times New Roman" w:cs="Times New Roman"/>
          <w:color w:val="4A4A4A"/>
          <w:sz w:val="21"/>
          <w:szCs w:val="21"/>
          <w:lang w:eastAsia="en-GB"/>
        </w:rPr>
        <w:t>Guidance for assigning Low/ Medium/ High categories: Low:  Blank to few words. Medium: A few useful points. High: A longer analysis/ commentary.</w:t>
      </w:r>
    </w:p>
    <w:p w14:paraId="6B97D72F" w14:textId="41BFE3B7" w:rsidR="00330891" w:rsidRPr="00D72599" w:rsidRDefault="00330891" w:rsidP="00834A8B">
      <w:pPr>
        <w:pStyle w:val="ListParagraph"/>
        <w:numPr>
          <w:ilvl w:val="0"/>
          <w:numId w:val="7"/>
        </w:numPr>
        <w:spacing w:after="0"/>
        <w:rPr>
          <w:rFonts w:eastAsia="Times New Roman" w:cs="Times New Roman"/>
          <w:color w:val="4A4A4A"/>
          <w:sz w:val="21"/>
          <w:szCs w:val="21"/>
          <w:lang w:eastAsia="en-GB"/>
        </w:rPr>
      </w:pPr>
      <w:r w:rsidRPr="00D72599">
        <w:rPr>
          <w:rFonts w:eastAsia="Times New Roman" w:cs="Times New Roman"/>
          <w:b/>
          <w:bCs/>
          <w:color w:val="4A4A4A"/>
          <w:sz w:val="21"/>
          <w:szCs w:val="21"/>
          <w:lang w:eastAsia="en-GB"/>
        </w:rPr>
        <w:t>Annex E: Country process:</w:t>
      </w:r>
      <w:r w:rsidRPr="00D72599">
        <w:rPr>
          <w:rFonts w:eastAsia="Times New Roman" w:cs="Times New Roman"/>
          <w:color w:val="4A4A4A"/>
          <w:sz w:val="21"/>
          <w:szCs w:val="21"/>
          <w:lang w:eastAsia="en-GB"/>
        </w:rPr>
        <w:t xml:space="preserve"> </w:t>
      </w:r>
      <w:r w:rsidR="008E1C4E">
        <w:rPr>
          <w:rFonts w:eastAsia="Times New Roman" w:cs="Times New Roman"/>
          <w:color w:val="4A4A4A"/>
          <w:sz w:val="21"/>
          <w:szCs w:val="21"/>
          <w:lang w:eastAsia="en-GB"/>
        </w:rPr>
        <w:t>L</w:t>
      </w:r>
      <w:r w:rsidRPr="00D72599">
        <w:rPr>
          <w:rFonts w:eastAsia="Times New Roman" w:cs="Times New Roman"/>
          <w:color w:val="4A4A4A"/>
          <w:sz w:val="21"/>
          <w:szCs w:val="21"/>
          <w:lang w:eastAsia="en-GB"/>
        </w:rPr>
        <w:t xml:space="preserve">evel of info in the free text field, the table, and in the ‘additional info’ field completed. </w:t>
      </w:r>
    </w:p>
    <w:p w14:paraId="3DBF3FC2" w14:textId="304067AD" w:rsidR="00330891" w:rsidRPr="00F07C28" w:rsidRDefault="00330891" w:rsidP="00292599">
      <w:pPr>
        <w:pStyle w:val="ListParagraph"/>
        <w:numPr>
          <w:ilvl w:val="0"/>
          <w:numId w:val="21"/>
        </w:numPr>
        <w:spacing w:after="0"/>
      </w:pPr>
      <w:r w:rsidRPr="00D72599">
        <w:rPr>
          <w:rFonts w:eastAsia="Times New Roman" w:cs="Times New Roman"/>
          <w:color w:val="4A4A4A"/>
          <w:sz w:val="21"/>
          <w:szCs w:val="21"/>
          <w:lang w:eastAsia="en-GB"/>
        </w:rPr>
        <w:t xml:space="preserve">Guidance for assigning Low/ Medium/ High categories: </w:t>
      </w:r>
      <w:r w:rsidRPr="00D72599">
        <w:rPr>
          <w:rFonts w:eastAsia="Times New Roman" w:cs="Times New Roman"/>
          <w:color w:val="4A4A4A"/>
          <w:sz w:val="21"/>
          <w:szCs w:val="21"/>
          <w:u w:val="single"/>
          <w:lang w:eastAsia="en-GB"/>
        </w:rPr>
        <w:t>Low</w:t>
      </w:r>
      <w:r w:rsidRPr="00D72599">
        <w:rPr>
          <w:rFonts w:eastAsia="Times New Roman" w:cs="Times New Roman"/>
          <w:color w:val="4A4A4A"/>
          <w:sz w:val="21"/>
          <w:szCs w:val="21"/>
          <w:lang w:eastAsia="en-GB"/>
        </w:rPr>
        <w:t xml:space="preserve">:  Blank to few words. </w:t>
      </w:r>
      <w:r w:rsidRPr="00D72599">
        <w:rPr>
          <w:rFonts w:eastAsia="Times New Roman" w:cs="Times New Roman"/>
          <w:color w:val="4A4A4A"/>
          <w:sz w:val="21"/>
          <w:szCs w:val="21"/>
          <w:u w:val="single"/>
          <w:lang w:eastAsia="en-GB"/>
        </w:rPr>
        <w:t>Medium</w:t>
      </w:r>
      <w:r w:rsidRPr="00D72599">
        <w:rPr>
          <w:rFonts w:eastAsia="Times New Roman" w:cs="Times New Roman"/>
          <w:color w:val="4A4A4A"/>
          <w:sz w:val="21"/>
          <w:szCs w:val="21"/>
          <w:lang w:eastAsia="en-GB"/>
        </w:rPr>
        <w:t xml:space="preserve">:  Minimum info to be useful to understand transparency.  </w:t>
      </w:r>
      <w:r w:rsidRPr="00D72599">
        <w:rPr>
          <w:rFonts w:eastAsia="Times New Roman" w:cs="Times New Roman"/>
          <w:color w:val="4A4A4A"/>
          <w:sz w:val="21"/>
          <w:szCs w:val="21"/>
          <w:u w:val="single"/>
          <w:lang w:eastAsia="en-GB"/>
        </w:rPr>
        <w:t>High</w:t>
      </w:r>
      <w:r w:rsidRPr="00D72599">
        <w:rPr>
          <w:rFonts w:eastAsia="Times New Roman" w:cs="Times New Roman"/>
          <w:color w:val="4A4A4A"/>
          <w:sz w:val="21"/>
          <w:szCs w:val="21"/>
          <w:lang w:eastAsia="en-GB"/>
        </w:rPr>
        <w:t>: More detailed description that gives good idea of robustness and transparency of the process.</w:t>
      </w:r>
      <w:r w:rsidRPr="00330891">
        <w:rPr>
          <w:sz w:val="21"/>
          <w:szCs w:val="21"/>
          <w:lang w:val="en-AU"/>
        </w:rPr>
        <w:t xml:space="preserve"> </w:t>
      </w:r>
    </w:p>
    <w:p w14:paraId="5DB055D1" w14:textId="77777777" w:rsidR="00563586" w:rsidRPr="00F07C28" w:rsidRDefault="00563586">
      <w:pPr>
        <w:pStyle w:val="MText"/>
      </w:pPr>
    </w:p>
    <w:p w14:paraId="50D91741" w14:textId="5293A494" w:rsidR="00563586" w:rsidRPr="00F07C28" w:rsidRDefault="00563586">
      <w:pPr>
        <w:pStyle w:val="MText"/>
      </w:pPr>
      <w:r w:rsidRPr="00F07C28">
        <w:t xml:space="preserve">All data is provided by each country and is therefore fully owned by the countries. Each country undertakes stakeholder consultation, to a level that is appropriate given resources and capacity available to them, to ensure that the data has adequate acceptance and ownership within the country. Guidance </w:t>
      </w:r>
      <w:r w:rsidRPr="00F07C28">
        <w:lastRenderedPageBreak/>
        <w:t xml:space="preserve">on consultation processes </w:t>
      </w:r>
      <w:proofErr w:type="gramStart"/>
      <w:r w:rsidRPr="00F07C28">
        <w:t>are</w:t>
      </w:r>
      <w:proofErr w:type="gramEnd"/>
      <w:r w:rsidRPr="00F07C28">
        <w:t xml:space="preserve"> provided in the monitoring guide and through the introductory </w:t>
      </w:r>
      <w:r w:rsidR="003D6E5D">
        <w:t>P</w:t>
      </w:r>
      <w:r w:rsidRPr="00F07C28">
        <w:t>ower</w:t>
      </w:r>
      <w:r w:rsidR="003D6E5D">
        <w:t>P</w:t>
      </w:r>
      <w:r>
        <w:t>oint and video for focal points</w:t>
      </w:r>
      <w:r w:rsidRPr="00F07C28">
        <w:t xml:space="preserve"> (all materials available at </w:t>
      </w:r>
      <w:hyperlink r:id="rId25" w:history="1">
        <w:r w:rsidRPr="00DF7F63">
          <w:rPr>
            <w:rStyle w:val="Hyperlink"/>
          </w:rPr>
          <w:t>http://iwrmdataportal.unepdhi.org</w:t>
        </w:r>
      </w:hyperlink>
      <w:r w:rsidRPr="00F07C28">
        <w:t>).</w:t>
      </w:r>
    </w:p>
    <w:p w14:paraId="03EF3244" w14:textId="77777777" w:rsidR="00EC2915" w:rsidRPr="00A96255" w:rsidRDefault="00EC2915">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AA76230" w14:textId="1E06C6A7" w:rsidR="00576CFA" w:rsidRPr="00A96255" w:rsidRDefault="000E5AB1" w:rsidP="00576CFA">
      <w:pPr>
        <w:pStyle w:val="MText"/>
      </w:pPr>
      <w:r w:rsidRPr="00D72599">
        <w:t xml:space="preserve">The quality </w:t>
      </w:r>
      <w:r w:rsidR="004404AC" w:rsidRPr="00D72599">
        <w:t xml:space="preserve">management procedures in place are deemed sufficient to ensure the data submitted to the SDGs Indicator Database is of acceptable quality. </w:t>
      </w:r>
    </w:p>
    <w:p w14:paraId="5B7C52CE" w14:textId="77777777" w:rsidR="00576CFA" w:rsidRPr="00A96255" w:rsidRDefault="00576CFA" w:rsidP="00576CFA">
      <w:pPr>
        <w:pStyle w:val="MText"/>
      </w:pPr>
    </w:p>
    <w:p w14:paraId="4CD8F3EF" w14:textId="3644E5B5" w:rsidR="00F719A8" w:rsidRPr="00E7335B" w:rsidRDefault="00576CFA" w:rsidP="00E7335B">
      <w:pPr>
        <w:pStyle w:val="MHeader"/>
        <w:spacing w:after="100"/>
      </w:pPr>
      <w:r w:rsidRPr="00A96255">
        <w:t xml:space="preserve">5. Data availability and disaggregation </w:t>
      </w:r>
      <w:r>
        <w:rPr>
          <w:color w:val="B4B4B4"/>
          <w:sz w:val="20"/>
        </w:rPr>
        <w:t>(COVERAGE)</w:t>
      </w:r>
    </w:p>
    <w:p w14:paraId="464A8CCF" w14:textId="15D8EA7C" w:rsidR="00576CFA" w:rsidRPr="00672DED" w:rsidRDefault="00D51E7C" w:rsidP="00420665">
      <w:pPr>
        <w:pStyle w:val="MText"/>
        <w:rPr>
          <w:b/>
        </w:rPr>
      </w:pPr>
      <w:r w:rsidRPr="00672DED">
        <w:rPr>
          <w:b/>
        </w:rPr>
        <w:t>Data availability:</w:t>
      </w:r>
    </w:p>
    <w:p w14:paraId="7FF73D8B" w14:textId="1E1DD990" w:rsidR="00E7335B" w:rsidRPr="00F07C28" w:rsidRDefault="00E7335B" w:rsidP="0062410F">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Total number of countries: 1</w:t>
      </w:r>
      <w:r w:rsidR="009D5C08">
        <w:rPr>
          <w:rFonts w:eastAsia="Times New Roman" w:cs="Times New Roman"/>
          <w:color w:val="4A4A4A"/>
          <w:sz w:val="21"/>
          <w:szCs w:val="21"/>
          <w:lang w:eastAsia="en-GB"/>
        </w:rPr>
        <w:t>8</w:t>
      </w:r>
      <w:r w:rsidR="00F20024">
        <w:rPr>
          <w:rFonts w:eastAsia="Times New Roman" w:cs="Times New Roman"/>
          <w:color w:val="4A4A4A"/>
          <w:sz w:val="21"/>
          <w:szCs w:val="21"/>
          <w:lang w:eastAsia="en-GB"/>
        </w:rPr>
        <w:t>5</w:t>
      </w:r>
      <w:r w:rsidRPr="00F07C28">
        <w:rPr>
          <w:rFonts w:eastAsia="Times New Roman" w:cs="Times New Roman"/>
          <w:color w:val="4A4A4A"/>
          <w:sz w:val="21"/>
          <w:szCs w:val="21"/>
          <w:lang w:eastAsia="en-GB"/>
        </w:rPr>
        <w:t xml:space="preserve"> (</w:t>
      </w:r>
      <w:r w:rsidR="00377F72">
        <w:rPr>
          <w:rFonts w:eastAsia="Times New Roman" w:cs="Times New Roman"/>
          <w:color w:val="4A4A4A"/>
          <w:sz w:val="21"/>
          <w:szCs w:val="21"/>
          <w:lang w:eastAsia="en-GB"/>
        </w:rPr>
        <w:t>96</w:t>
      </w:r>
      <w:r w:rsidRPr="00F07C28">
        <w:rPr>
          <w:rFonts w:eastAsia="Times New Roman" w:cs="Times New Roman"/>
          <w:color w:val="4A4A4A"/>
          <w:sz w:val="21"/>
          <w:szCs w:val="21"/>
          <w:lang w:eastAsia="en-GB"/>
        </w:rPr>
        <w:t>% of UN Member States) (UNEP 20</w:t>
      </w:r>
      <w:r w:rsidR="002C05EF">
        <w:rPr>
          <w:rFonts w:eastAsia="Times New Roman" w:cs="Times New Roman"/>
          <w:color w:val="4A4A4A"/>
          <w:sz w:val="21"/>
          <w:szCs w:val="21"/>
          <w:lang w:eastAsia="en-GB"/>
        </w:rPr>
        <w:t>20</w:t>
      </w:r>
      <w:r w:rsidRPr="00F07C28">
        <w:rPr>
          <w:rFonts w:eastAsia="Times New Roman" w:cs="Times New Roman"/>
          <w:color w:val="4A4A4A"/>
          <w:sz w:val="21"/>
          <w:szCs w:val="21"/>
          <w:lang w:eastAsia="en-GB"/>
        </w:rPr>
        <w:t xml:space="preserve">) </w:t>
      </w:r>
    </w:p>
    <w:p w14:paraId="4B00E7E5" w14:textId="7D0B7B2F" w:rsidR="00E7335B" w:rsidRDefault="00E7335B">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The following covers the region (UNSD regional groupings): followed by the number of countries with data / total countries in region (as of 20</w:t>
      </w:r>
      <w:r w:rsidR="00E32F92">
        <w:rPr>
          <w:rFonts w:eastAsia="Times New Roman" w:cs="Times New Roman"/>
          <w:color w:val="4A4A4A"/>
          <w:sz w:val="21"/>
          <w:szCs w:val="21"/>
          <w:lang w:eastAsia="en-GB"/>
        </w:rPr>
        <w:t>20</w:t>
      </w:r>
      <w:r w:rsidRPr="00F07C28">
        <w:rPr>
          <w:rFonts w:eastAsia="Times New Roman" w:cs="Times New Roman"/>
          <w:color w:val="4A4A4A"/>
          <w:sz w:val="21"/>
          <w:szCs w:val="21"/>
          <w:lang w:eastAsia="en-GB"/>
        </w:rPr>
        <w:t>); followed by the percentage of countries with data.</w:t>
      </w:r>
    </w:p>
    <w:tbl>
      <w:tblPr>
        <w:tblStyle w:val="TableGrid"/>
        <w:tblW w:w="0" w:type="auto"/>
        <w:tblLook w:val="04A0" w:firstRow="1" w:lastRow="0" w:firstColumn="1" w:lastColumn="0" w:noHBand="0" w:noVBand="1"/>
      </w:tblPr>
      <w:tblGrid>
        <w:gridCol w:w="3005"/>
        <w:gridCol w:w="3005"/>
        <w:gridCol w:w="3006"/>
      </w:tblGrid>
      <w:tr w:rsidR="003723C2" w14:paraId="54E44260" w14:textId="77777777" w:rsidTr="003723C2">
        <w:tc>
          <w:tcPr>
            <w:tcW w:w="3005" w:type="dxa"/>
          </w:tcPr>
          <w:p w14:paraId="0C18725D" w14:textId="5E8D07DF" w:rsidR="003723C2" w:rsidRPr="00BB042E" w:rsidRDefault="003723C2">
            <w:pPr>
              <w:rPr>
                <w:rFonts w:eastAsia="Times New Roman" w:cs="Times New Roman"/>
                <w:b/>
                <w:bCs/>
                <w:color w:val="4A4A4A"/>
                <w:sz w:val="21"/>
                <w:szCs w:val="21"/>
                <w:lang w:eastAsia="en-GB"/>
              </w:rPr>
            </w:pPr>
            <w:r w:rsidRPr="00BB042E">
              <w:rPr>
                <w:rFonts w:eastAsia="Times New Roman" w:cs="Times New Roman"/>
                <w:b/>
                <w:bCs/>
                <w:color w:val="4A4A4A"/>
                <w:sz w:val="21"/>
                <w:szCs w:val="21"/>
                <w:lang w:eastAsia="en-GB"/>
              </w:rPr>
              <w:t>Regional grouping</w:t>
            </w:r>
          </w:p>
        </w:tc>
        <w:tc>
          <w:tcPr>
            <w:tcW w:w="3005" w:type="dxa"/>
          </w:tcPr>
          <w:p w14:paraId="20E81BB9" w14:textId="1E234AFD" w:rsidR="003723C2" w:rsidRPr="00BB042E" w:rsidRDefault="00114AC5">
            <w:pPr>
              <w:rPr>
                <w:rFonts w:eastAsia="Times New Roman" w:cs="Times New Roman"/>
                <w:b/>
                <w:bCs/>
                <w:color w:val="4A4A4A"/>
                <w:sz w:val="21"/>
                <w:szCs w:val="21"/>
                <w:lang w:eastAsia="en-GB"/>
              </w:rPr>
            </w:pPr>
            <w:r w:rsidRPr="00BB042E">
              <w:rPr>
                <w:rFonts w:eastAsia="Times New Roman" w:cs="Times New Roman"/>
                <w:b/>
                <w:bCs/>
                <w:color w:val="4A4A4A"/>
                <w:sz w:val="21"/>
                <w:szCs w:val="21"/>
                <w:lang w:eastAsia="en-GB"/>
              </w:rPr>
              <w:t>Number of countries with data / total countries in region (as of 2020)</w:t>
            </w:r>
          </w:p>
        </w:tc>
        <w:tc>
          <w:tcPr>
            <w:tcW w:w="3006" w:type="dxa"/>
          </w:tcPr>
          <w:p w14:paraId="037C5C0E" w14:textId="05893A27" w:rsidR="003723C2" w:rsidRPr="00BB042E" w:rsidRDefault="00114AC5">
            <w:pPr>
              <w:rPr>
                <w:rFonts w:eastAsia="Times New Roman" w:cs="Times New Roman"/>
                <w:b/>
                <w:bCs/>
                <w:color w:val="4A4A4A"/>
                <w:sz w:val="21"/>
                <w:szCs w:val="21"/>
                <w:lang w:eastAsia="en-GB"/>
              </w:rPr>
            </w:pPr>
            <w:r w:rsidRPr="00BB042E">
              <w:rPr>
                <w:rFonts w:eastAsia="Times New Roman" w:cs="Times New Roman"/>
                <w:b/>
                <w:bCs/>
                <w:color w:val="4A4A4A"/>
                <w:sz w:val="21"/>
                <w:szCs w:val="21"/>
                <w:lang w:eastAsia="en-GB"/>
              </w:rPr>
              <w:t>Percentage of countries with data</w:t>
            </w:r>
          </w:p>
        </w:tc>
      </w:tr>
      <w:tr w:rsidR="003723C2" w14:paraId="7FB6A1AC" w14:textId="77777777" w:rsidTr="003723C2">
        <w:tc>
          <w:tcPr>
            <w:tcW w:w="3005" w:type="dxa"/>
          </w:tcPr>
          <w:p w14:paraId="53D34D0B" w14:textId="62265305" w:rsidR="003723C2" w:rsidRDefault="00AF7B17">
            <w:pPr>
              <w:rPr>
                <w:rFonts w:eastAsia="Times New Roman" w:cs="Times New Roman"/>
                <w:color w:val="4A4A4A"/>
                <w:sz w:val="21"/>
                <w:szCs w:val="21"/>
                <w:lang w:eastAsia="en-GB"/>
              </w:rPr>
            </w:pPr>
            <w:r w:rsidRPr="00F07C28">
              <w:rPr>
                <w:rFonts w:eastAsia="Times New Roman" w:cs="Times New Roman"/>
                <w:color w:val="4A4A4A"/>
                <w:sz w:val="21"/>
                <w:szCs w:val="21"/>
                <w:lang w:eastAsia="en-GB"/>
              </w:rPr>
              <w:t>Australia and New Zealand</w:t>
            </w:r>
          </w:p>
        </w:tc>
        <w:tc>
          <w:tcPr>
            <w:tcW w:w="3005" w:type="dxa"/>
          </w:tcPr>
          <w:p w14:paraId="6C3F759C" w14:textId="46BA2C72" w:rsidR="003723C2" w:rsidRDefault="003C7FD9">
            <w:pPr>
              <w:rPr>
                <w:rFonts w:eastAsia="Times New Roman" w:cs="Times New Roman"/>
                <w:color w:val="4A4A4A"/>
                <w:sz w:val="21"/>
                <w:szCs w:val="21"/>
                <w:lang w:eastAsia="en-GB"/>
              </w:rPr>
            </w:pPr>
            <w:r>
              <w:rPr>
                <w:rFonts w:eastAsia="Times New Roman" w:cs="Times New Roman"/>
                <w:color w:val="4A4A4A"/>
                <w:sz w:val="21"/>
                <w:szCs w:val="21"/>
                <w:lang w:eastAsia="en-GB"/>
              </w:rPr>
              <w:t>2/2</w:t>
            </w:r>
          </w:p>
        </w:tc>
        <w:tc>
          <w:tcPr>
            <w:tcW w:w="3006" w:type="dxa"/>
          </w:tcPr>
          <w:p w14:paraId="598FE0F9" w14:textId="5EA050F5" w:rsidR="003723C2" w:rsidRDefault="00496266">
            <w:pPr>
              <w:rPr>
                <w:rFonts w:eastAsia="Times New Roman" w:cs="Times New Roman"/>
                <w:color w:val="4A4A4A"/>
                <w:sz w:val="21"/>
                <w:szCs w:val="21"/>
                <w:lang w:eastAsia="en-GB"/>
              </w:rPr>
            </w:pPr>
            <w:r>
              <w:rPr>
                <w:rFonts w:eastAsia="Times New Roman" w:cs="Times New Roman"/>
                <w:color w:val="4A4A4A"/>
                <w:sz w:val="21"/>
                <w:szCs w:val="21"/>
                <w:lang w:eastAsia="en-GB"/>
              </w:rPr>
              <w:t>100%</w:t>
            </w:r>
          </w:p>
        </w:tc>
      </w:tr>
      <w:tr w:rsidR="003723C2" w14:paraId="561319CD" w14:textId="77777777" w:rsidTr="003723C2">
        <w:tc>
          <w:tcPr>
            <w:tcW w:w="3005" w:type="dxa"/>
          </w:tcPr>
          <w:p w14:paraId="1C652EEF" w14:textId="46ABB711" w:rsidR="003723C2" w:rsidRDefault="00AF7B17">
            <w:pPr>
              <w:rPr>
                <w:rFonts w:eastAsia="Times New Roman" w:cs="Times New Roman"/>
                <w:color w:val="4A4A4A"/>
                <w:sz w:val="21"/>
                <w:szCs w:val="21"/>
                <w:lang w:eastAsia="en-GB"/>
              </w:rPr>
            </w:pPr>
            <w:r w:rsidRPr="00F07C28">
              <w:rPr>
                <w:rFonts w:eastAsia="Times New Roman" w:cs="Times New Roman"/>
                <w:color w:val="4A4A4A"/>
                <w:sz w:val="21"/>
                <w:szCs w:val="21"/>
                <w:lang w:eastAsia="en-GB"/>
              </w:rPr>
              <w:t>Central and Southern Asia</w:t>
            </w:r>
          </w:p>
        </w:tc>
        <w:tc>
          <w:tcPr>
            <w:tcW w:w="3005" w:type="dxa"/>
          </w:tcPr>
          <w:p w14:paraId="70C64C94" w14:textId="4D7C8642" w:rsidR="003723C2" w:rsidRDefault="003C7FD9">
            <w:pPr>
              <w:rPr>
                <w:rFonts w:eastAsia="Times New Roman" w:cs="Times New Roman"/>
                <w:color w:val="4A4A4A"/>
                <w:sz w:val="21"/>
                <w:szCs w:val="21"/>
                <w:lang w:eastAsia="en-GB"/>
              </w:rPr>
            </w:pPr>
            <w:r>
              <w:rPr>
                <w:rFonts w:eastAsia="Times New Roman" w:cs="Times New Roman"/>
                <w:color w:val="4A4A4A"/>
                <w:sz w:val="21"/>
                <w:szCs w:val="21"/>
                <w:lang w:eastAsia="en-GB"/>
              </w:rPr>
              <w:t>14/14</w:t>
            </w:r>
          </w:p>
        </w:tc>
        <w:tc>
          <w:tcPr>
            <w:tcW w:w="3006" w:type="dxa"/>
          </w:tcPr>
          <w:p w14:paraId="0274CE18" w14:textId="474EA45D" w:rsidR="003723C2" w:rsidRDefault="00496266">
            <w:pPr>
              <w:rPr>
                <w:rFonts w:eastAsia="Times New Roman" w:cs="Times New Roman"/>
                <w:color w:val="4A4A4A"/>
                <w:sz w:val="21"/>
                <w:szCs w:val="21"/>
                <w:lang w:eastAsia="en-GB"/>
              </w:rPr>
            </w:pPr>
            <w:r>
              <w:rPr>
                <w:rFonts w:eastAsia="Times New Roman" w:cs="Times New Roman"/>
                <w:color w:val="4A4A4A"/>
                <w:sz w:val="21"/>
                <w:szCs w:val="21"/>
                <w:lang w:eastAsia="en-GB"/>
              </w:rPr>
              <w:t>100%</w:t>
            </w:r>
          </w:p>
        </w:tc>
      </w:tr>
      <w:tr w:rsidR="003723C2" w14:paraId="00081AA1" w14:textId="77777777" w:rsidTr="003723C2">
        <w:tc>
          <w:tcPr>
            <w:tcW w:w="3005" w:type="dxa"/>
          </w:tcPr>
          <w:p w14:paraId="35D1B853" w14:textId="09C24ECF" w:rsidR="003723C2" w:rsidRDefault="00AF7B17">
            <w:pPr>
              <w:rPr>
                <w:rFonts w:eastAsia="Times New Roman" w:cs="Times New Roman"/>
                <w:color w:val="4A4A4A"/>
                <w:sz w:val="21"/>
                <w:szCs w:val="21"/>
                <w:lang w:eastAsia="en-GB"/>
              </w:rPr>
            </w:pPr>
            <w:r w:rsidRPr="00F07C28">
              <w:rPr>
                <w:rFonts w:eastAsia="Times New Roman" w:cs="Times New Roman"/>
                <w:color w:val="4A4A4A"/>
                <w:sz w:val="21"/>
                <w:szCs w:val="21"/>
                <w:lang w:eastAsia="en-GB"/>
              </w:rPr>
              <w:t>Eastern and South-Eastern Asia</w:t>
            </w:r>
          </w:p>
        </w:tc>
        <w:tc>
          <w:tcPr>
            <w:tcW w:w="3005" w:type="dxa"/>
          </w:tcPr>
          <w:p w14:paraId="49991361" w14:textId="63A46F50" w:rsidR="003723C2" w:rsidRDefault="003C7FD9">
            <w:pPr>
              <w:rPr>
                <w:rFonts w:eastAsia="Times New Roman" w:cs="Times New Roman"/>
                <w:color w:val="4A4A4A"/>
                <w:sz w:val="21"/>
                <w:szCs w:val="21"/>
                <w:lang w:eastAsia="en-GB"/>
              </w:rPr>
            </w:pPr>
            <w:r>
              <w:rPr>
                <w:rFonts w:eastAsia="Times New Roman" w:cs="Times New Roman"/>
                <w:color w:val="4A4A4A"/>
                <w:sz w:val="21"/>
                <w:szCs w:val="21"/>
                <w:lang w:eastAsia="en-GB"/>
              </w:rPr>
              <w:t>16/16</w:t>
            </w:r>
          </w:p>
        </w:tc>
        <w:tc>
          <w:tcPr>
            <w:tcW w:w="3006" w:type="dxa"/>
          </w:tcPr>
          <w:p w14:paraId="1089582B" w14:textId="78C41162" w:rsidR="003723C2" w:rsidRDefault="00496266">
            <w:pPr>
              <w:rPr>
                <w:rFonts w:eastAsia="Times New Roman" w:cs="Times New Roman"/>
                <w:color w:val="4A4A4A"/>
                <w:sz w:val="21"/>
                <w:szCs w:val="21"/>
                <w:lang w:eastAsia="en-GB"/>
              </w:rPr>
            </w:pPr>
            <w:r>
              <w:rPr>
                <w:rFonts w:eastAsia="Times New Roman" w:cs="Times New Roman"/>
                <w:color w:val="4A4A4A"/>
                <w:sz w:val="21"/>
                <w:szCs w:val="21"/>
                <w:lang w:eastAsia="en-GB"/>
              </w:rPr>
              <w:t>100%</w:t>
            </w:r>
          </w:p>
        </w:tc>
      </w:tr>
      <w:tr w:rsidR="003723C2" w14:paraId="19988465" w14:textId="77777777" w:rsidTr="003723C2">
        <w:tc>
          <w:tcPr>
            <w:tcW w:w="3005" w:type="dxa"/>
          </w:tcPr>
          <w:p w14:paraId="51F23E05" w14:textId="65DA0400" w:rsidR="003723C2" w:rsidRDefault="00AF7B17">
            <w:pPr>
              <w:rPr>
                <w:rFonts w:eastAsia="Times New Roman" w:cs="Times New Roman"/>
                <w:color w:val="4A4A4A"/>
                <w:sz w:val="21"/>
                <w:szCs w:val="21"/>
                <w:lang w:eastAsia="en-GB"/>
              </w:rPr>
            </w:pPr>
            <w:r w:rsidRPr="00F07C28">
              <w:rPr>
                <w:rFonts w:eastAsia="Times New Roman" w:cs="Times New Roman"/>
                <w:color w:val="4A4A4A"/>
                <w:sz w:val="21"/>
                <w:szCs w:val="21"/>
                <w:lang w:eastAsia="en-GB"/>
              </w:rPr>
              <w:t>Europe and Northern America</w:t>
            </w:r>
          </w:p>
        </w:tc>
        <w:tc>
          <w:tcPr>
            <w:tcW w:w="3005" w:type="dxa"/>
          </w:tcPr>
          <w:p w14:paraId="5542341C" w14:textId="5FBCFFD8" w:rsidR="003C7FD9" w:rsidRDefault="003C7FD9" w:rsidP="003C7FD9">
            <w:pPr>
              <w:rPr>
                <w:rFonts w:eastAsia="Times New Roman" w:cs="Times New Roman"/>
                <w:color w:val="4A4A4A"/>
                <w:sz w:val="21"/>
                <w:szCs w:val="21"/>
                <w:lang w:eastAsia="en-GB"/>
              </w:rPr>
            </w:pPr>
            <w:r>
              <w:rPr>
                <w:rFonts w:eastAsia="Times New Roman" w:cs="Times New Roman"/>
                <w:color w:val="4A4A4A"/>
                <w:sz w:val="21"/>
                <w:szCs w:val="21"/>
                <w:lang w:eastAsia="en-GB"/>
              </w:rPr>
              <w:t>44/45</w:t>
            </w:r>
          </w:p>
        </w:tc>
        <w:tc>
          <w:tcPr>
            <w:tcW w:w="3006" w:type="dxa"/>
          </w:tcPr>
          <w:p w14:paraId="67D60C08" w14:textId="1E18FD3F" w:rsidR="003723C2" w:rsidRDefault="00117256">
            <w:pPr>
              <w:rPr>
                <w:rFonts w:eastAsia="Times New Roman" w:cs="Times New Roman"/>
                <w:color w:val="4A4A4A"/>
                <w:sz w:val="21"/>
                <w:szCs w:val="21"/>
                <w:lang w:eastAsia="en-GB"/>
              </w:rPr>
            </w:pPr>
            <w:r>
              <w:rPr>
                <w:rFonts w:eastAsia="Times New Roman" w:cs="Times New Roman"/>
                <w:color w:val="4A4A4A"/>
                <w:sz w:val="21"/>
                <w:szCs w:val="21"/>
                <w:lang w:eastAsia="en-GB"/>
              </w:rPr>
              <w:t>98%</w:t>
            </w:r>
          </w:p>
        </w:tc>
      </w:tr>
      <w:tr w:rsidR="003723C2" w14:paraId="451D1ACA" w14:textId="77777777" w:rsidTr="003723C2">
        <w:tc>
          <w:tcPr>
            <w:tcW w:w="3005" w:type="dxa"/>
          </w:tcPr>
          <w:p w14:paraId="0B1BE957" w14:textId="62210C18" w:rsidR="003723C2" w:rsidRDefault="00AF7B17">
            <w:pPr>
              <w:rPr>
                <w:rFonts w:eastAsia="Times New Roman" w:cs="Times New Roman"/>
                <w:color w:val="4A4A4A"/>
                <w:sz w:val="21"/>
                <w:szCs w:val="21"/>
                <w:lang w:eastAsia="en-GB"/>
              </w:rPr>
            </w:pPr>
            <w:r w:rsidRPr="00F07C28">
              <w:rPr>
                <w:rFonts w:eastAsia="Times New Roman" w:cs="Times New Roman"/>
                <w:color w:val="4A4A4A"/>
                <w:sz w:val="21"/>
                <w:szCs w:val="21"/>
                <w:lang w:eastAsia="en-GB"/>
              </w:rPr>
              <w:t>Latin America and the Caribbean</w:t>
            </w:r>
          </w:p>
        </w:tc>
        <w:tc>
          <w:tcPr>
            <w:tcW w:w="3005" w:type="dxa"/>
          </w:tcPr>
          <w:p w14:paraId="48D36F7E" w14:textId="46C4921B" w:rsidR="003723C2" w:rsidRDefault="003C7FD9">
            <w:pPr>
              <w:rPr>
                <w:rFonts w:eastAsia="Times New Roman" w:cs="Times New Roman"/>
                <w:color w:val="4A4A4A"/>
                <w:sz w:val="21"/>
                <w:szCs w:val="21"/>
                <w:lang w:eastAsia="en-GB"/>
              </w:rPr>
            </w:pPr>
            <w:r>
              <w:rPr>
                <w:rFonts w:eastAsia="Times New Roman" w:cs="Times New Roman"/>
                <w:color w:val="4A4A4A"/>
                <w:sz w:val="21"/>
                <w:szCs w:val="21"/>
                <w:lang w:eastAsia="en-GB"/>
              </w:rPr>
              <w:t>32/33</w:t>
            </w:r>
          </w:p>
        </w:tc>
        <w:tc>
          <w:tcPr>
            <w:tcW w:w="3006" w:type="dxa"/>
          </w:tcPr>
          <w:p w14:paraId="72691A26" w14:textId="4727CD6F" w:rsidR="003723C2" w:rsidRDefault="00117256">
            <w:pPr>
              <w:rPr>
                <w:rFonts w:eastAsia="Times New Roman" w:cs="Times New Roman"/>
                <w:color w:val="4A4A4A"/>
                <w:sz w:val="21"/>
                <w:szCs w:val="21"/>
                <w:lang w:eastAsia="en-GB"/>
              </w:rPr>
            </w:pPr>
            <w:r>
              <w:rPr>
                <w:rFonts w:eastAsia="Times New Roman" w:cs="Times New Roman"/>
                <w:color w:val="4A4A4A"/>
                <w:sz w:val="21"/>
                <w:szCs w:val="21"/>
                <w:lang w:eastAsia="en-GB"/>
              </w:rPr>
              <w:t>97%</w:t>
            </w:r>
          </w:p>
        </w:tc>
      </w:tr>
      <w:tr w:rsidR="003723C2" w14:paraId="489407F2" w14:textId="77777777" w:rsidTr="003723C2">
        <w:tc>
          <w:tcPr>
            <w:tcW w:w="3005" w:type="dxa"/>
          </w:tcPr>
          <w:p w14:paraId="0899A24F" w14:textId="39445895" w:rsidR="003723C2" w:rsidRDefault="00AF7B17">
            <w:pPr>
              <w:rPr>
                <w:rFonts w:eastAsia="Times New Roman" w:cs="Times New Roman"/>
                <w:color w:val="4A4A4A"/>
                <w:sz w:val="21"/>
                <w:szCs w:val="21"/>
                <w:lang w:eastAsia="en-GB"/>
              </w:rPr>
            </w:pPr>
            <w:r w:rsidRPr="00F07C28">
              <w:rPr>
                <w:rFonts w:eastAsia="Times New Roman" w:cs="Times New Roman"/>
                <w:color w:val="4A4A4A"/>
                <w:sz w:val="21"/>
                <w:szCs w:val="21"/>
                <w:lang w:eastAsia="en-GB"/>
              </w:rPr>
              <w:t>Northern Africa and Western Asia</w:t>
            </w:r>
          </w:p>
        </w:tc>
        <w:tc>
          <w:tcPr>
            <w:tcW w:w="3005" w:type="dxa"/>
          </w:tcPr>
          <w:p w14:paraId="08F46BE5" w14:textId="56DDFD39" w:rsidR="003723C2" w:rsidRDefault="003C7FD9">
            <w:pPr>
              <w:rPr>
                <w:rFonts w:eastAsia="Times New Roman" w:cs="Times New Roman"/>
                <w:color w:val="4A4A4A"/>
                <w:sz w:val="21"/>
                <w:szCs w:val="21"/>
                <w:lang w:eastAsia="en-GB"/>
              </w:rPr>
            </w:pPr>
            <w:r>
              <w:rPr>
                <w:rFonts w:eastAsia="Times New Roman" w:cs="Times New Roman"/>
                <w:color w:val="4A4A4A"/>
                <w:sz w:val="21"/>
                <w:szCs w:val="21"/>
                <w:lang w:eastAsia="en-GB"/>
              </w:rPr>
              <w:t>23/23</w:t>
            </w:r>
          </w:p>
        </w:tc>
        <w:tc>
          <w:tcPr>
            <w:tcW w:w="3006" w:type="dxa"/>
          </w:tcPr>
          <w:p w14:paraId="23DBF6B3" w14:textId="56968BB5" w:rsidR="003723C2" w:rsidRDefault="00117256">
            <w:pPr>
              <w:rPr>
                <w:rFonts w:eastAsia="Times New Roman" w:cs="Times New Roman"/>
                <w:color w:val="4A4A4A"/>
                <w:sz w:val="21"/>
                <w:szCs w:val="21"/>
                <w:lang w:eastAsia="en-GB"/>
              </w:rPr>
            </w:pPr>
            <w:r>
              <w:rPr>
                <w:rFonts w:eastAsia="Times New Roman" w:cs="Times New Roman"/>
                <w:color w:val="4A4A4A"/>
                <w:sz w:val="21"/>
                <w:szCs w:val="21"/>
                <w:lang w:eastAsia="en-GB"/>
              </w:rPr>
              <w:t>100%</w:t>
            </w:r>
          </w:p>
        </w:tc>
      </w:tr>
      <w:tr w:rsidR="003723C2" w14:paraId="09D5704B" w14:textId="77777777" w:rsidTr="003723C2">
        <w:tc>
          <w:tcPr>
            <w:tcW w:w="3005" w:type="dxa"/>
          </w:tcPr>
          <w:p w14:paraId="72019D5C" w14:textId="7663FBA4" w:rsidR="003723C2" w:rsidRDefault="00AF7B17">
            <w:pPr>
              <w:rPr>
                <w:rFonts w:eastAsia="Times New Roman" w:cs="Times New Roman"/>
                <w:color w:val="4A4A4A"/>
                <w:sz w:val="21"/>
                <w:szCs w:val="21"/>
                <w:lang w:eastAsia="en-GB"/>
              </w:rPr>
            </w:pPr>
            <w:r w:rsidRPr="00F07C28">
              <w:rPr>
                <w:rFonts w:eastAsia="Times New Roman" w:cs="Times New Roman"/>
                <w:color w:val="4A4A4A"/>
                <w:sz w:val="21"/>
                <w:szCs w:val="21"/>
                <w:lang w:eastAsia="en-GB"/>
              </w:rPr>
              <w:t>Oceania (excluding Australia and New Zealand)</w:t>
            </w:r>
          </w:p>
        </w:tc>
        <w:tc>
          <w:tcPr>
            <w:tcW w:w="3005" w:type="dxa"/>
          </w:tcPr>
          <w:p w14:paraId="42FED971" w14:textId="5DAF779C" w:rsidR="003723C2" w:rsidRDefault="003C7FD9">
            <w:pPr>
              <w:rPr>
                <w:rFonts w:eastAsia="Times New Roman" w:cs="Times New Roman"/>
                <w:color w:val="4A4A4A"/>
                <w:sz w:val="21"/>
                <w:szCs w:val="21"/>
                <w:lang w:eastAsia="en-GB"/>
              </w:rPr>
            </w:pPr>
            <w:r>
              <w:rPr>
                <w:rFonts w:eastAsia="Times New Roman" w:cs="Times New Roman"/>
                <w:color w:val="4A4A4A"/>
                <w:sz w:val="21"/>
                <w:szCs w:val="21"/>
                <w:lang w:eastAsia="en-GB"/>
              </w:rPr>
              <w:t>9/12</w:t>
            </w:r>
          </w:p>
        </w:tc>
        <w:tc>
          <w:tcPr>
            <w:tcW w:w="3006" w:type="dxa"/>
          </w:tcPr>
          <w:p w14:paraId="45E8AA2E" w14:textId="46725E23" w:rsidR="003723C2" w:rsidRDefault="00117256">
            <w:pPr>
              <w:rPr>
                <w:rFonts w:eastAsia="Times New Roman" w:cs="Times New Roman"/>
                <w:color w:val="4A4A4A"/>
                <w:sz w:val="21"/>
                <w:szCs w:val="21"/>
                <w:lang w:eastAsia="en-GB"/>
              </w:rPr>
            </w:pPr>
            <w:r>
              <w:rPr>
                <w:rFonts w:eastAsia="Times New Roman" w:cs="Times New Roman"/>
                <w:color w:val="4A4A4A"/>
                <w:sz w:val="21"/>
                <w:szCs w:val="21"/>
                <w:lang w:eastAsia="en-GB"/>
              </w:rPr>
              <w:t>75%</w:t>
            </w:r>
          </w:p>
        </w:tc>
      </w:tr>
      <w:tr w:rsidR="0095699F" w14:paraId="387BB77C" w14:textId="77777777" w:rsidTr="003723C2">
        <w:tc>
          <w:tcPr>
            <w:tcW w:w="3005" w:type="dxa"/>
          </w:tcPr>
          <w:p w14:paraId="27F93AAE" w14:textId="6A7CE215" w:rsidR="0095699F" w:rsidRPr="00F07C28" w:rsidRDefault="0095699F">
            <w:pPr>
              <w:rPr>
                <w:rFonts w:eastAsia="Times New Roman" w:cs="Times New Roman"/>
                <w:color w:val="4A4A4A"/>
                <w:sz w:val="21"/>
                <w:szCs w:val="21"/>
                <w:lang w:eastAsia="en-GB"/>
              </w:rPr>
            </w:pPr>
            <w:r w:rsidRPr="00F07C28">
              <w:rPr>
                <w:rFonts w:eastAsia="Times New Roman" w:cs="Times New Roman"/>
                <w:color w:val="4A4A4A"/>
                <w:sz w:val="21"/>
                <w:szCs w:val="21"/>
                <w:lang w:eastAsia="en-GB"/>
              </w:rPr>
              <w:t>Sub-Saharan Africa</w:t>
            </w:r>
          </w:p>
        </w:tc>
        <w:tc>
          <w:tcPr>
            <w:tcW w:w="3005" w:type="dxa"/>
          </w:tcPr>
          <w:p w14:paraId="1F4CDC83" w14:textId="2128A321" w:rsidR="0095699F" w:rsidRDefault="003C7FD9">
            <w:pPr>
              <w:rPr>
                <w:rFonts w:eastAsia="Times New Roman" w:cs="Times New Roman"/>
                <w:color w:val="4A4A4A"/>
                <w:sz w:val="21"/>
                <w:szCs w:val="21"/>
                <w:lang w:eastAsia="en-GB"/>
              </w:rPr>
            </w:pPr>
            <w:r>
              <w:rPr>
                <w:rFonts w:eastAsia="Times New Roman" w:cs="Times New Roman"/>
                <w:color w:val="4A4A4A"/>
                <w:sz w:val="21"/>
                <w:szCs w:val="21"/>
                <w:lang w:eastAsia="en-GB"/>
              </w:rPr>
              <w:t>46/48</w:t>
            </w:r>
          </w:p>
        </w:tc>
        <w:tc>
          <w:tcPr>
            <w:tcW w:w="3006" w:type="dxa"/>
          </w:tcPr>
          <w:p w14:paraId="62B44303" w14:textId="4312BCEC" w:rsidR="0095699F" w:rsidRDefault="00117256">
            <w:pPr>
              <w:rPr>
                <w:rFonts w:eastAsia="Times New Roman" w:cs="Times New Roman"/>
                <w:color w:val="4A4A4A"/>
                <w:sz w:val="21"/>
                <w:szCs w:val="21"/>
                <w:lang w:eastAsia="en-GB"/>
              </w:rPr>
            </w:pPr>
            <w:r>
              <w:rPr>
                <w:rFonts w:eastAsia="Times New Roman" w:cs="Times New Roman"/>
                <w:color w:val="4A4A4A"/>
                <w:sz w:val="21"/>
                <w:szCs w:val="21"/>
                <w:lang w:eastAsia="en-GB"/>
              </w:rPr>
              <w:t>96%</w:t>
            </w:r>
          </w:p>
        </w:tc>
      </w:tr>
      <w:tr w:rsidR="0095699F" w14:paraId="02FB390E" w14:textId="77777777" w:rsidTr="003723C2">
        <w:tc>
          <w:tcPr>
            <w:tcW w:w="3005" w:type="dxa"/>
          </w:tcPr>
          <w:p w14:paraId="7D3AF160" w14:textId="51DE61B6" w:rsidR="0095699F" w:rsidRPr="00F07C28" w:rsidRDefault="0095699F">
            <w:pPr>
              <w:rPr>
                <w:rFonts w:eastAsia="Times New Roman" w:cs="Times New Roman"/>
                <w:color w:val="4A4A4A"/>
                <w:sz w:val="21"/>
                <w:szCs w:val="21"/>
                <w:lang w:eastAsia="en-GB"/>
              </w:rPr>
            </w:pPr>
            <w:r w:rsidRPr="00F07C28">
              <w:rPr>
                <w:rFonts w:eastAsia="Times New Roman" w:cs="Times New Roman"/>
                <w:color w:val="4A4A4A"/>
                <w:sz w:val="21"/>
                <w:szCs w:val="21"/>
                <w:lang w:eastAsia="en-GB"/>
              </w:rPr>
              <w:t>World</w:t>
            </w:r>
          </w:p>
        </w:tc>
        <w:tc>
          <w:tcPr>
            <w:tcW w:w="3005" w:type="dxa"/>
          </w:tcPr>
          <w:p w14:paraId="594AEE34" w14:textId="79CA4177" w:rsidR="0095699F" w:rsidRDefault="00496266">
            <w:pPr>
              <w:rPr>
                <w:rFonts w:eastAsia="Times New Roman" w:cs="Times New Roman"/>
                <w:color w:val="4A4A4A"/>
                <w:sz w:val="21"/>
                <w:szCs w:val="21"/>
                <w:lang w:eastAsia="en-GB"/>
              </w:rPr>
            </w:pPr>
            <w:r>
              <w:rPr>
                <w:rFonts w:eastAsia="Times New Roman" w:cs="Times New Roman"/>
                <w:color w:val="4A4A4A"/>
                <w:sz w:val="21"/>
                <w:szCs w:val="21"/>
                <w:lang w:eastAsia="en-GB"/>
              </w:rPr>
              <w:t>185/193</w:t>
            </w:r>
          </w:p>
        </w:tc>
        <w:tc>
          <w:tcPr>
            <w:tcW w:w="3006" w:type="dxa"/>
          </w:tcPr>
          <w:p w14:paraId="2AA12452" w14:textId="5C616DF2" w:rsidR="0095699F" w:rsidRDefault="00117256">
            <w:pPr>
              <w:rPr>
                <w:rFonts w:eastAsia="Times New Roman" w:cs="Times New Roman"/>
                <w:color w:val="4A4A4A"/>
                <w:sz w:val="21"/>
                <w:szCs w:val="21"/>
                <w:lang w:eastAsia="en-GB"/>
              </w:rPr>
            </w:pPr>
            <w:r>
              <w:rPr>
                <w:rFonts w:eastAsia="Times New Roman" w:cs="Times New Roman"/>
                <w:color w:val="4A4A4A"/>
                <w:sz w:val="21"/>
                <w:szCs w:val="21"/>
                <w:lang w:eastAsia="en-GB"/>
              </w:rPr>
              <w:t>96%</w:t>
            </w:r>
          </w:p>
        </w:tc>
      </w:tr>
    </w:tbl>
    <w:p w14:paraId="3C81B149" w14:textId="77777777" w:rsidR="003424ED" w:rsidRPr="00F07C28" w:rsidRDefault="003424ED" w:rsidP="00BB042E">
      <w:pPr>
        <w:shd w:val="clear" w:color="auto" w:fill="FFFFFF"/>
        <w:spacing w:after="0"/>
        <w:rPr>
          <w:rFonts w:eastAsia="Times New Roman" w:cs="Times New Roman"/>
          <w:color w:val="4A4A4A"/>
          <w:sz w:val="21"/>
          <w:szCs w:val="21"/>
          <w:lang w:eastAsia="en-GB"/>
        </w:rPr>
      </w:pPr>
    </w:p>
    <w:p w14:paraId="2D0542F7" w14:textId="3DE6BFAB" w:rsidR="00D51E7C" w:rsidRPr="00C019E5" w:rsidRDefault="00D51E7C" w:rsidP="00420665">
      <w:pPr>
        <w:pStyle w:val="MText"/>
        <w:rPr>
          <w:highlight w:val="cyan"/>
        </w:rPr>
      </w:pPr>
    </w:p>
    <w:p w14:paraId="5853D6F7" w14:textId="05EA85CE" w:rsidR="00D51E7C" w:rsidRPr="00672DED" w:rsidRDefault="00D51E7C" w:rsidP="00420665">
      <w:pPr>
        <w:pStyle w:val="MText"/>
        <w:rPr>
          <w:b/>
        </w:rPr>
      </w:pPr>
      <w:r w:rsidRPr="00672DED">
        <w:rPr>
          <w:b/>
        </w:rPr>
        <w:t>Time series:</w:t>
      </w:r>
    </w:p>
    <w:p w14:paraId="74CCD2AA" w14:textId="77777777" w:rsidR="00E7335B" w:rsidRPr="00F07C28" w:rsidRDefault="00E7335B" w:rsidP="00616A14">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Pre-SDGs: 2008, 2012 (UN-Water 2008, 2012). </w:t>
      </w:r>
    </w:p>
    <w:p w14:paraId="70BAB99E" w14:textId="3DF969F7" w:rsidR="00E7335B" w:rsidRPr="00F07C28" w:rsidRDefault="00E7335B" w:rsidP="00616A14">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SDG period: 2017</w:t>
      </w:r>
      <w:r w:rsidR="009D5C08">
        <w:rPr>
          <w:rFonts w:eastAsia="Times New Roman" w:cs="Times New Roman"/>
          <w:color w:val="4A4A4A"/>
          <w:sz w:val="21"/>
          <w:szCs w:val="21"/>
          <w:lang w:eastAsia="en-GB"/>
        </w:rPr>
        <w:t>, 2020</w:t>
      </w:r>
      <w:r w:rsidRPr="00F07C28">
        <w:rPr>
          <w:rFonts w:eastAsia="Times New Roman" w:cs="Times New Roman"/>
          <w:color w:val="4A4A4A"/>
          <w:sz w:val="21"/>
          <w:szCs w:val="21"/>
          <w:lang w:eastAsia="en-GB"/>
        </w:rPr>
        <w:t xml:space="preserve">. </w:t>
      </w:r>
    </w:p>
    <w:p w14:paraId="111BDBD2" w14:textId="4E0C4AF5" w:rsidR="00E7335B" w:rsidRPr="001D70A5" w:rsidRDefault="00E7335B" w:rsidP="00D72599">
      <w:pPr>
        <w:shd w:val="clear" w:color="auto" w:fill="FFFFFF"/>
        <w:spacing w:after="0" w:line="23" w:lineRule="atLeast"/>
        <w:rPr>
          <w:rFonts w:eastAsia="Times New Roman" w:cs="Times New Roman"/>
          <w:color w:val="4A4A4A"/>
          <w:sz w:val="21"/>
          <w:szCs w:val="21"/>
          <w:lang w:eastAsia="en-GB"/>
        </w:rPr>
      </w:pPr>
      <w:r w:rsidRPr="00F07C28">
        <w:rPr>
          <w:rFonts w:eastAsia="Times New Roman" w:cs="Times New Roman"/>
          <w:color w:val="4A4A4A"/>
          <w:sz w:val="21"/>
          <w:szCs w:val="21"/>
          <w:lang w:eastAsia="en-GB"/>
        </w:rPr>
        <w:t>All on IWRM Portal (</w:t>
      </w:r>
      <w:hyperlink r:id="rId26" w:history="1">
        <w:r w:rsidRPr="00F07C28">
          <w:rPr>
            <w:rStyle w:val="Hyperlink"/>
            <w:rFonts w:eastAsia="Times New Roman" w:cs="Times New Roman"/>
            <w:sz w:val="21"/>
            <w:szCs w:val="21"/>
            <w:lang w:eastAsia="en-GB"/>
          </w:rPr>
          <w:t>http://iwrmdataportal.unepdhi.org</w:t>
        </w:r>
      </w:hyperlink>
      <w:r w:rsidRPr="00F07C28">
        <w:rPr>
          <w:rFonts w:eastAsia="Times New Roman" w:cs="Times New Roman"/>
          <w:color w:val="4A4A4A"/>
          <w:sz w:val="21"/>
          <w:szCs w:val="21"/>
          <w:lang w:eastAsia="en-GB"/>
        </w:rPr>
        <w:t>)</w:t>
      </w:r>
    </w:p>
    <w:p w14:paraId="760C013A" w14:textId="4597FCBD" w:rsidR="00D51E7C" w:rsidRPr="00C019E5" w:rsidRDefault="00D51E7C">
      <w:pPr>
        <w:pStyle w:val="MText"/>
        <w:rPr>
          <w:highlight w:val="cyan"/>
        </w:rPr>
      </w:pPr>
    </w:p>
    <w:p w14:paraId="72C7C370" w14:textId="69438B53" w:rsidR="00D51E7C" w:rsidRPr="00672DED" w:rsidRDefault="00D51E7C" w:rsidP="00420665">
      <w:pPr>
        <w:pStyle w:val="MText"/>
        <w:rPr>
          <w:b/>
        </w:rPr>
      </w:pPr>
      <w:r w:rsidRPr="00672DED">
        <w:rPr>
          <w:b/>
        </w:rPr>
        <w:t>Disaggregation:</w:t>
      </w:r>
    </w:p>
    <w:p w14:paraId="6F29EF8F" w14:textId="77777777" w:rsidR="001D70A5" w:rsidRPr="00F07C28" w:rsidRDefault="001D70A5" w:rsidP="00616A14">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The strength of the indicator lies in the potential for disaggregating the country score into the four main dimensions of IWRM, and further to the questions in the survey. This provides countries with a quick assessment of which aspects of IWRM are progressing well, and which aspects require increased efforts to </w:t>
      </w:r>
      <w:r>
        <w:rPr>
          <w:rFonts w:eastAsia="Times New Roman" w:cs="Times New Roman"/>
          <w:color w:val="4A4A4A"/>
          <w:sz w:val="21"/>
          <w:szCs w:val="21"/>
          <w:lang w:eastAsia="en-GB"/>
        </w:rPr>
        <w:t>reach</w:t>
      </w:r>
      <w:r w:rsidRPr="00F07C28">
        <w:rPr>
          <w:rFonts w:eastAsia="Times New Roman" w:cs="Times New Roman"/>
          <w:color w:val="4A4A4A"/>
          <w:sz w:val="21"/>
          <w:szCs w:val="21"/>
          <w:lang w:eastAsia="en-GB"/>
        </w:rPr>
        <w:t xml:space="preserve"> the target. </w:t>
      </w:r>
    </w:p>
    <w:p w14:paraId="36D84400" w14:textId="77777777" w:rsidR="001D70A5" w:rsidRPr="00F07C28" w:rsidRDefault="001D70A5" w:rsidP="00616A14">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The nature of the target, indicator and survey does not lend itself to disaggregation by sex, age group, income etc. However, social equality is an integral part of IWRM, and there are questions which directly address issues such as gender, vulnerable groups, geographic coverage and broad stakeholder participation in water resources development and management. These questions provide an indication of the national and sub-national situation regarding social equality.</w:t>
      </w:r>
    </w:p>
    <w:p w14:paraId="42E8CA56" w14:textId="77777777" w:rsidR="00D51E7C" w:rsidRPr="00A96255" w:rsidRDefault="00D51E7C">
      <w:pPr>
        <w:pStyle w:val="MText"/>
      </w:pPr>
    </w:p>
    <w:p w14:paraId="33CAB7BE" w14:textId="4BF1196D" w:rsidR="00EC2915" w:rsidRDefault="00B31E2C" w:rsidP="00660624">
      <w:pPr>
        <w:pStyle w:val="MHeader"/>
        <w:spacing w:after="100"/>
      </w:pPr>
      <w:r w:rsidRPr="00A96255">
        <w:t xml:space="preserve">6. Comparability / deviation from international standards </w:t>
      </w:r>
      <w:r>
        <w:rPr>
          <w:color w:val="B4B4B4"/>
          <w:sz w:val="20"/>
        </w:rPr>
        <w:t>(COMPARABILITY)</w:t>
      </w:r>
    </w:p>
    <w:p w14:paraId="3595E072" w14:textId="2BE2FF0F" w:rsidR="00D51E7C" w:rsidRPr="00672DED" w:rsidRDefault="00D51E7C" w:rsidP="00420665">
      <w:pPr>
        <w:pStyle w:val="MText"/>
        <w:rPr>
          <w:b/>
        </w:rPr>
      </w:pPr>
      <w:r w:rsidRPr="00672DED">
        <w:rPr>
          <w:b/>
        </w:rPr>
        <w:lastRenderedPageBreak/>
        <w:t>Sources of discrepancies:</w:t>
      </w:r>
    </w:p>
    <w:p w14:paraId="167C7E2C" w14:textId="2248EA75" w:rsidR="00D551E0" w:rsidRPr="001E17BE" w:rsidRDefault="008630F8" w:rsidP="00616A1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Indicator is calculated </w:t>
      </w:r>
      <w:r w:rsidR="0040583C">
        <w:rPr>
          <w:rFonts w:eastAsia="Times New Roman" w:cs="Times New Roman"/>
          <w:color w:val="4A4A4A"/>
          <w:sz w:val="21"/>
          <w:szCs w:val="21"/>
          <w:lang w:eastAsia="en-GB"/>
        </w:rPr>
        <w:t xml:space="preserve">by countries </w:t>
      </w:r>
      <w:r>
        <w:rPr>
          <w:rFonts w:eastAsia="Times New Roman" w:cs="Times New Roman"/>
          <w:color w:val="4A4A4A"/>
          <w:sz w:val="21"/>
          <w:szCs w:val="21"/>
          <w:lang w:eastAsia="en-GB"/>
        </w:rPr>
        <w:t>according to the internationally agreed methodology</w:t>
      </w:r>
      <w:r w:rsidR="0040583C">
        <w:rPr>
          <w:rFonts w:eastAsia="Times New Roman" w:cs="Times New Roman"/>
          <w:color w:val="4A4A4A"/>
          <w:sz w:val="21"/>
          <w:szCs w:val="21"/>
          <w:lang w:eastAsia="en-GB"/>
        </w:rPr>
        <w:t xml:space="preserve">, and there are no deviations from </w:t>
      </w:r>
      <w:r w:rsidR="00BD2A5D">
        <w:rPr>
          <w:rFonts w:eastAsia="Times New Roman" w:cs="Times New Roman"/>
          <w:color w:val="4A4A4A"/>
          <w:sz w:val="21"/>
          <w:szCs w:val="21"/>
          <w:lang w:eastAsia="en-GB"/>
        </w:rPr>
        <w:t xml:space="preserve">international standards.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2200F1DB" w14:textId="293ABC28" w:rsidR="00E7335B" w:rsidRDefault="00E7335B">
      <w:pPr>
        <w:shd w:val="clear" w:color="auto" w:fill="FFFFFF"/>
        <w:spacing w:after="0"/>
        <w:contextualSpacing/>
        <w:rPr>
          <w:rFonts w:eastAsia="Times New Roman" w:cs="Times New Roman"/>
          <w:color w:val="4A4A4A"/>
          <w:sz w:val="21"/>
          <w:szCs w:val="21"/>
          <w:lang w:eastAsia="en-GB"/>
        </w:rPr>
      </w:pPr>
      <w:r w:rsidRPr="009B35B6">
        <w:rPr>
          <w:rFonts w:eastAsia="Times New Roman" w:cs="Times New Roman"/>
          <w:b/>
          <w:bCs/>
          <w:color w:val="4A4A4A"/>
          <w:sz w:val="21"/>
          <w:szCs w:val="21"/>
          <w:lang w:val="en-US" w:eastAsia="en-GB"/>
        </w:rPr>
        <w:t>URL</w:t>
      </w:r>
      <w:r w:rsidR="002C05EF" w:rsidRPr="009B35B6">
        <w:rPr>
          <w:rFonts w:eastAsia="Times New Roman" w:cs="Times New Roman"/>
          <w:b/>
          <w:bCs/>
          <w:color w:val="4A4A4A"/>
          <w:sz w:val="21"/>
          <w:szCs w:val="21"/>
          <w:lang w:val="en-US" w:eastAsia="en-GB"/>
        </w:rPr>
        <w:t>s</w:t>
      </w:r>
      <w:r w:rsidRPr="009B35B6">
        <w:rPr>
          <w:rFonts w:eastAsia="Times New Roman" w:cs="Times New Roman"/>
          <w:b/>
          <w:bCs/>
          <w:color w:val="4A4A4A"/>
          <w:sz w:val="21"/>
          <w:szCs w:val="21"/>
          <w:lang w:val="en-US" w:eastAsia="en-GB"/>
        </w:rPr>
        <w:t xml:space="preserve">: </w:t>
      </w:r>
      <w:hyperlink r:id="rId27" w:history="1">
        <w:r w:rsidRPr="009B35B6">
          <w:rPr>
            <w:rStyle w:val="Hyperlink"/>
            <w:rFonts w:eastAsia="Times New Roman" w:cs="Times New Roman"/>
            <w:sz w:val="21"/>
            <w:szCs w:val="21"/>
            <w:lang w:val="en-US" w:eastAsia="en-GB"/>
          </w:rPr>
          <w:t>http://iwrmdataportal.unepdhi.org</w:t>
        </w:r>
      </w:hyperlink>
      <w:r w:rsidRPr="009B35B6">
        <w:rPr>
          <w:rFonts w:eastAsia="Times New Roman" w:cs="Times New Roman"/>
          <w:color w:val="4A4A4A"/>
          <w:sz w:val="21"/>
          <w:szCs w:val="21"/>
          <w:lang w:val="en-US" w:eastAsia="en-GB"/>
        </w:rPr>
        <w:t xml:space="preserve"> . </w:t>
      </w:r>
      <w:r w:rsidRPr="00F07C28">
        <w:rPr>
          <w:rFonts w:eastAsia="Times New Roman" w:cs="Times New Roman"/>
          <w:color w:val="4A4A4A"/>
          <w:sz w:val="21"/>
          <w:szCs w:val="21"/>
          <w:lang w:eastAsia="en-GB"/>
        </w:rPr>
        <w:t xml:space="preserve">This contains the </w:t>
      </w:r>
      <w:r>
        <w:rPr>
          <w:rFonts w:eastAsia="Times New Roman" w:cs="Times New Roman"/>
          <w:color w:val="4A4A4A"/>
          <w:sz w:val="21"/>
          <w:szCs w:val="21"/>
          <w:lang w:eastAsia="en-GB"/>
        </w:rPr>
        <w:t xml:space="preserve">latest survey instrument, monitoring guide, and all supporting documentation. </w:t>
      </w:r>
    </w:p>
    <w:p w14:paraId="4D510C51" w14:textId="1034F873" w:rsidR="002C05EF" w:rsidRPr="00F07C28" w:rsidRDefault="00000000">
      <w:pPr>
        <w:shd w:val="clear" w:color="auto" w:fill="FFFFFF"/>
        <w:spacing w:after="0"/>
        <w:contextualSpacing/>
        <w:rPr>
          <w:rFonts w:eastAsia="Times New Roman" w:cs="Times New Roman"/>
          <w:color w:val="4A4A4A"/>
          <w:sz w:val="21"/>
          <w:szCs w:val="21"/>
          <w:lang w:eastAsia="en-GB"/>
        </w:rPr>
      </w:pPr>
      <w:hyperlink r:id="rId28" w:history="1">
        <w:r w:rsidR="002C05EF" w:rsidRPr="00A103A9">
          <w:rPr>
            <w:rStyle w:val="Hyperlink"/>
            <w:rFonts w:eastAsia="Times New Roman" w:cs="Times New Roman"/>
            <w:sz w:val="21"/>
            <w:szCs w:val="21"/>
            <w:lang w:eastAsia="en-GB"/>
          </w:rPr>
          <w:t>https://www.gwp.org/en/sdg6support/</w:t>
        </w:r>
      </w:hyperlink>
      <w:r w:rsidR="002C05EF">
        <w:rPr>
          <w:rFonts w:eastAsia="Times New Roman" w:cs="Times New Roman"/>
          <w:color w:val="4A4A4A"/>
          <w:sz w:val="21"/>
          <w:szCs w:val="21"/>
          <w:lang w:eastAsia="en-GB"/>
        </w:rPr>
        <w:t xml:space="preserve"> : SDG 6 IWRM Support Programme. </w:t>
      </w:r>
    </w:p>
    <w:p w14:paraId="194B3062" w14:textId="77777777" w:rsidR="00E7335B" w:rsidRPr="00F07C28" w:rsidRDefault="00E7335B">
      <w:pPr>
        <w:shd w:val="clear" w:color="auto" w:fill="FFFFFF"/>
        <w:spacing w:after="0"/>
        <w:contextualSpacing/>
        <w:rPr>
          <w:rFonts w:eastAsia="Times New Roman" w:cs="Times New Roman"/>
          <w:b/>
          <w:bCs/>
          <w:color w:val="4A4A4A"/>
          <w:sz w:val="21"/>
          <w:szCs w:val="21"/>
          <w:lang w:eastAsia="en-GB"/>
        </w:rPr>
      </w:pPr>
    </w:p>
    <w:p w14:paraId="748BE090" w14:textId="77777777" w:rsidR="00E7335B" w:rsidRPr="00F07C28" w:rsidRDefault="00E7335B" w:rsidP="00420665">
      <w:pPr>
        <w:shd w:val="clear" w:color="auto" w:fill="FFFFFF"/>
        <w:spacing w:after="0"/>
        <w:contextualSpacing/>
        <w:rPr>
          <w:rFonts w:eastAsia="Times New Roman" w:cs="Times New Roman"/>
          <w:color w:val="4A4A4A"/>
          <w:sz w:val="21"/>
          <w:szCs w:val="21"/>
          <w:lang w:eastAsia="en-GB"/>
        </w:rPr>
      </w:pPr>
      <w:r w:rsidRPr="00F07C28">
        <w:rPr>
          <w:rFonts w:eastAsia="Times New Roman" w:cs="Times New Roman"/>
          <w:b/>
          <w:bCs/>
          <w:color w:val="4A4A4A"/>
          <w:sz w:val="21"/>
          <w:szCs w:val="21"/>
          <w:lang w:eastAsia="en-GB"/>
        </w:rPr>
        <w:t>References:</w:t>
      </w:r>
    </w:p>
    <w:p w14:paraId="3751A7E7" w14:textId="7696D8FD" w:rsidR="006531CF" w:rsidRDefault="006531CF" w:rsidP="008C53C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t>
      </w:r>
      <w:r w:rsidR="008C53C4">
        <w:rPr>
          <w:rFonts w:eastAsia="Times New Roman" w:cs="Times New Roman"/>
          <w:color w:val="4A4A4A"/>
          <w:sz w:val="21"/>
          <w:szCs w:val="21"/>
          <w:lang w:eastAsia="en-GB"/>
        </w:rPr>
        <w:t xml:space="preserve"> </w:t>
      </w:r>
      <w:r w:rsidR="008C53C4" w:rsidRPr="008C53C4">
        <w:rPr>
          <w:rFonts w:eastAsia="Times New Roman" w:cs="Times New Roman"/>
          <w:color w:val="4A4A4A"/>
          <w:sz w:val="21"/>
          <w:szCs w:val="21"/>
          <w:lang w:eastAsia="en-GB"/>
        </w:rPr>
        <w:t xml:space="preserve">UNEP (2021). </w:t>
      </w:r>
      <w:hyperlink r:id="rId29" w:history="1">
        <w:r w:rsidR="008C53C4" w:rsidRPr="008C53C4">
          <w:rPr>
            <w:rStyle w:val="Hyperlink"/>
            <w:rFonts w:eastAsia="Times New Roman" w:cs="Times New Roman"/>
            <w:sz w:val="21"/>
            <w:szCs w:val="21"/>
            <w:lang w:eastAsia="en-GB"/>
          </w:rPr>
          <w:t>Progress on Integrated Water Resources Management. Tracking SDG 6 series: global indicator 6.5.1 updates and acceleration needs</w:t>
        </w:r>
      </w:hyperlink>
      <w:r w:rsidR="008C53C4" w:rsidRPr="008C53C4">
        <w:rPr>
          <w:rFonts w:eastAsia="Times New Roman" w:cs="Times New Roman"/>
          <w:color w:val="4A4A4A"/>
          <w:sz w:val="21"/>
          <w:szCs w:val="21"/>
          <w:lang w:eastAsia="en-GB"/>
        </w:rPr>
        <w:t>.</w:t>
      </w:r>
    </w:p>
    <w:p w14:paraId="462912DC" w14:textId="53C8C453" w:rsidR="00AD08B0" w:rsidRPr="00AD08B0" w:rsidRDefault="008C53C4">
      <w:pPr>
        <w:shd w:val="clear" w:color="auto" w:fill="FFFFFF"/>
        <w:spacing w:after="0"/>
        <w:rPr>
          <w:rStyle w:val="Hyperlink"/>
          <w:rFonts w:eastAsia="Times New Roman" w:cs="Times New Roman"/>
          <w:sz w:val="21"/>
          <w:szCs w:val="21"/>
          <w:lang w:eastAsia="en-GB"/>
        </w:rPr>
      </w:pPr>
      <w:r>
        <w:rPr>
          <w:rFonts w:eastAsia="Times New Roman" w:cs="Times New Roman"/>
          <w:color w:val="4A4A4A"/>
          <w:sz w:val="21"/>
          <w:szCs w:val="21"/>
          <w:lang w:eastAsia="en-GB"/>
        </w:rPr>
        <w:t xml:space="preserve">- </w:t>
      </w:r>
      <w:r w:rsidR="00AD08B0" w:rsidRPr="009B35B6">
        <w:rPr>
          <w:color w:val="4A4A4A"/>
        </w:rPr>
        <w:t xml:space="preserve">GWP and UNEP-DHI (2021). </w:t>
      </w:r>
      <w:r w:rsidR="00AD08B0">
        <w:rPr>
          <w:rFonts w:eastAsia="Times New Roman" w:cs="Times New Roman"/>
          <w:color w:val="4A4A4A"/>
          <w:sz w:val="21"/>
          <w:szCs w:val="21"/>
          <w:lang w:eastAsia="en-GB"/>
        </w:rPr>
        <w:fldChar w:fldCharType="begin"/>
      </w:r>
      <w:r w:rsidR="00AD08B0">
        <w:rPr>
          <w:rFonts w:eastAsia="Times New Roman" w:cs="Times New Roman"/>
          <w:color w:val="4A4A4A"/>
          <w:sz w:val="21"/>
          <w:szCs w:val="21"/>
          <w:lang w:eastAsia="en-GB"/>
        </w:rPr>
        <w:instrText xml:space="preserve"> HYPERLINK "https://www.unepdhi.org/progress-on-integrated-water-resources-management-iwrm-in-the-asia-pacific-region-2021/" </w:instrText>
      </w:r>
      <w:r w:rsidR="00AD08B0">
        <w:rPr>
          <w:rFonts w:eastAsia="Times New Roman" w:cs="Times New Roman"/>
          <w:color w:val="4A4A4A"/>
          <w:sz w:val="21"/>
          <w:szCs w:val="21"/>
          <w:lang w:eastAsia="en-GB"/>
        </w:rPr>
      </w:r>
      <w:r w:rsidR="00AD08B0">
        <w:rPr>
          <w:rFonts w:eastAsia="Times New Roman" w:cs="Times New Roman"/>
          <w:color w:val="4A4A4A"/>
          <w:sz w:val="21"/>
          <w:szCs w:val="21"/>
          <w:lang w:eastAsia="en-GB"/>
        </w:rPr>
        <w:fldChar w:fldCharType="separate"/>
      </w:r>
      <w:r w:rsidR="00AD08B0" w:rsidRPr="00AD08B0">
        <w:rPr>
          <w:rStyle w:val="Hyperlink"/>
          <w:rFonts w:eastAsia="Times New Roman" w:cs="Times New Roman"/>
          <w:sz w:val="21"/>
          <w:szCs w:val="21"/>
          <w:lang w:eastAsia="en-GB"/>
        </w:rPr>
        <w:t>Progress on Integrated Water Resources Management (IWRM) in the</w:t>
      </w:r>
    </w:p>
    <w:p w14:paraId="30C56BDF" w14:textId="77777777" w:rsidR="00AD08B0" w:rsidRPr="00AD08B0" w:rsidRDefault="00AD08B0">
      <w:pPr>
        <w:shd w:val="clear" w:color="auto" w:fill="FFFFFF"/>
        <w:spacing w:after="0"/>
        <w:rPr>
          <w:rStyle w:val="Hyperlink"/>
          <w:rFonts w:eastAsia="Times New Roman" w:cs="Times New Roman"/>
          <w:sz w:val="21"/>
          <w:szCs w:val="21"/>
          <w:lang w:eastAsia="en-GB"/>
        </w:rPr>
      </w:pPr>
      <w:r w:rsidRPr="00AD08B0">
        <w:rPr>
          <w:rStyle w:val="Hyperlink"/>
          <w:rFonts w:eastAsia="Times New Roman" w:cs="Times New Roman"/>
          <w:sz w:val="21"/>
          <w:szCs w:val="21"/>
          <w:lang w:eastAsia="en-GB"/>
        </w:rPr>
        <w:t>Asia-Pacific Region 2021: Learning exchange on monitoring and implementation towards SDG</w:t>
      </w:r>
    </w:p>
    <w:p w14:paraId="140F49FD" w14:textId="3D2D7300" w:rsidR="008C53C4" w:rsidRPr="00E1472C" w:rsidRDefault="00AD08B0" w:rsidP="00AD08B0">
      <w:pPr>
        <w:shd w:val="clear" w:color="auto" w:fill="FFFFFF"/>
        <w:spacing w:after="0"/>
        <w:rPr>
          <w:rFonts w:eastAsia="Times New Roman" w:cs="Times New Roman"/>
          <w:color w:val="4A4A4A"/>
          <w:sz w:val="21"/>
          <w:szCs w:val="21"/>
          <w:lang w:val="es-ES" w:eastAsia="en-GB"/>
        </w:rPr>
      </w:pPr>
      <w:r w:rsidRPr="00E1472C">
        <w:rPr>
          <w:rStyle w:val="Hyperlink"/>
          <w:rFonts w:eastAsia="Times New Roman" w:cs="Times New Roman"/>
          <w:sz w:val="21"/>
          <w:szCs w:val="21"/>
          <w:lang w:val="es-ES" w:eastAsia="en-GB"/>
        </w:rPr>
        <w:t>6.5.1</w:t>
      </w:r>
      <w:r>
        <w:rPr>
          <w:rFonts w:eastAsia="Times New Roman" w:cs="Times New Roman"/>
          <w:color w:val="4A4A4A"/>
          <w:sz w:val="21"/>
          <w:szCs w:val="21"/>
          <w:lang w:eastAsia="en-GB"/>
        </w:rPr>
        <w:fldChar w:fldCharType="end"/>
      </w:r>
    </w:p>
    <w:p w14:paraId="13A19574" w14:textId="7D1BDAA6" w:rsidR="00944D67" w:rsidRPr="00E1472C" w:rsidRDefault="00944D67">
      <w:pPr>
        <w:shd w:val="clear" w:color="auto" w:fill="FFFFFF"/>
        <w:spacing w:after="0"/>
        <w:rPr>
          <w:rFonts w:eastAsia="Times New Roman" w:cs="Times New Roman"/>
          <w:color w:val="4A4A4A"/>
          <w:sz w:val="21"/>
          <w:szCs w:val="21"/>
          <w:lang w:val="es-ES" w:eastAsia="en-GB"/>
        </w:rPr>
      </w:pPr>
      <w:r w:rsidRPr="00E1472C">
        <w:rPr>
          <w:rFonts w:eastAsia="Times New Roman" w:cs="Times New Roman"/>
          <w:color w:val="4A4A4A"/>
          <w:sz w:val="21"/>
          <w:szCs w:val="21"/>
          <w:lang w:val="es-ES" w:eastAsia="en-GB"/>
        </w:rPr>
        <w:t xml:space="preserve">- GWP Centroamérica, mayo de 2021: </w:t>
      </w:r>
      <w:hyperlink r:id="rId30" w:history="1">
        <w:r w:rsidRPr="00E1472C">
          <w:rPr>
            <w:rStyle w:val="Hyperlink"/>
            <w:lang w:val="es-ES"/>
          </w:rPr>
          <w:t xml:space="preserve">Estado de la implementación de la Gestión Integrada de los Recursos Hídricos en Centroamérica </w:t>
        </w:r>
        <w:r w:rsidRPr="00E1472C">
          <w:rPr>
            <w:rStyle w:val="Hyperlink"/>
            <w:rFonts w:eastAsia="Times New Roman" w:cs="Times New Roman"/>
            <w:sz w:val="21"/>
            <w:szCs w:val="21"/>
            <w:lang w:val="es-ES" w:eastAsia="en-GB"/>
          </w:rPr>
          <w:t xml:space="preserve">y </w:t>
        </w:r>
        <w:proofErr w:type="spellStart"/>
        <w:r w:rsidRPr="00E1472C">
          <w:rPr>
            <w:rStyle w:val="Hyperlink"/>
            <w:rFonts w:eastAsia="Times New Roman" w:cs="Times New Roman"/>
            <w:sz w:val="21"/>
            <w:szCs w:val="21"/>
            <w:lang w:val="es-ES" w:eastAsia="en-GB"/>
          </w:rPr>
          <w:t>Republica</w:t>
        </w:r>
        <w:proofErr w:type="spellEnd"/>
        <w:r w:rsidRPr="00E1472C">
          <w:rPr>
            <w:rStyle w:val="Hyperlink"/>
            <w:rFonts w:eastAsia="Times New Roman" w:cs="Times New Roman"/>
            <w:sz w:val="21"/>
            <w:szCs w:val="21"/>
            <w:lang w:val="es-ES" w:eastAsia="en-GB"/>
          </w:rPr>
          <w:t xml:space="preserve"> Dominicana al 2020</w:t>
        </w:r>
      </w:hyperlink>
      <w:r w:rsidRPr="00E1472C">
        <w:rPr>
          <w:rFonts w:eastAsia="Times New Roman" w:cs="Times New Roman"/>
          <w:color w:val="4A4A4A"/>
          <w:sz w:val="21"/>
          <w:szCs w:val="21"/>
          <w:lang w:val="es-ES" w:eastAsia="en-GB"/>
        </w:rPr>
        <w:t>.</w:t>
      </w:r>
    </w:p>
    <w:p w14:paraId="3532E0A9" w14:textId="1B30B9B9" w:rsidR="00E7335B" w:rsidRPr="00F07C28" w:rsidRDefault="00E7335B" w:rsidP="00422A1E">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 AMCOW 2018: Status Report on the Implementation of Water Resources Management in Africa: a regional report for SDG indicator 6.5.1 on IWRM implementation. </w:t>
      </w:r>
      <w:hyperlink r:id="rId31" w:history="1">
        <w:r w:rsidR="00A9503E" w:rsidRPr="00B679D4">
          <w:rPr>
            <w:rStyle w:val="Hyperlink"/>
            <w:rFonts w:eastAsia="Times New Roman" w:cs="Times New Roman"/>
            <w:sz w:val="21"/>
            <w:szCs w:val="21"/>
            <w:lang w:eastAsia="en-GB"/>
          </w:rPr>
          <w:t>AMCOW 2018: Status Report on the Implementation of Water Resources Management in Africa: a regional report for SDG indicator 6.5.1 on IWRM implementation.</w:t>
        </w:r>
      </w:hyperlink>
    </w:p>
    <w:p w14:paraId="7BE1800B" w14:textId="10CCEEDB" w:rsidR="00E7335B" w:rsidRPr="00F07C28" w:rsidRDefault="00E7335B" w:rsidP="00422A1E">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 UNEP 2018: Progress on integrated water resources management. Global baseline for SDG 6 Indicator 6.5.1: degree of IWRM implementation. </w:t>
      </w:r>
      <w:r w:rsidR="008D0042" w:rsidRPr="008D0042">
        <w:rPr>
          <w:rFonts w:eastAsia="Times New Roman" w:cs="Times New Roman"/>
          <w:color w:val="4A4A4A"/>
          <w:sz w:val="21"/>
          <w:szCs w:val="21"/>
          <w:lang w:eastAsia="en-GB"/>
        </w:rPr>
        <w:t>http://iwrmdataportal.unepdhi.org/IWRMDataJsonService/Service1.svc/DownloadPublicationsReportDoc/English/report</w:t>
      </w:r>
    </w:p>
    <w:p w14:paraId="14FA1F3C" w14:textId="66ECEEF8" w:rsidR="00E7335B" w:rsidRPr="00F07C28" w:rsidRDefault="00E7335B" w:rsidP="00422A1E">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United Nations Economic and Social</w:t>
      </w:r>
      <w:r w:rsidR="000C7A04">
        <w:rPr>
          <w:rFonts w:eastAsia="Times New Roman" w:cs="Times New Roman"/>
          <w:color w:val="4A4A4A"/>
          <w:sz w:val="21"/>
          <w:szCs w:val="21"/>
          <w:lang w:eastAsia="en-GB"/>
        </w:rPr>
        <w:t xml:space="preserve"> </w:t>
      </w:r>
      <w:r w:rsidRPr="00F07C28">
        <w:rPr>
          <w:rFonts w:eastAsia="Times New Roman" w:cs="Times New Roman"/>
          <w:color w:val="4A4A4A"/>
          <w:sz w:val="21"/>
          <w:szCs w:val="21"/>
          <w:lang w:eastAsia="en-GB"/>
        </w:rPr>
        <w:t xml:space="preserve">Commission for West Asia (2019). Status Report on the Implementation of Integrated Water Resources Management in the Arab Region: Progress on SDG indicator 6.5.1. </w:t>
      </w:r>
      <w:r w:rsidR="00A221AC" w:rsidRPr="00A221AC">
        <w:rPr>
          <w:rFonts w:eastAsia="Times New Roman" w:cs="Times New Roman"/>
          <w:color w:val="4A4A4A"/>
          <w:sz w:val="21"/>
          <w:szCs w:val="21"/>
          <w:lang w:eastAsia="en-GB"/>
        </w:rPr>
        <w:t>http://iwrmdataportal.unepdhi.org/IWRMDataJsonService/Service1.svc/DownloadOnAboutPage/Full_Report/Arabic</w:t>
      </w:r>
    </w:p>
    <w:p w14:paraId="5A8CF060" w14:textId="77777777" w:rsidR="00E7335B" w:rsidRPr="00F07C28" w:rsidRDefault="00E7335B" w:rsidP="00422A1E">
      <w:pPr>
        <w:shd w:val="clear" w:color="auto" w:fill="FFFFFF"/>
        <w:spacing w:after="0"/>
        <w:contextualSpacing/>
        <w:rPr>
          <w:rFonts w:eastAsia="Times New Roman" w:cs="Times New Roman"/>
          <w:color w:val="4A4A4A"/>
          <w:sz w:val="21"/>
          <w:szCs w:val="21"/>
          <w:lang w:eastAsia="en-GB"/>
        </w:rPr>
      </w:pPr>
      <w:r w:rsidRPr="00F07C28">
        <w:rPr>
          <w:rFonts w:eastAsia="Times New Roman" w:cs="Times New Roman"/>
          <w:color w:val="4A4A4A"/>
          <w:sz w:val="21"/>
          <w:szCs w:val="21"/>
          <w:lang w:eastAsia="en-GB"/>
        </w:rPr>
        <w:t xml:space="preserve">- </w:t>
      </w:r>
      <w:r w:rsidRPr="00F07C28">
        <w:rPr>
          <w:color w:val="4A4A4A"/>
          <w:sz w:val="21"/>
          <w:szCs w:val="21"/>
        </w:rPr>
        <w:t xml:space="preserve">UN-Water initiative on integrated monitoring of SDG 6. </w:t>
      </w:r>
      <w:hyperlink r:id="rId32" w:history="1">
        <w:r w:rsidRPr="00F07C28">
          <w:rPr>
            <w:rStyle w:val="Hyperlink"/>
            <w:rFonts w:eastAsia="Times New Roman" w:cs="Times New Roman"/>
            <w:sz w:val="21"/>
            <w:szCs w:val="21"/>
            <w:lang w:eastAsia="en-GB"/>
          </w:rPr>
          <w:t>http://sdg6data.org</w:t>
        </w:r>
      </w:hyperlink>
    </w:p>
    <w:p w14:paraId="6BEE79D3" w14:textId="559DF109" w:rsidR="00E7335B" w:rsidRPr="00F07C28" w:rsidRDefault="00E7335B" w:rsidP="00422A1E">
      <w:pPr>
        <w:shd w:val="clear" w:color="auto" w:fill="FFFFFF"/>
        <w:spacing w:after="0"/>
        <w:rPr>
          <w:rFonts w:eastAsia="Times New Roman" w:cs="Times New Roman"/>
          <w:color w:val="4A4A4A"/>
          <w:sz w:val="21"/>
          <w:szCs w:val="21"/>
          <w:lang w:eastAsia="en-GB"/>
        </w:rPr>
      </w:pPr>
      <w:r w:rsidRPr="00F07C28">
        <w:rPr>
          <w:rFonts w:eastAsia="Times New Roman" w:cs="Times New Roman"/>
          <w:color w:val="4A4A4A"/>
          <w:sz w:val="21"/>
          <w:szCs w:val="21"/>
          <w:lang w:eastAsia="en-GB"/>
        </w:rPr>
        <w:t>- UN-Water, 2016: Water and Sanitation Interlinkages across the 2030 Agenda for Sustainable Development. Geneva.</w:t>
      </w:r>
      <w:r w:rsidR="00630E44" w:rsidRPr="00630E44">
        <w:t xml:space="preserve"> </w:t>
      </w:r>
      <w:r w:rsidR="00630E44" w:rsidRPr="00630E44">
        <w:rPr>
          <w:rFonts w:eastAsia="Times New Roman" w:cs="Times New Roman"/>
          <w:color w:val="4A4A4A"/>
          <w:sz w:val="21"/>
          <w:szCs w:val="21"/>
          <w:lang w:eastAsia="en-GB"/>
        </w:rPr>
        <w:t>https://www.unwater.org/app/uploads/2016/08/Water-and-Sanitation-Interlinkages.pdf</w:t>
      </w:r>
    </w:p>
    <w:p w14:paraId="384B0992" w14:textId="36889691" w:rsidR="00186795" w:rsidRDefault="00186795" w:rsidP="00D72599">
      <w:pPr>
        <w:spacing w:after="0"/>
      </w:pPr>
    </w:p>
    <w:sectPr w:rsidR="00186795">
      <w:headerReference w:type="default" r:id="rId3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942C8" w14:textId="77777777" w:rsidR="00CA7229" w:rsidRDefault="00CA7229" w:rsidP="00573C0B">
      <w:pPr>
        <w:spacing w:after="0" w:line="240" w:lineRule="auto"/>
      </w:pPr>
      <w:r>
        <w:separator/>
      </w:r>
    </w:p>
  </w:endnote>
  <w:endnote w:type="continuationSeparator" w:id="0">
    <w:p w14:paraId="2DB26D13" w14:textId="77777777" w:rsidR="00CA7229" w:rsidRDefault="00CA7229" w:rsidP="00573C0B">
      <w:pPr>
        <w:spacing w:after="0" w:line="240" w:lineRule="auto"/>
      </w:pPr>
      <w:r>
        <w:continuationSeparator/>
      </w:r>
    </w:p>
  </w:endnote>
  <w:endnote w:type="continuationNotice" w:id="1">
    <w:p w14:paraId="2DF721F4" w14:textId="77777777" w:rsidR="00CA7229" w:rsidRDefault="00CA72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6EF1B" w14:textId="77777777" w:rsidR="00CA7229" w:rsidRDefault="00CA7229" w:rsidP="00573C0B">
      <w:pPr>
        <w:spacing w:after="0" w:line="240" w:lineRule="auto"/>
      </w:pPr>
      <w:r>
        <w:separator/>
      </w:r>
    </w:p>
  </w:footnote>
  <w:footnote w:type="continuationSeparator" w:id="0">
    <w:p w14:paraId="07FB796D" w14:textId="77777777" w:rsidR="00CA7229" w:rsidRDefault="00CA7229" w:rsidP="00573C0B">
      <w:pPr>
        <w:spacing w:after="0" w:line="240" w:lineRule="auto"/>
      </w:pPr>
      <w:r>
        <w:continuationSeparator/>
      </w:r>
    </w:p>
  </w:footnote>
  <w:footnote w:type="continuationNotice" w:id="1">
    <w:p w14:paraId="7917A0CB" w14:textId="77777777" w:rsidR="00CA7229" w:rsidRDefault="00CA72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6534FD0A"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9067AA">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67F8"/>
    <w:multiLevelType w:val="hybridMultilevel"/>
    <w:tmpl w:val="B742F574"/>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B2134F"/>
    <w:multiLevelType w:val="hybridMultilevel"/>
    <w:tmpl w:val="7B0C0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D56B0"/>
    <w:multiLevelType w:val="hybridMultilevel"/>
    <w:tmpl w:val="B742F574"/>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86358E"/>
    <w:multiLevelType w:val="hybridMultilevel"/>
    <w:tmpl w:val="B742F574"/>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CD23A8"/>
    <w:multiLevelType w:val="hybridMultilevel"/>
    <w:tmpl w:val="4380E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E52D7"/>
    <w:multiLevelType w:val="hybridMultilevel"/>
    <w:tmpl w:val="A12A3A4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3F7656"/>
    <w:multiLevelType w:val="hybridMultilevel"/>
    <w:tmpl w:val="7D989630"/>
    <w:lvl w:ilvl="0" w:tplc="0409000F">
      <w:start w:val="1"/>
      <w:numFmt w:val="decimal"/>
      <w:lvlText w:val="%1."/>
      <w:lvlJc w:val="left"/>
      <w:pPr>
        <w:ind w:left="720" w:hanging="360"/>
      </w:pPr>
      <w:rPr>
        <w:rFonts w:hint="default"/>
      </w:rPr>
    </w:lvl>
    <w:lvl w:ilvl="1" w:tplc="9C7E38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4831AA"/>
    <w:multiLevelType w:val="hybridMultilevel"/>
    <w:tmpl w:val="E5884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474D69"/>
    <w:multiLevelType w:val="hybridMultilevel"/>
    <w:tmpl w:val="15628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3D63DC"/>
    <w:multiLevelType w:val="hybridMultilevel"/>
    <w:tmpl w:val="1C48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A12616"/>
    <w:multiLevelType w:val="hybridMultilevel"/>
    <w:tmpl w:val="BA98CBD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9A346B9"/>
    <w:multiLevelType w:val="hybridMultilevel"/>
    <w:tmpl w:val="EB62B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200135"/>
    <w:multiLevelType w:val="hybridMultilevel"/>
    <w:tmpl w:val="C54A4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B16EEC"/>
    <w:multiLevelType w:val="hybridMultilevel"/>
    <w:tmpl w:val="3D1E0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604A61"/>
    <w:multiLevelType w:val="hybridMultilevel"/>
    <w:tmpl w:val="B742F574"/>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4DE57E1"/>
    <w:multiLevelType w:val="hybridMultilevel"/>
    <w:tmpl w:val="FDDE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1D67A4"/>
    <w:multiLevelType w:val="hybridMultilevel"/>
    <w:tmpl w:val="AA96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671033"/>
    <w:multiLevelType w:val="hybridMultilevel"/>
    <w:tmpl w:val="4E86E85A"/>
    <w:lvl w:ilvl="0" w:tplc="04090001">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4E4CE9"/>
    <w:multiLevelType w:val="hybridMultilevel"/>
    <w:tmpl w:val="B15E02B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1476F84"/>
    <w:multiLevelType w:val="hybridMultilevel"/>
    <w:tmpl w:val="B742F574"/>
    <w:lvl w:ilvl="0" w:tplc="08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4192113">
    <w:abstractNumId w:val="16"/>
  </w:num>
  <w:num w:numId="2" w16cid:durableId="1653409606">
    <w:abstractNumId w:val="6"/>
  </w:num>
  <w:num w:numId="3" w16cid:durableId="512065305">
    <w:abstractNumId w:val="23"/>
  </w:num>
  <w:num w:numId="4" w16cid:durableId="2054579592">
    <w:abstractNumId w:val="7"/>
  </w:num>
  <w:num w:numId="5" w16cid:durableId="88670927">
    <w:abstractNumId w:val="1"/>
  </w:num>
  <w:num w:numId="6" w16cid:durableId="858087082">
    <w:abstractNumId w:val="11"/>
  </w:num>
  <w:num w:numId="7" w16cid:durableId="513225465">
    <w:abstractNumId w:val="8"/>
  </w:num>
  <w:num w:numId="8" w16cid:durableId="868032104">
    <w:abstractNumId w:val="5"/>
  </w:num>
  <w:num w:numId="9" w16cid:durableId="1214193659">
    <w:abstractNumId w:val="21"/>
  </w:num>
  <w:num w:numId="10" w16cid:durableId="599146602">
    <w:abstractNumId w:val="4"/>
  </w:num>
  <w:num w:numId="11" w16cid:durableId="722482597">
    <w:abstractNumId w:val="18"/>
  </w:num>
  <w:num w:numId="12" w16cid:durableId="1911116088">
    <w:abstractNumId w:val="20"/>
  </w:num>
  <w:num w:numId="13" w16cid:durableId="246230113">
    <w:abstractNumId w:val="10"/>
  </w:num>
  <w:num w:numId="14" w16cid:durableId="899442247">
    <w:abstractNumId w:val="14"/>
  </w:num>
  <w:num w:numId="15" w16cid:durableId="2019578589">
    <w:abstractNumId w:val="15"/>
  </w:num>
  <w:num w:numId="16" w16cid:durableId="1813787642">
    <w:abstractNumId w:val="19"/>
  </w:num>
  <w:num w:numId="17" w16cid:durableId="857622873">
    <w:abstractNumId w:val="22"/>
  </w:num>
  <w:num w:numId="18" w16cid:durableId="1306543130">
    <w:abstractNumId w:val="0"/>
  </w:num>
  <w:num w:numId="19" w16cid:durableId="1663848269">
    <w:abstractNumId w:val="3"/>
  </w:num>
  <w:num w:numId="20" w16cid:durableId="1098986731">
    <w:abstractNumId w:val="17"/>
  </w:num>
  <w:num w:numId="21" w16cid:durableId="666788897">
    <w:abstractNumId w:val="2"/>
  </w:num>
  <w:num w:numId="22" w16cid:durableId="577712857">
    <w:abstractNumId w:val="9"/>
  </w:num>
  <w:num w:numId="23" w16cid:durableId="1382097755">
    <w:abstractNumId w:val="13"/>
  </w:num>
  <w:num w:numId="24" w16cid:durableId="20291420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1F45"/>
    <w:rsid w:val="000173F9"/>
    <w:rsid w:val="00022B45"/>
    <w:rsid w:val="0003611B"/>
    <w:rsid w:val="000412A0"/>
    <w:rsid w:val="00042A18"/>
    <w:rsid w:val="00044976"/>
    <w:rsid w:val="00047DDA"/>
    <w:rsid w:val="0005455A"/>
    <w:rsid w:val="00071F07"/>
    <w:rsid w:val="00072722"/>
    <w:rsid w:val="000774BF"/>
    <w:rsid w:val="0007759D"/>
    <w:rsid w:val="000777AB"/>
    <w:rsid w:val="00077F46"/>
    <w:rsid w:val="00082869"/>
    <w:rsid w:val="0008669A"/>
    <w:rsid w:val="00090FB1"/>
    <w:rsid w:val="00095652"/>
    <w:rsid w:val="00096186"/>
    <w:rsid w:val="000A72E4"/>
    <w:rsid w:val="000B0E2F"/>
    <w:rsid w:val="000B2430"/>
    <w:rsid w:val="000C2890"/>
    <w:rsid w:val="000C7A04"/>
    <w:rsid w:val="000D01D4"/>
    <w:rsid w:val="000D0B30"/>
    <w:rsid w:val="000E21F1"/>
    <w:rsid w:val="000E5AB1"/>
    <w:rsid w:val="000F703E"/>
    <w:rsid w:val="00114AC5"/>
    <w:rsid w:val="00117256"/>
    <w:rsid w:val="00117A20"/>
    <w:rsid w:val="00120E86"/>
    <w:rsid w:val="00125DE9"/>
    <w:rsid w:val="001273FB"/>
    <w:rsid w:val="001332E0"/>
    <w:rsid w:val="00134DE7"/>
    <w:rsid w:val="00144D5B"/>
    <w:rsid w:val="00171C38"/>
    <w:rsid w:val="00185354"/>
    <w:rsid w:val="001854DC"/>
    <w:rsid w:val="00186795"/>
    <w:rsid w:val="00194D09"/>
    <w:rsid w:val="001A5484"/>
    <w:rsid w:val="001A7D5C"/>
    <w:rsid w:val="001B23B2"/>
    <w:rsid w:val="001B26E9"/>
    <w:rsid w:val="001B60AA"/>
    <w:rsid w:val="001B63C8"/>
    <w:rsid w:val="001C1972"/>
    <w:rsid w:val="001C421F"/>
    <w:rsid w:val="001D360D"/>
    <w:rsid w:val="001D70A5"/>
    <w:rsid w:val="001E17BE"/>
    <w:rsid w:val="001E5F02"/>
    <w:rsid w:val="001E7AEB"/>
    <w:rsid w:val="00232835"/>
    <w:rsid w:val="00261A8D"/>
    <w:rsid w:val="00283C1C"/>
    <w:rsid w:val="00291A00"/>
    <w:rsid w:val="00291A11"/>
    <w:rsid w:val="00292599"/>
    <w:rsid w:val="00297292"/>
    <w:rsid w:val="002A315C"/>
    <w:rsid w:val="002A3342"/>
    <w:rsid w:val="002A3591"/>
    <w:rsid w:val="002A64BA"/>
    <w:rsid w:val="002B4989"/>
    <w:rsid w:val="002C05EF"/>
    <w:rsid w:val="002C2510"/>
    <w:rsid w:val="002D290D"/>
    <w:rsid w:val="002D714E"/>
    <w:rsid w:val="002E53C3"/>
    <w:rsid w:val="002E5569"/>
    <w:rsid w:val="002E56B5"/>
    <w:rsid w:val="002F0098"/>
    <w:rsid w:val="002F1274"/>
    <w:rsid w:val="002F1468"/>
    <w:rsid w:val="002F5F0C"/>
    <w:rsid w:val="00301E12"/>
    <w:rsid w:val="00316C5C"/>
    <w:rsid w:val="003265EB"/>
    <w:rsid w:val="00330891"/>
    <w:rsid w:val="003424ED"/>
    <w:rsid w:val="00342633"/>
    <w:rsid w:val="0034329E"/>
    <w:rsid w:val="00343FAA"/>
    <w:rsid w:val="00347D42"/>
    <w:rsid w:val="00347F5E"/>
    <w:rsid w:val="00353C98"/>
    <w:rsid w:val="003621C5"/>
    <w:rsid w:val="003625AB"/>
    <w:rsid w:val="00363A76"/>
    <w:rsid w:val="00364849"/>
    <w:rsid w:val="00364DD8"/>
    <w:rsid w:val="00371A20"/>
    <w:rsid w:val="003723C2"/>
    <w:rsid w:val="00377F72"/>
    <w:rsid w:val="003821B4"/>
    <w:rsid w:val="00382CF3"/>
    <w:rsid w:val="00384E7E"/>
    <w:rsid w:val="00387D52"/>
    <w:rsid w:val="003A7CEA"/>
    <w:rsid w:val="003C0C2C"/>
    <w:rsid w:val="003C7FD9"/>
    <w:rsid w:val="003D4CFE"/>
    <w:rsid w:val="003D6E5D"/>
    <w:rsid w:val="003F0BD3"/>
    <w:rsid w:val="003F278A"/>
    <w:rsid w:val="003F7A02"/>
    <w:rsid w:val="0040583C"/>
    <w:rsid w:val="00417448"/>
    <w:rsid w:val="00420665"/>
    <w:rsid w:val="00422A1E"/>
    <w:rsid w:val="00422EA5"/>
    <w:rsid w:val="00422EFA"/>
    <w:rsid w:val="0042791F"/>
    <w:rsid w:val="004404AC"/>
    <w:rsid w:val="004456ED"/>
    <w:rsid w:val="0045025E"/>
    <w:rsid w:val="0048045A"/>
    <w:rsid w:val="004841B8"/>
    <w:rsid w:val="004916A6"/>
    <w:rsid w:val="0049172C"/>
    <w:rsid w:val="004930F2"/>
    <w:rsid w:val="00496266"/>
    <w:rsid w:val="004B0F1C"/>
    <w:rsid w:val="004B2FE7"/>
    <w:rsid w:val="004D500D"/>
    <w:rsid w:val="004D5207"/>
    <w:rsid w:val="004F2EE6"/>
    <w:rsid w:val="004F5FC3"/>
    <w:rsid w:val="00502DBA"/>
    <w:rsid w:val="005040C4"/>
    <w:rsid w:val="00505D51"/>
    <w:rsid w:val="00507637"/>
    <w:rsid w:val="00507852"/>
    <w:rsid w:val="005100A4"/>
    <w:rsid w:val="00514DBF"/>
    <w:rsid w:val="00527DE4"/>
    <w:rsid w:val="005349AA"/>
    <w:rsid w:val="0054087A"/>
    <w:rsid w:val="00545A0C"/>
    <w:rsid w:val="00550921"/>
    <w:rsid w:val="005622FA"/>
    <w:rsid w:val="00563586"/>
    <w:rsid w:val="00563712"/>
    <w:rsid w:val="00573631"/>
    <w:rsid w:val="00573C0B"/>
    <w:rsid w:val="00576CFA"/>
    <w:rsid w:val="0058556D"/>
    <w:rsid w:val="00592AF2"/>
    <w:rsid w:val="005947AD"/>
    <w:rsid w:val="00597748"/>
    <w:rsid w:val="005979E8"/>
    <w:rsid w:val="005C110C"/>
    <w:rsid w:val="005D0AF4"/>
    <w:rsid w:val="005D3020"/>
    <w:rsid w:val="005E54BD"/>
    <w:rsid w:val="005E5A87"/>
    <w:rsid w:val="005F6CCA"/>
    <w:rsid w:val="00601316"/>
    <w:rsid w:val="006104AF"/>
    <w:rsid w:val="00613A39"/>
    <w:rsid w:val="00616A14"/>
    <w:rsid w:val="00616D0B"/>
    <w:rsid w:val="00621893"/>
    <w:rsid w:val="0062410F"/>
    <w:rsid w:val="00630E44"/>
    <w:rsid w:val="006332FF"/>
    <w:rsid w:val="006351E1"/>
    <w:rsid w:val="00636ACE"/>
    <w:rsid w:val="006400B1"/>
    <w:rsid w:val="006447B1"/>
    <w:rsid w:val="006531CF"/>
    <w:rsid w:val="00657932"/>
    <w:rsid w:val="00660624"/>
    <w:rsid w:val="00662775"/>
    <w:rsid w:val="00662E06"/>
    <w:rsid w:val="00672DED"/>
    <w:rsid w:val="006814EF"/>
    <w:rsid w:val="006852FC"/>
    <w:rsid w:val="006908D0"/>
    <w:rsid w:val="00694756"/>
    <w:rsid w:val="006B40AB"/>
    <w:rsid w:val="006B5DC5"/>
    <w:rsid w:val="006B63AD"/>
    <w:rsid w:val="006C4BFD"/>
    <w:rsid w:val="006C7D30"/>
    <w:rsid w:val="006E28F9"/>
    <w:rsid w:val="006E3C08"/>
    <w:rsid w:val="00700ACF"/>
    <w:rsid w:val="00703AA4"/>
    <w:rsid w:val="00712487"/>
    <w:rsid w:val="00714D1C"/>
    <w:rsid w:val="00716328"/>
    <w:rsid w:val="00727686"/>
    <w:rsid w:val="00730923"/>
    <w:rsid w:val="00732C3F"/>
    <w:rsid w:val="00741508"/>
    <w:rsid w:val="007530CA"/>
    <w:rsid w:val="00756D68"/>
    <w:rsid w:val="007578D9"/>
    <w:rsid w:val="00757E8A"/>
    <w:rsid w:val="00763E43"/>
    <w:rsid w:val="00764EB5"/>
    <w:rsid w:val="007737B0"/>
    <w:rsid w:val="00777A95"/>
    <w:rsid w:val="00782416"/>
    <w:rsid w:val="007871C8"/>
    <w:rsid w:val="00787BC3"/>
    <w:rsid w:val="007954AE"/>
    <w:rsid w:val="007A3E2E"/>
    <w:rsid w:val="007A4BE6"/>
    <w:rsid w:val="007B024E"/>
    <w:rsid w:val="007B0364"/>
    <w:rsid w:val="007C177D"/>
    <w:rsid w:val="007D0981"/>
    <w:rsid w:val="007D1929"/>
    <w:rsid w:val="007F3CCC"/>
    <w:rsid w:val="00800B81"/>
    <w:rsid w:val="00803CF1"/>
    <w:rsid w:val="008104BB"/>
    <w:rsid w:val="008109BD"/>
    <w:rsid w:val="008168A9"/>
    <w:rsid w:val="00822214"/>
    <w:rsid w:val="008249C5"/>
    <w:rsid w:val="00834A8B"/>
    <w:rsid w:val="008526F9"/>
    <w:rsid w:val="0085285E"/>
    <w:rsid w:val="00853023"/>
    <w:rsid w:val="008534D4"/>
    <w:rsid w:val="0086198E"/>
    <w:rsid w:val="008630F8"/>
    <w:rsid w:val="008671C1"/>
    <w:rsid w:val="00880EAD"/>
    <w:rsid w:val="00881E28"/>
    <w:rsid w:val="00894C4B"/>
    <w:rsid w:val="00896F0C"/>
    <w:rsid w:val="008A12E3"/>
    <w:rsid w:val="008A42FA"/>
    <w:rsid w:val="008B0AC7"/>
    <w:rsid w:val="008B2B41"/>
    <w:rsid w:val="008C2335"/>
    <w:rsid w:val="008C53C4"/>
    <w:rsid w:val="008C67C1"/>
    <w:rsid w:val="008D0042"/>
    <w:rsid w:val="008D1D39"/>
    <w:rsid w:val="008E1C4E"/>
    <w:rsid w:val="008F07D2"/>
    <w:rsid w:val="00904803"/>
    <w:rsid w:val="009067AA"/>
    <w:rsid w:val="00910685"/>
    <w:rsid w:val="00917851"/>
    <w:rsid w:val="00917F65"/>
    <w:rsid w:val="0092661E"/>
    <w:rsid w:val="009311E7"/>
    <w:rsid w:val="00942694"/>
    <w:rsid w:val="00944D67"/>
    <w:rsid w:val="0095699F"/>
    <w:rsid w:val="009615F0"/>
    <w:rsid w:val="00971C75"/>
    <w:rsid w:val="009905B3"/>
    <w:rsid w:val="009A499A"/>
    <w:rsid w:val="009A7E3A"/>
    <w:rsid w:val="009B1265"/>
    <w:rsid w:val="009B35B6"/>
    <w:rsid w:val="009B4A15"/>
    <w:rsid w:val="009B5693"/>
    <w:rsid w:val="009B6E55"/>
    <w:rsid w:val="009C61A2"/>
    <w:rsid w:val="009C78E4"/>
    <w:rsid w:val="009D5C08"/>
    <w:rsid w:val="009D623C"/>
    <w:rsid w:val="009D687E"/>
    <w:rsid w:val="009E12FC"/>
    <w:rsid w:val="009F6DE7"/>
    <w:rsid w:val="00A04DB1"/>
    <w:rsid w:val="00A10583"/>
    <w:rsid w:val="00A20436"/>
    <w:rsid w:val="00A221AC"/>
    <w:rsid w:val="00A2248A"/>
    <w:rsid w:val="00A354ED"/>
    <w:rsid w:val="00A37FCB"/>
    <w:rsid w:val="00A51ADD"/>
    <w:rsid w:val="00A54863"/>
    <w:rsid w:val="00A57BB1"/>
    <w:rsid w:val="00A61552"/>
    <w:rsid w:val="00A61D74"/>
    <w:rsid w:val="00A8688B"/>
    <w:rsid w:val="00A91163"/>
    <w:rsid w:val="00A9286F"/>
    <w:rsid w:val="00A9503E"/>
    <w:rsid w:val="00A96255"/>
    <w:rsid w:val="00AA4EE9"/>
    <w:rsid w:val="00AB285B"/>
    <w:rsid w:val="00AD08B0"/>
    <w:rsid w:val="00AD5F65"/>
    <w:rsid w:val="00AF2769"/>
    <w:rsid w:val="00AF5552"/>
    <w:rsid w:val="00AF5CB4"/>
    <w:rsid w:val="00AF5ED1"/>
    <w:rsid w:val="00AF71D6"/>
    <w:rsid w:val="00AF7B17"/>
    <w:rsid w:val="00B01857"/>
    <w:rsid w:val="00B0450C"/>
    <w:rsid w:val="00B07BAF"/>
    <w:rsid w:val="00B14C11"/>
    <w:rsid w:val="00B216EE"/>
    <w:rsid w:val="00B24A9D"/>
    <w:rsid w:val="00B2644E"/>
    <w:rsid w:val="00B3175F"/>
    <w:rsid w:val="00B31E2C"/>
    <w:rsid w:val="00B329B0"/>
    <w:rsid w:val="00B402D8"/>
    <w:rsid w:val="00B4237C"/>
    <w:rsid w:val="00B42FE8"/>
    <w:rsid w:val="00B52446"/>
    <w:rsid w:val="00B52AFD"/>
    <w:rsid w:val="00B54077"/>
    <w:rsid w:val="00B549C5"/>
    <w:rsid w:val="00B679D4"/>
    <w:rsid w:val="00B8087E"/>
    <w:rsid w:val="00BA0651"/>
    <w:rsid w:val="00BA4112"/>
    <w:rsid w:val="00BA4E3D"/>
    <w:rsid w:val="00BB042E"/>
    <w:rsid w:val="00BB646E"/>
    <w:rsid w:val="00BD1BA1"/>
    <w:rsid w:val="00BD2A5D"/>
    <w:rsid w:val="00BE0D31"/>
    <w:rsid w:val="00BE2F55"/>
    <w:rsid w:val="00C019E5"/>
    <w:rsid w:val="00C03DE0"/>
    <w:rsid w:val="00C1076F"/>
    <w:rsid w:val="00C216DA"/>
    <w:rsid w:val="00C33C29"/>
    <w:rsid w:val="00C35BC4"/>
    <w:rsid w:val="00C4083C"/>
    <w:rsid w:val="00C43F5B"/>
    <w:rsid w:val="00C46CA2"/>
    <w:rsid w:val="00C7007D"/>
    <w:rsid w:val="00CA7229"/>
    <w:rsid w:val="00CB3E09"/>
    <w:rsid w:val="00CB4371"/>
    <w:rsid w:val="00CC516D"/>
    <w:rsid w:val="00CC51BD"/>
    <w:rsid w:val="00CC76CD"/>
    <w:rsid w:val="00CF172D"/>
    <w:rsid w:val="00D24330"/>
    <w:rsid w:val="00D32701"/>
    <w:rsid w:val="00D34614"/>
    <w:rsid w:val="00D40056"/>
    <w:rsid w:val="00D414FA"/>
    <w:rsid w:val="00D51E7C"/>
    <w:rsid w:val="00D54F29"/>
    <w:rsid w:val="00D551E0"/>
    <w:rsid w:val="00D56E44"/>
    <w:rsid w:val="00D60CB3"/>
    <w:rsid w:val="00D6449E"/>
    <w:rsid w:val="00D7020C"/>
    <w:rsid w:val="00D70AD9"/>
    <w:rsid w:val="00D72152"/>
    <w:rsid w:val="00D72599"/>
    <w:rsid w:val="00D94BA5"/>
    <w:rsid w:val="00D9510F"/>
    <w:rsid w:val="00DA25B2"/>
    <w:rsid w:val="00DA615C"/>
    <w:rsid w:val="00DA789B"/>
    <w:rsid w:val="00DB3C52"/>
    <w:rsid w:val="00DD1BC6"/>
    <w:rsid w:val="00DE5DC3"/>
    <w:rsid w:val="00E00D8A"/>
    <w:rsid w:val="00E1050F"/>
    <w:rsid w:val="00E11604"/>
    <w:rsid w:val="00E11D92"/>
    <w:rsid w:val="00E130A0"/>
    <w:rsid w:val="00E1472C"/>
    <w:rsid w:val="00E210C4"/>
    <w:rsid w:val="00E212E8"/>
    <w:rsid w:val="00E23DB7"/>
    <w:rsid w:val="00E32F92"/>
    <w:rsid w:val="00E35828"/>
    <w:rsid w:val="00E46D96"/>
    <w:rsid w:val="00E50CAE"/>
    <w:rsid w:val="00E52CCA"/>
    <w:rsid w:val="00E56F86"/>
    <w:rsid w:val="00E66409"/>
    <w:rsid w:val="00E67369"/>
    <w:rsid w:val="00E7335B"/>
    <w:rsid w:val="00E81D5B"/>
    <w:rsid w:val="00E92576"/>
    <w:rsid w:val="00E95367"/>
    <w:rsid w:val="00E976B9"/>
    <w:rsid w:val="00EA05D3"/>
    <w:rsid w:val="00EA1F15"/>
    <w:rsid w:val="00EB19AD"/>
    <w:rsid w:val="00EB2F31"/>
    <w:rsid w:val="00EB6493"/>
    <w:rsid w:val="00EC0180"/>
    <w:rsid w:val="00EC2915"/>
    <w:rsid w:val="00ED05A9"/>
    <w:rsid w:val="00ED1BA0"/>
    <w:rsid w:val="00ED5C5A"/>
    <w:rsid w:val="00F05642"/>
    <w:rsid w:val="00F06EB1"/>
    <w:rsid w:val="00F17257"/>
    <w:rsid w:val="00F20024"/>
    <w:rsid w:val="00F34D24"/>
    <w:rsid w:val="00F3663A"/>
    <w:rsid w:val="00F4130B"/>
    <w:rsid w:val="00F44C8A"/>
    <w:rsid w:val="00F44F14"/>
    <w:rsid w:val="00F47387"/>
    <w:rsid w:val="00F54C2A"/>
    <w:rsid w:val="00F556A2"/>
    <w:rsid w:val="00F60696"/>
    <w:rsid w:val="00F719A8"/>
    <w:rsid w:val="00F8069F"/>
    <w:rsid w:val="00F808F4"/>
    <w:rsid w:val="00F80B23"/>
    <w:rsid w:val="00F85134"/>
    <w:rsid w:val="00F878B9"/>
    <w:rsid w:val="00F95950"/>
    <w:rsid w:val="00FA0125"/>
    <w:rsid w:val="00FA59D7"/>
    <w:rsid w:val="00FA7158"/>
    <w:rsid w:val="00FB1650"/>
    <w:rsid w:val="00FB24E8"/>
    <w:rsid w:val="00FB3B2B"/>
    <w:rsid w:val="00FB49AD"/>
    <w:rsid w:val="00FC18DA"/>
    <w:rsid w:val="00FC3917"/>
    <w:rsid w:val="00FD01BB"/>
    <w:rsid w:val="00FD60DA"/>
    <w:rsid w:val="00FE0E83"/>
    <w:rsid w:val="00FE602D"/>
    <w:rsid w:val="00FF07B4"/>
    <w:rsid w:val="00FF55D5"/>
    <w:rsid w:val="2C933842"/>
    <w:rsid w:val="76EB744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C03DE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heading 2,List Paragraph 1"/>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DocumentMap">
    <w:name w:val="Document Map"/>
    <w:basedOn w:val="Normal"/>
    <w:link w:val="DocumentMapChar"/>
    <w:uiPriority w:val="99"/>
    <w:semiHidden/>
    <w:unhideWhenUsed/>
    <w:rsid w:val="00D32701"/>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3270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A2248A"/>
    <w:rPr>
      <w:color w:val="800080" w:themeColor="followedHyperlink"/>
      <w:u w:val="single"/>
    </w:rPr>
  </w:style>
  <w:style w:type="character" w:styleId="UnresolvedMention">
    <w:name w:val="Unresolved Mention"/>
    <w:basedOn w:val="DefaultParagraphFont"/>
    <w:uiPriority w:val="99"/>
    <w:rsid w:val="005100A4"/>
    <w:rPr>
      <w:color w:val="605E5C"/>
      <w:shd w:val="clear" w:color="auto" w:fill="E1DFDD"/>
    </w:rPr>
  </w:style>
  <w:style w:type="character" w:customStyle="1" w:styleId="Heading3Char">
    <w:name w:val="Heading 3 Char"/>
    <w:basedOn w:val="DefaultParagraphFont"/>
    <w:link w:val="Heading3"/>
    <w:uiPriority w:val="9"/>
    <w:semiHidden/>
    <w:rsid w:val="00C03DE0"/>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aliases w:val="heading 2 Char,List Paragraph 1 Char"/>
    <w:link w:val="ListParagraph"/>
    <w:uiPriority w:val="34"/>
    <w:rsid w:val="00C03DE0"/>
  </w:style>
  <w:style w:type="character" w:customStyle="1" w:styleId="normaltextrun">
    <w:name w:val="normaltextrun"/>
    <w:basedOn w:val="DefaultParagraphFont"/>
    <w:rsid w:val="00C03DE0"/>
  </w:style>
  <w:style w:type="paragraph" w:styleId="Revision">
    <w:name w:val="Revision"/>
    <w:hidden/>
    <w:uiPriority w:val="99"/>
    <w:semiHidden/>
    <w:rsid w:val="00F44F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64174">
      <w:bodyDiv w:val="1"/>
      <w:marLeft w:val="0"/>
      <w:marRight w:val="0"/>
      <w:marTop w:val="0"/>
      <w:marBottom w:val="0"/>
      <w:divBdr>
        <w:top w:val="none" w:sz="0" w:space="0" w:color="auto"/>
        <w:left w:val="none" w:sz="0" w:space="0" w:color="auto"/>
        <w:bottom w:val="none" w:sz="0" w:space="0" w:color="auto"/>
        <w:right w:val="none" w:sz="0" w:space="0" w:color="auto"/>
      </w:divBdr>
    </w:div>
    <w:div w:id="63055079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wrmdataportal.unepdhi.org/about" TargetMode="External"/><Relationship Id="rId18" Type="http://schemas.openxmlformats.org/officeDocument/2006/relationships/hyperlink" Target="https://www.gwp.org/en/sdg6support/consultations/where-we-are/stage-1-activities/" TargetMode="External"/><Relationship Id="rId26" Type="http://schemas.openxmlformats.org/officeDocument/2006/relationships/hyperlink" Target="http://iwrmdataportal.unepdhi.org" TargetMode="External"/><Relationship Id="rId3" Type="http://schemas.openxmlformats.org/officeDocument/2006/relationships/customXml" Target="../customXml/item3.xml"/><Relationship Id="rId21" Type="http://schemas.openxmlformats.org/officeDocument/2006/relationships/hyperlink" Target="https://en.wikipedia.org/wiki/List_of_administrative_divisions_by_country%20"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sdg6monitoring.org/about/integrated-monitoring-initiative/" TargetMode="External"/><Relationship Id="rId17" Type="http://schemas.openxmlformats.org/officeDocument/2006/relationships/hyperlink" Target="https://www.gwp.org/en/sdg6support/consultations/where-we-are/stage-1-activities/" TargetMode="External"/><Relationship Id="rId25" Type="http://schemas.openxmlformats.org/officeDocument/2006/relationships/hyperlink" Target="http://iwrmdataportal.unepdhi.org"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gwp.org/en/sdg6support/sdgmap/" TargetMode="External"/><Relationship Id="rId20" Type="http://schemas.openxmlformats.org/officeDocument/2006/relationships/hyperlink" Target="mailto:iwrmsdg651@un.org" TargetMode="External"/><Relationship Id="rId29" Type="http://schemas.openxmlformats.org/officeDocument/2006/relationships/hyperlink" Target="https://www.unepdhi.org/progress-on-integrated-water-resources-management-global-indicator-6-5-1-updates-and-acceleration-nee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classifications/Family/Detail/2002" TargetMode="External"/><Relationship Id="rId24" Type="http://schemas.openxmlformats.org/officeDocument/2006/relationships/hyperlink" Target="https://ggis.un-igrac.org/view/twap" TargetMode="External"/><Relationship Id="rId32" Type="http://schemas.openxmlformats.org/officeDocument/2006/relationships/hyperlink" Target="http://sdg6data.org" TargetMode="External"/><Relationship Id="rId5" Type="http://schemas.openxmlformats.org/officeDocument/2006/relationships/numbering" Target="numbering.xml"/><Relationship Id="rId15" Type="http://schemas.openxmlformats.org/officeDocument/2006/relationships/hyperlink" Target="http://iwrmdataportal.unepdhi.org/countrydatabase" TargetMode="External"/><Relationship Id="rId23" Type="http://schemas.openxmlformats.org/officeDocument/2006/relationships/hyperlink" Target="http://twap-rivers.org/indicators/%20" TargetMode="External"/><Relationship Id="rId28" Type="http://schemas.openxmlformats.org/officeDocument/2006/relationships/hyperlink" Target="https://www.gwp.org/en/sdg6support/"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iwrmdataportal.unepdhi.org" TargetMode="External"/><Relationship Id="rId31" Type="http://schemas.openxmlformats.org/officeDocument/2006/relationships/hyperlink" Target="http://iwrmdataportal.unepdhi.org/IWRMDataJsonService/Service1.svc/DownloadOnAboutPage/Status_Report/Englis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wrmdataportal.unepdhi.org" TargetMode="External"/><Relationship Id="rId22" Type="http://schemas.openxmlformats.org/officeDocument/2006/relationships/hyperlink" Target="http://twap-rivers.org/indicators/Report.ashx?type=IndicatorResultsSummary" TargetMode="External"/><Relationship Id="rId27" Type="http://schemas.openxmlformats.org/officeDocument/2006/relationships/hyperlink" Target="http://iwrmdataportal.unepdhi.org" TargetMode="External"/><Relationship Id="rId30" Type="http://schemas.openxmlformats.org/officeDocument/2006/relationships/hyperlink" Target="https://www.unepdhi.org/wp-content/uploads/sites/2/2021/09/SDG6.5.1-status-Central-America-2020-full-ESP.pdf"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55235DCD-3CA4-4799-894A-32880EE87678}"/>
      </w:docPartPr>
      <w:docPartBody>
        <w:p w:rsidR="003B6FA2" w:rsidRDefault="00097F34">
          <w:r w:rsidRPr="006B1DB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34"/>
    <w:rsid w:val="00097F34"/>
    <w:rsid w:val="003B6FA2"/>
    <w:rsid w:val="009943F2"/>
    <w:rsid w:val="00DD79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7F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Props1.xml><?xml version="1.0" encoding="utf-8"?>
<ds:datastoreItem xmlns:ds="http://schemas.openxmlformats.org/officeDocument/2006/customXml" ds:itemID="{7C910B37-3F6D-4B5A-8250-DE5174178682}">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20754809-78B9-483D-8D3D-B7D9AB70E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4642</Words>
  <Characters>26466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 Ghafari</dc:creator>
  <cp:lastModifiedBy>Kebebush Welkema</cp:lastModifiedBy>
  <cp:revision>4</cp:revision>
  <cp:lastPrinted>2016-07-16T14:25:00Z</cp:lastPrinted>
  <dcterms:created xsi:type="dcterms:W3CDTF">2024-05-29T15:35:00Z</dcterms:created>
  <dcterms:modified xsi:type="dcterms:W3CDTF">2024-07-25T21:52:00Z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