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113BC069" w14:textId="0D2D1598" w:rsidR="57532A56" w:rsidRDefault="57532A56" w:rsidP="00652CC9">
      <w:pPr>
        <w:pStyle w:val="MGTHeader"/>
        <w:rPr>
          <w:rFonts w:eastAsia="Calibri"/>
        </w:rPr>
      </w:pPr>
      <w:r w:rsidRPr="255C4F29">
        <w:rPr>
          <w:rFonts w:eastAsia="Calibri"/>
        </w:rPr>
        <w:t xml:space="preserve">Goal 11: Make cities and human settlements inclusive, safe, </w:t>
      </w:r>
      <w:proofErr w:type="gramStart"/>
      <w:r w:rsidRPr="255C4F29">
        <w:rPr>
          <w:rFonts w:eastAsia="Calibri"/>
        </w:rPr>
        <w:t>resilient</w:t>
      </w:r>
      <w:proofErr w:type="gramEnd"/>
      <w:r w:rsidRPr="255C4F29">
        <w:rPr>
          <w:rFonts w:eastAsia="Calibri"/>
        </w:rPr>
        <w:t xml:space="preserve">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D33A5B0" w14:textId="2E6A47E8" w:rsidR="005072C5" w:rsidRPr="005072C5" w:rsidRDefault="005072C5" w:rsidP="003C688C">
      <w:pPr>
        <w:shd w:val="clear" w:color="auto" w:fill="F5F5F5"/>
        <w:spacing w:after="0" w:line="240" w:lineRule="auto"/>
        <w:outlineLvl w:val="4"/>
        <w:rPr>
          <w:rFonts w:ascii="Calibri" w:eastAsia="Times New Roman" w:hAnsi="Calibri" w:cs="Arial"/>
          <w:color w:val="333333"/>
          <w:sz w:val="21"/>
          <w:szCs w:val="21"/>
          <w:lang w:eastAsia="en-GB"/>
        </w:rPr>
      </w:pPr>
      <w:r w:rsidRPr="005072C5">
        <w:rPr>
          <w:rFonts w:ascii="Calibri" w:eastAsia="Times New Roman" w:hAnsi="Calibri" w:cs="Arial"/>
          <w:color w:val="333333"/>
          <w:sz w:val="21"/>
          <w:szCs w:val="21"/>
          <w:lang w:eastAsia="en-GB"/>
        </w:rPr>
        <w:t>Target 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FFDF974" w14:textId="77777777" w:rsidR="005072C5" w:rsidRDefault="005072C5" w:rsidP="00D24330">
      <w:pPr>
        <w:pStyle w:val="MIndHeader"/>
        <w:rPr>
          <w:color w:val="333333"/>
          <w:sz w:val="21"/>
          <w:szCs w:val="21"/>
        </w:rPr>
      </w:pPr>
      <w:r w:rsidRPr="005072C5">
        <w:rPr>
          <w:color w:val="333333"/>
          <w:sz w:val="21"/>
          <w:szCs w:val="21"/>
        </w:rPr>
        <w:t>Indicator 11.b.1: Number of countries that adopt and implement national disaster risk reduction strategies in line with the Sendai Framework for Disaster Risk Reduction 2015–2030</w:t>
      </w:r>
    </w:p>
    <w:p w14:paraId="37E5E4F6" w14:textId="27D5612E" w:rsidR="00D24330" w:rsidRPr="00F474DB" w:rsidRDefault="00D24330" w:rsidP="00D24330">
      <w:pPr>
        <w:pStyle w:val="MIndHeader"/>
        <w:rPr>
          <w:lang w:val="en-US"/>
        </w:rPr>
      </w:pPr>
      <w:r w:rsidRPr="00F474DB">
        <w:rPr>
          <w:lang w:val="en-US"/>
        </w:rPr>
        <w:t xml:space="preserve">0.d. Series </w:t>
      </w:r>
      <w:r>
        <w:rPr>
          <w:color w:val="B4B4B4"/>
          <w:sz w:val="20"/>
        </w:rPr>
        <w:t>(SDG_SERIES_DESCR)</w:t>
      </w:r>
    </w:p>
    <w:p w14:paraId="67564225" w14:textId="77777777" w:rsidR="00CB28C3" w:rsidRPr="00F474DB" w:rsidRDefault="00CB28C3" w:rsidP="003C688C">
      <w:pPr>
        <w:pStyle w:val="MGTHeader"/>
        <w:rPr>
          <w:lang w:val="en-US"/>
        </w:rPr>
      </w:pPr>
    </w:p>
    <w:p w14:paraId="157DACE7" w14:textId="54980720" w:rsidR="00D24330" w:rsidRPr="00F474DB" w:rsidRDefault="00D24330" w:rsidP="00D24330">
      <w:pPr>
        <w:pStyle w:val="MIndHeader"/>
        <w:rPr>
          <w:lang w:val="en-US"/>
        </w:rPr>
      </w:pPr>
      <w:r w:rsidRPr="00F474DB">
        <w:rPr>
          <w:lang w:val="en-US"/>
        </w:rPr>
        <w:t xml:space="preserve">0.e. Metadata update </w:t>
      </w:r>
      <w:r>
        <w:rPr>
          <w:color w:val="B4B4B4"/>
          <w:sz w:val="20"/>
        </w:rPr>
        <w:t>(META_LAST_UPDATE)</w:t>
      </w:r>
    </w:p>
    <w:sdt>
      <w:sdtPr>
        <w:rPr>
          <w:lang w:val="en-US"/>
        </w:rPr>
        <w:id w:val="-1739013327"/>
        <w:placeholder>
          <w:docPart w:val="DefaultPlaceholder_-1854013437"/>
        </w:placeholder>
        <w:date w:fullDate="2017-07-07T00:00:00Z">
          <w:dateFormat w:val="yyyy-MM-dd"/>
          <w:lid w:val="en-US"/>
          <w:storeMappedDataAs w:val="dateTime"/>
          <w:calendar w:val="gregorian"/>
        </w:date>
      </w:sdtPr>
      <w:sdtContent>
        <w:p w14:paraId="03424B60" w14:textId="7092E4E4" w:rsidR="00D24330" w:rsidRPr="00F474DB" w:rsidRDefault="00F474DB" w:rsidP="00D24330">
          <w:pPr>
            <w:pStyle w:val="MGTHeader"/>
            <w:rPr>
              <w:lang w:val="en-US"/>
            </w:rPr>
          </w:pPr>
          <w:r>
            <w:rPr>
              <w:lang w:val="en-US"/>
            </w:rPr>
            <w:t>2017-07-07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77DC248" w14:textId="1C152655" w:rsidR="00D0631A" w:rsidRPr="00D0631A" w:rsidRDefault="00D0631A" w:rsidP="00952D03">
      <w:pPr>
        <w:pStyle w:val="MGTHeader"/>
      </w:pPr>
      <w:r w:rsidRPr="00D0631A">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3B10936" w14:textId="77777777" w:rsidR="005072C5" w:rsidRPr="005072C5" w:rsidRDefault="005072C5" w:rsidP="00952D03">
      <w:pPr>
        <w:pStyle w:val="MGTHeader"/>
      </w:pPr>
      <w:r w:rsidRPr="005072C5">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12BABC8"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67B0115"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b/>
          <w:bCs/>
          <w:color w:val="4A4A4A"/>
          <w:sz w:val="21"/>
          <w:szCs w:val="21"/>
          <w:lang w:eastAsia="en-GB"/>
        </w:rPr>
        <w:t>Definition:</w:t>
      </w:r>
    </w:p>
    <w:p w14:paraId="164AF5C8"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4C3B8AC"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t xml:space="preserve">3.a. Data sources </w:t>
      </w:r>
      <w:r>
        <w:rPr>
          <w:color w:val="B4B4B4"/>
          <w:sz w:val="20"/>
        </w:rPr>
        <w:t>(SOURCE_TYPE)</w:t>
      </w:r>
    </w:p>
    <w:p w14:paraId="74652887"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National Progress Report of the Sendai Monitor, reported to UNISDR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0382D93"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The official counterpart(s) at the country level will provide National Progress Report of the Sendai Monitor.</w:t>
      </w:r>
    </w:p>
    <w:p w14:paraId="5823FBC8" w14:textId="118E6EAA"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3255BCF8"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 xml:space="preserve">2017-2018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60A96F8"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 xml:space="preserve">Initial datasets in 2017, a first </w:t>
      </w:r>
      <w:proofErr w:type="gramStart"/>
      <w:r w:rsidRPr="00D0631A">
        <w:rPr>
          <w:rFonts w:ascii="Calibri" w:eastAsia="Times New Roman" w:hAnsi="Calibri" w:cs="Arial"/>
          <w:color w:val="4A4A4A"/>
          <w:sz w:val="21"/>
          <w:szCs w:val="21"/>
          <w:lang w:eastAsia="en-GB"/>
        </w:rPr>
        <w:t>fairly complete</w:t>
      </w:r>
      <w:proofErr w:type="gramEnd"/>
      <w:r w:rsidRPr="00D0631A">
        <w:rPr>
          <w:rFonts w:ascii="Calibri" w:eastAsia="Times New Roman" w:hAnsi="Calibri" w:cs="Arial"/>
          <w:color w:val="4A4A4A"/>
          <w:sz w:val="21"/>
          <w:szCs w:val="21"/>
          <w:lang w:eastAsia="en-GB"/>
        </w:rPr>
        <w:t xml:space="preserve"> dataset by 2019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t xml:space="preserve">3.e. Data providers </w:t>
      </w:r>
      <w:r>
        <w:rPr>
          <w:color w:val="B4B4B4"/>
          <w:sz w:val="20"/>
        </w:rPr>
        <w:t>(DATA_SOURCE)</w:t>
      </w:r>
    </w:p>
    <w:p w14:paraId="56E493E6"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3D6A2C3"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74A280F"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 xml:space="preserve">The indicator will build bridge between the SDGs and the Sendai Framework for DRR. Increasing number of national governments that adopt and implement national and local DRR strategies, which the Sendai </w:t>
      </w:r>
      <w:r w:rsidRPr="005072C5">
        <w:rPr>
          <w:rFonts w:ascii="Calibri" w:eastAsia="Times New Roman" w:hAnsi="Calibri" w:cs="Arial"/>
          <w:color w:val="4A4A4A"/>
          <w:sz w:val="21"/>
          <w:szCs w:val="21"/>
          <w:lang w:eastAsia="en-GB"/>
        </w:rPr>
        <w:lastRenderedPageBreak/>
        <w:t xml:space="preserve">Framework calls for, will contribute to sustainable development from economic, </w:t>
      </w:r>
      <w:proofErr w:type="gramStart"/>
      <w:r w:rsidRPr="005072C5">
        <w:rPr>
          <w:rFonts w:ascii="Calibri" w:eastAsia="Times New Roman" w:hAnsi="Calibri" w:cs="Arial"/>
          <w:color w:val="4A4A4A"/>
          <w:sz w:val="21"/>
          <w:szCs w:val="21"/>
          <w:lang w:eastAsia="en-GB"/>
        </w:rPr>
        <w:t>environmental</w:t>
      </w:r>
      <w:proofErr w:type="gramEnd"/>
      <w:r w:rsidRPr="005072C5">
        <w:rPr>
          <w:rFonts w:ascii="Calibri" w:eastAsia="Times New Roman" w:hAnsi="Calibri" w:cs="Arial"/>
          <w:color w:val="4A4A4A"/>
          <w:sz w:val="21"/>
          <w:szCs w:val="21"/>
          <w:lang w:eastAsia="en-GB"/>
        </w:rPr>
        <w:t xml:space="preserve"> and social perspectives.</w:t>
      </w:r>
    </w:p>
    <w:p w14:paraId="72EFB331"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469E48F"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0D720C35"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6B4B00F4"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 xml:space="preserve">Members of both the OEIWG and the IAEG-SDGs have addressed </w:t>
      </w:r>
      <w:proofErr w:type="gramStart"/>
      <w:r w:rsidRPr="005072C5">
        <w:rPr>
          <w:rFonts w:ascii="Calibri" w:eastAsia="Times New Roman" w:hAnsi="Calibri" w:cs="Arial"/>
          <w:color w:val="4A4A4A"/>
          <w:sz w:val="21"/>
          <w:szCs w:val="21"/>
          <w:lang w:eastAsia="en-GB"/>
        </w:rPr>
        <w:t>that indicators</w:t>
      </w:r>
      <w:proofErr w:type="gramEnd"/>
      <w:r w:rsidRPr="005072C5">
        <w:rPr>
          <w:rFonts w:ascii="Calibri" w:eastAsia="Times New Roman" w:hAnsi="Calibri" w:cs="Arial"/>
          <w:color w:val="4A4A4A"/>
          <w:sz w:val="21"/>
          <w:szCs w:val="21"/>
          <w:lang w:eastAsia="en-GB"/>
        </w:rPr>
        <w:t xml:space="preserve">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D1EA1A5"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1B2C2F0E"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0915E629"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The latest version of these methodologies can be obtained at:</w:t>
      </w:r>
    </w:p>
    <w:p w14:paraId="282B5D9B"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22B2CB51"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http://www.preventionweb.net/documents/oiewg/Technical%20Collection%20of%20Concept%20Notes%20on%20Indicators.pdf</w:t>
      </w:r>
    </w:p>
    <w:p w14:paraId="402EAB42"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596CCBBB"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A short summary:</w:t>
      </w:r>
    </w:p>
    <w:p w14:paraId="098CEAE7"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Summation of data from National Progress Reports of the Sendai Monitor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63BC59BB" w14:textId="77777777" w:rsidR="005072C5" w:rsidRPr="00A96255" w:rsidRDefault="005072C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DF0AA08" w14:textId="77777777" w:rsidR="005072C5" w:rsidRPr="00E52D00" w:rsidRDefault="005072C5" w:rsidP="005072C5">
      <w:pPr>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E52D00">
        <w:rPr>
          <w:rFonts w:ascii="Calibri" w:eastAsia="Times New Roman" w:hAnsi="Calibri" w:cs="Arial"/>
          <w:b/>
          <w:bCs/>
          <w:color w:val="1C75BC"/>
          <w:sz w:val="21"/>
          <w:szCs w:val="21"/>
          <w:lang w:eastAsia="en-GB"/>
        </w:rPr>
        <w:t>At country level</w:t>
      </w:r>
    </w:p>
    <w:p w14:paraId="4E65DA50" w14:textId="77777777" w:rsidR="005072C5" w:rsidRPr="005072C5" w:rsidRDefault="005072C5" w:rsidP="005072C5">
      <w:pPr>
        <w:shd w:val="clear" w:color="auto" w:fill="FFFFFF"/>
        <w:spacing w:after="0" w:line="336" w:lineRule="atLeast"/>
        <w:ind w:left="495"/>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In the Sendai Monitor, which will be undertaken as a voluntary self-assessment like the HFA Monitor, missing values and 0 or null will be considered equivalent.</w:t>
      </w:r>
    </w:p>
    <w:p w14:paraId="34750202" w14:textId="77777777" w:rsidR="005072C5" w:rsidRPr="005072C5" w:rsidRDefault="005072C5" w:rsidP="005072C5">
      <w:pPr>
        <w:shd w:val="clear" w:color="auto" w:fill="FFFFFF"/>
        <w:spacing w:after="0" w:line="336" w:lineRule="atLeast"/>
        <w:ind w:left="495"/>
        <w:rPr>
          <w:rFonts w:ascii="Calibri" w:eastAsia="Times New Roman" w:hAnsi="Calibri" w:cs="Arial"/>
          <w:color w:val="4A4A4A"/>
          <w:sz w:val="21"/>
          <w:szCs w:val="21"/>
          <w:lang w:eastAsia="en-GB"/>
        </w:rPr>
      </w:pPr>
    </w:p>
    <w:p w14:paraId="07DAE37E" w14:textId="77777777" w:rsidR="005072C5" w:rsidRPr="00E52D00" w:rsidRDefault="005072C5" w:rsidP="005072C5">
      <w:pPr>
        <w:keepNext/>
        <w:keepLines/>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E52D00">
        <w:rPr>
          <w:rFonts w:ascii="Calibri" w:eastAsia="Times New Roman" w:hAnsi="Calibri" w:cs="Arial"/>
          <w:b/>
          <w:bCs/>
          <w:color w:val="1C75BC"/>
          <w:sz w:val="21"/>
          <w:szCs w:val="21"/>
          <w:lang w:eastAsia="en-GB"/>
        </w:rPr>
        <w:t>At regional and global levels</w:t>
      </w:r>
    </w:p>
    <w:p w14:paraId="46630D75" w14:textId="77777777" w:rsidR="005072C5" w:rsidRPr="005072C5" w:rsidRDefault="005072C5" w:rsidP="005072C5">
      <w:pPr>
        <w:keepNext/>
        <w:keepLines/>
        <w:shd w:val="clear" w:color="auto" w:fill="FFFFFF"/>
        <w:spacing w:after="0" w:line="336" w:lineRule="atLeast"/>
        <w:ind w:left="495"/>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521C4AC" w14:textId="77777777" w:rsidR="005072C5" w:rsidRPr="005072C5" w:rsidRDefault="005072C5" w:rsidP="005072C5">
      <w:pPr>
        <w:keepNext/>
        <w:keepLines/>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See under Computation Method.</w:t>
      </w:r>
    </w:p>
    <w:p w14:paraId="6B82B9CC" w14:textId="77777777" w:rsidR="005072C5" w:rsidRPr="005072C5" w:rsidRDefault="005072C5" w:rsidP="005072C5">
      <w:pPr>
        <w:keepNext/>
        <w:keepLines/>
        <w:shd w:val="clear" w:color="auto" w:fill="FFFFFF"/>
        <w:spacing w:after="0" w:line="336" w:lineRule="atLeast"/>
        <w:rPr>
          <w:rFonts w:ascii="Calibri" w:eastAsia="Times New Roman" w:hAnsi="Calibri" w:cs="Arial"/>
          <w:color w:val="4A4A4A"/>
          <w:sz w:val="21"/>
          <w:szCs w:val="21"/>
          <w:lang w:eastAsia="en-GB"/>
        </w:rPr>
      </w:pPr>
    </w:p>
    <w:p w14:paraId="111EB39C"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It will be calculated, at the discretion of the OEIWG, as either a linear average of the index described in 3.3, or as a weighted average of the index times the population of the country, divided by global population.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1227475" w:rsidR="00576CFA" w:rsidRPr="00E52D00" w:rsidRDefault="00D51E7C" w:rsidP="00576CFA">
      <w:pPr>
        <w:pStyle w:val="MText"/>
        <w:rPr>
          <w:b/>
          <w:bCs/>
        </w:rPr>
      </w:pPr>
      <w:r w:rsidRPr="00E52D00">
        <w:rPr>
          <w:b/>
          <w:bCs/>
        </w:rPr>
        <w:t>Data availability:</w:t>
      </w:r>
    </w:p>
    <w:p w14:paraId="12CC00A7"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Around 100 countries</w:t>
      </w:r>
    </w:p>
    <w:p w14:paraId="3741C96E"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p>
    <w:p w14:paraId="41DA8212" w14:textId="71D954BA" w:rsidR="005072C5" w:rsidRDefault="005072C5" w:rsidP="005072C5">
      <w:pPr>
        <w:pStyle w:val="MText"/>
        <w:rPr>
          <w:highlight w:val="cyan"/>
        </w:rPr>
      </w:pPr>
      <w:r w:rsidRPr="005072C5">
        <w:rPr>
          <w:rFonts w:ascii="Calibri" w:hAnsi="Calibri" w:cs="Arial"/>
        </w:rP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2D0542F7" w14:textId="3DE6BFAB" w:rsidR="00D51E7C" w:rsidRPr="00C019E5" w:rsidRDefault="00D51E7C" w:rsidP="00576CFA">
      <w:pPr>
        <w:pStyle w:val="MText"/>
        <w:rPr>
          <w:highlight w:val="cyan"/>
        </w:rPr>
      </w:pPr>
    </w:p>
    <w:p w14:paraId="5853D6F7" w14:textId="31F56509" w:rsidR="00D51E7C" w:rsidRPr="00642325" w:rsidRDefault="00D51E7C" w:rsidP="00576CFA">
      <w:pPr>
        <w:pStyle w:val="MText"/>
        <w:rPr>
          <w:b/>
          <w:bCs/>
        </w:rPr>
      </w:pPr>
      <w:r w:rsidRPr="00642325">
        <w:rPr>
          <w:b/>
          <w:bCs/>
        </w:rPr>
        <w:t>Time series:</w:t>
      </w:r>
    </w:p>
    <w:p w14:paraId="46379104"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 xml:space="preserve">2013 and 2015: HFA monitor </w:t>
      </w:r>
    </w:p>
    <w:p w14:paraId="760C013A" w14:textId="4597FCBD" w:rsidR="00D51E7C" w:rsidRPr="00C019E5" w:rsidRDefault="00D51E7C" w:rsidP="00576CFA">
      <w:pPr>
        <w:pStyle w:val="MText"/>
        <w:rPr>
          <w:highlight w:val="cyan"/>
        </w:rPr>
      </w:pPr>
    </w:p>
    <w:p w14:paraId="72C7C370" w14:textId="454847E6" w:rsidR="00D51E7C" w:rsidRPr="00642325" w:rsidRDefault="00D51E7C" w:rsidP="00576CFA">
      <w:pPr>
        <w:pStyle w:val="MText"/>
        <w:rPr>
          <w:b/>
          <w:bCs/>
        </w:rPr>
      </w:pPr>
      <w:r w:rsidRPr="00642325">
        <w:rPr>
          <w:b/>
          <w:bCs/>
        </w:rPr>
        <w:lastRenderedPageBreak/>
        <w:t>Disaggregation:</w:t>
      </w:r>
    </w:p>
    <w:p w14:paraId="020D8184"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By country</w:t>
      </w:r>
    </w:p>
    <w:p w14:paraId="1931C619"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By city (applying sub-national administrative units)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88D5D8B" w:rsidR="00D51E7C" w:rsidRPr="00642325" w:rsidRDefault="00D51E7C" w:rsidP="00576CFA">
      <w:pPr>
        <w:pStyle w:val="MText"/>
        <w:rPr>
          <w:b/>
          <w:bCs/>
        </w:rPr>
      </w:pPr>
      <w:r w:rsidRPr="00642325">
        <w:rPr>
          <w:b/>
          <w:bCs/>
        </w:rPr>
        <w:t>Sources of discrepancies:</w:t>
      </w:r>
    </w:p>
    <w:p w14:paraId="519697D9" w14:textId="77777777" w:rsidR="005072C5" w:rsidRPr="005072C5" w:rsidRDefault="005072C5" w:rsidP="005072C5">
      <w:pPr>
        <w:shd w:val="clear" w:color="auto" w:fill="FFFFFF"/>
        <w:spacing w:after="0" w:line="336" w:lineRule="atLeast"/>
        <w:rPr>
          <w:rFonts w:ascii="Calibri" w:eastAsia="Times New Roman" w:hAnsi="Calibri" w:cs="Arial"/>
          <w:color w:val="4A4A4A"/>
          <w:sz w:val="21"/>
          <w:szCs w:val="21"/>
          <w:lang w:eastAsia="en-GB"/>
        </w:rPr>
      </w:pPr>
      <w:r w:rsidRPr="005072C5">
        <w:rPr>
          <w:rFonts w:ascii="Calibri" w:eastAsia="Times New Roman" w:hAnsi="Calibri" w:cs="Arial"/>
          <w:color w:val="4A4A4A"/>
          <w:sz w:val="21"/>
          <w:szCs w:val="21"/>
          <w:lang w:eastAsia="en-GB"/>
        </w:rPr>
        <w:t>There is no global database collecting DRR policy information besides the HFA Monitor and the succeeding Sendai Monitor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5DF0F14"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b/>
          <w:bCs/>
          <w:color w:val="4A4A4A"/>
          <w:sz w:val="21"/>
          <w:szCs w:val="21"/>
          <w:lang w:eastAsia="en-GB"/>
        </w:rPr>
        <w:t>URL:</w:t>
      </w:r>
    </w:p>
    <w:p w14:paraId="728F7863"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http://www.preventionweb.net/documents/oiewg/Technical%20Collection%20of%20Concept%20Notes%20on%20Indicators.pdf</w:t>
      </w:r>
    </w:p>
    <w:p w14:paraId="050A6135"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p>
    <w:p w14:paraId="7A3FEFD0"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b/>
          <w:bCs/>
          <w:color w:val="4A4A4A"/>
          <w:sz w:val="21"/>
          <w:szCs w:val="21"/>
          <w:lang w:eastAsia="en-GB"/>
        </w:rPr>
        <w:t>References:</w:t>
      </w:r>
    </w:p>
    <w:p w14:paraId="08DE9B4C"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 xml:space="preserve">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w:t>
      </w:r>
      <w:proofErr w:type="gramStart"/>
      <w:r w:rsidRPr="00D0631A">
        <w:rPr>
          <w:rFonts w:ascii="Calibri" w:eastAsia="Times New Roman" w:hAnsi="Calibri" w:cs="Arial"/>
          <w:color w:val="4A4A4A"/>
          <w:sz w:val="21"/>
          <w:szCs w:val="21"/>
          <w:lang w:eastAsia="en-GB"/>
        </w:rPr>
        <w:t>OEIWG, and</w:t>
      </w:r>
      <w:proofErr w:type="gramEnd"/>
      <w:r w:rsidRPr="00D0631A">
        <w:rPr>
          <w:rFonts w:ascii="Calibri" w:eastAsia="Times New Roman" w:hAnsi="Calibri" w:cs="Arial"/>
          <w:color w:val="4A4A4A"/>
          <w:sz w:val="21"/>
          <w:szCs w:val="21"/>
          <w:lang w:eastAsia="en-GB"/>
        </w:rPr>
        <w:t xml:space="preserve"> has deferred the responsibility for the further refinement and development of the methodology for disaster-related SDGs indicators to this working group.</w:t>
      </w:r>
    </w:p>
    <w:p w14:paraId="5EF8621D"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p>
    <w:p w14:paraId="79D8E982"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http://www.preventionweb.net/drr-framework/open-ended-working-group/</w:t>
      </w:r>
    </w:p>
    <w:p w14:paraId="1183223B"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p>
    <w:p w14:paraId="6EC4EA9A"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 xml:space="preserve">The latest version of documents </w:t>
      </w:r>
      <w:proofErr w:type="gramStart"/>
      <w:r w:rsidRPr="00D0631A">
        <w:rPr>
          <w:rFonts w:ascii="Calibri" w:eastAsia="Times New Roman" w:hAnsi="Calibri" w:cs="Arial"/>
          <w:color w:val="4A4A4A"/>
          <w:sz w:val="21"/>
          <w:szCs w:val="21"/>
          <w:lang w:eastAsia="en-GB"/>
        </w:rPr>
        <w:t>are</w:t>
      </w:r>
      <w:proofErr w:type="gramEnd"/>
      <w:r w:rsidRPr="00D0631A">
        <w:rPr>
          <w:rFonts w:ascii="Calibri" w:eastAsia="Times New Roman" w:hAnsi="Calibri" w:cs="Arial"/>
          <w:color w:val="4A4A4A"/>
          <w:sz w:val="21"/>
          <w:szCs w:val="21"/>
          <w:lang w:eastAsia="en-GB"/>
        </w:rPr>
        <w:t xml:space="preserve"> located at:</w:t>
      </w:r>
    </w:p>
    <w:p w14:paraId="1369067E"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p>
    <w:p w14:paraId="3F2ABCA8" w14:textId="77777777" w:rsidR="00D0631A" w:rsidRPr="00D0631A" w:rsidRDefault="00D0631A" w:rsidP="00D0631A">
      <w:pPr>
        <w:shd w:val="clear" w:color="auto" w:fill="FFFFFF"/>
        <w:spacing w:after="0" w:line="336" w:lineRule="atLeast"/>
        <w:rPr>
          <w:rFonts w:ascii="Calibri" w:eastAsia="Times New Roman" w:hAnsi="Calibri" w:cs="Arial"/>
          <w:color w:val="4A4A4A"/>
          <w:sz w:val="21"/>
          <w:szCs w:val="21"/>
          <w:lang w:eastAsia="en-GB"/>
        </w:rPr>
      </w:pPr>
      <w:r w:rsidRPr="00D0631A">
        <w:rPr>
          <w:rFonts w:ascii="Calibri" w:eastAsia="Times New Roman" w:hAnsi="Calibri" w:cs="Arial"/>
          <w:color w:val="4A4A4A"/>
          <w:sz w:val="21"/>
          <w:szCs w:val="21"/>
          <w:lang w:eastAsia="en-GB"/>
        </w:rPr>
        <w:t>http://www.preventionweb.net/drr-framework/open-ended-working-group/sessional-intersessional-documents</w:t>
      </w: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48B5" w14:textId="77777777" w:rsidR="004955FD" w:rsidRDefault="004955FD" w:rsidP="00573C0B">
      <w:pPr>
        <w:spacing w:after="0" w:line="240" w:lineRule="auto"/>
      </w:pPr>
      <w:r>
        <w:separator/>
      </w:r>
    </w:p>
  </w:endnote>
  <w:endnote w:type="continuationSeparator" w:id="0">
    <w:p w14:paraId="303CFC8B" w14:textId="77777777" w:rsidR="004955FD" w:rsidRDefault="004955FD" w:rsidP="00573C0B">
      <w:pPr>
        <w:spacing w:after="0" w:line="240" w:lineRule="auto"/>
      </w:pPr>
      <w:r>
        <w:continuationSeparator/>
      </w:r>
    </w:p>
  </w:endnote>
  <w:endnote w:type="continuationNotice" w:id="1">
    <w:p w14:paraId="5FBBCB0D" w14:textId="77777777" w:rsidR="004955FD" w:rsidRDefault="004955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D7D1D" w14:paraId="7B47B402" w14:textId="77777777" w:rsidTr="73BD7D1D">
      <w:tc>
        <w:tcPr>
          <w:tcW w:w="3005" w:type="dxa"/>
        </w:tcPr>
        <w:p w14:paraId="59F8F55E" w14:textId="73932CA2" w:rsidR="73BD7D1D" w:rsidRDefault="73BD7D1D" w:rsidP="73BD7D1D">
          <w:pPr>
            <w:pStyle w:val="Header"/>
            <w:ind w:left="-115"/>
          </w:pPr>
        </w:p>
      </w:tc>
      <w:tc>
        <w:tcPr>
          <w:tcW w:w="3005" w:type="dxa"/>
        </w:tcPr>
        <w:p w14:paraId="46859A4D" w14:textId="21AFEEE9" w:rsidR="73BD7D1D" w:rsidRDefault="73BD7D1D" w:rsidP="73BD7D1D">
          <w:pPr>
            <w:pStyle w:val="Header"/>
            <w:jc w:val="center"/>
          </w:pPr>
        </w:p>
      </w:tc>
      <w:tc>
        <w:tcPr>
          <w:tcW w:w="3005" w:type="dxa"/>
        </w:tcPr>
        <w:p w14:paraId="64174D3A" w14:textId="0633B277" w:rsidR="73BD7D1D" w:rsidRDefault="73BD7D1D" w:rsidP="73BD7D1D">
          <w:pPr>
            <w:pStyle w:val="Header"/>
            <w:ind w:right="-115"/>
            <w:jc w:val="right"/>
          </w:pPr>
        </w:p>
      </w:tc>
    </w:tr>
  </w:tbl>
  <w:p w14:paraId="68CFB172" w14:textId="119B2F5D" w:rsidR="73BD7D1D" w:rsidRDefault="73BD7D1D" w:rsidP="73BD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C9FE" w14:textId="77777777" w:rsidR="004955FD" w:rsidRDefault="004955FD" w:rsidP="00573C0B">
      <w:pPr>
        <w:spacing w:after="0" w:line="240" w:lineRule="auto"/>
      </w:pPr>
      <w:r>
        <w:separator/>
      </w:r>
    </w:p>
  </w:footnote>
  <w:footnote w:type="continuationSeparator" w:id="0">
    <w:p w14:paraId="5FE6744C" w14:textId="77777777" w:rsidR="004955FD" w:rsidRDefault="004955FD" w:rsidP="00573C0B">
      <w:pPr>
        <w:spacing w:after="0" w:line="240" w:lineRule="auto"/>
      </w:pPr>
      <w:r>
        <w:continuationSeparator/>
      </w:r>
    </w:p>
  </w:footnote>
  <w:footnote w:type="continuationNotice" w:id="1">
    <w:p w14:paraId="0BDF18CB" w14:textId="77777777" w:rsidR="004955FD" w:rsidRDefault="004955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0371371" w:rsidR="00077F46" w:rsidRPr="00757E8A" w:rsidRDefault="73BD7D1D"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73BD7D1D">
      <w:rPr>
        <w:color w:val="404040" w:themeColor="text1" w:themeTint="BF"/>
        <w:sz w:val="18"/>
        <w:szCs w:val="18"/>
      </w:rPr>
      <w:t>Last updated:</w:t>
    </w:r>
    <w:bookmarkEnd w:id="5"/>
    <w:bookmarkEnd w:id="6"/>
    <w:bookmarkEnd w:id="7"/>
    <w:bookmarkEnd w:id="8"/>
    <w:bookmarkEnd w:id="9"/>
    <w:bookmarkEnd w:id="10"/>
    <w:r w:rsidRPr="73BD7D1D">
      <w:rPr>
        <w:color w:val="404040" w:themeColor="text1" w:themeTint="BF"/>
        <w:sz w:val="18"/>
        <w:szCs w:val="18"/>
      </w:rPr>
      <w:t xml:space="preserve"> 2017-07-07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63BB2"/>
    <w:multiLevelType w:val="multilevel"/>
    <w:tmpl w:val="98C2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C688C"/>
    <w:rsid w:val="003F0BD3"/>
    <w:rsid w:val="003F278A"/>
    <w:rsid w:val="003F7A02"/>
    <w:rsid w:val="00422EA5"/>
    <w:rsid w:val="00422EFA"/>
    <w:rsid w:val="0042791F"/>
    <w:rsid w:val="004456ED"/>
    <w:rsid w:val="0048045A"/>
    <w:rsid w:val="004841B8"/>
    <w:rsid w:val="004930F2"/>
    <w:rsid w:val="004955FD"/>
    <w:rsid w:val="004B0F1C"/>
    <w:rsid w:val="004F2EE6"/>
    <w:rsid w:val="00502DBA"/>
    <w:rsid w:val="005040C4"/>
    <w:rsid w:val="005072C5"/>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2325"/>
    <w:rsid w:val="006447B1"/>
    <w:rsid w:val="00652CC9"/>
    <w:rsid w:val="00662775"/>
    <w:rsid w:val="006852FC"/>
    <w:rsid w:val="006B40AB"/>
    <w:rsid w:val="006B5DC5"/>
    <w:rsid w:val="006C4BFD"/>
    <w:rsid w:val="006C7D30"/>
    <w:rsid w:val="006E3C08"/>
    <w:rsid w:val="00700ACF"/>
    <w:rsid w:val="00705DDD"/>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5750E"/>
    <w:rsid w:val="00881E28"/>
    <w:rsid w:val="00894C4B"/>
    <w:rsid w:val="008A12E3"/>
    <w:rsid w:val="008A42FA"/>
    <w:rsid w:val="008B0AC7"/>
    <w:rsid w:val="008C2335"/>
    <w:rsid w:val="008C67C1"/>
    <w:rsid w:val="008D1D39"/>
    <w:rsid w:val="008F07D2"/>
    <w:rsid w:val="00917851"/>
    <w:rsid w:val="00917F65"/>
    <w:rsid w:val="009311E7"/>
    <w:rsid w:val="00942694"/>
    <w:rsid w:val="00952D03"/>
    <w:rsid w:val="009A7E3A"/>
    <w:rsid w:val="009B1265"/>
    <w:rsid w:val="009B4A15"/>
    <w:rsid w:val="009B5693"/>
    <w:rsid w:val="009C61A2"/>
    <w:rsid w:val="009C78E4"/>
    <w:rsid w:val="009D687E"/>
    <w:rsid w:val="009E5E88"/>
    <w:rsid w:val="009F6DE7"/>
    <w:rsid w:val="00A10583"/>
    <w:rsid w:val="00A37FCB"/>
    <w:rsid w:val="00A54863"/>
    <w:rsid w:val="00A61D74"/>
    <w:rsid w:val="00A8688B"/>
    <w:rsid w:val="00A91163"/>
    <w:rsid w:val="00A9286F"/>
    <w:rsid w:val="00A96255"/>
    <w:rsid w:val="00AB285B"/>
    <w:rsid w:val="00AE4C83"/>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28C3"/>
    <w:rsid w:val="00CB4371"/>
    <w:rsid w:val="00CC516D"/>
    <w:rsid w:val="00D0631A"/>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2D00"/>
    <w:rsid w:val="00E66409"/>
    <w:rsid w:val="00E81D5B"/>
    <w:rsid w:val="00E976B9"/>
    <w:rsid w:val="00EA05D3"/>
    <w:rsid w:val="00EB19AD"/>
    <w:rsid w:val="00EB2F31"/>
    <w:rsid w:val="00EB6493"/>
    <w:rsid w:val="00EC2915"/>
    <w:rsid w:val="00ED05A9"/>
    <w:rsid w:val="00ED1BA0"/>
    <w:rsid w:val="00EE01A5"/>
    <w:rsid w:val="00F17257"/>
    <w:rsid w:val="00F34D24"/>
    <w:rsid w:val="00F4130B"/>
    <w:rsid w:val="00F474DB"/>
    <w:rsid w:val="00F556A2"/>
    <w:rsid w:val="00F719A8"/>
    <w:rsid w:val="00F878B9"/>
    <w:rsid w:val="00FB24E8"/>
    <w:rsid w:val="00FB3B2B"/>
    <w:rsid w:val="00FC18DA"/>
    <w:rsid w:val="00FC3917"/>
    <w:rsid w:val="00FD60DA"/>
    <w:rsid w:val="00FF07B4"/>
    <w:rsid w:val="255C4F29"/>
    <w:rsid w:val="57532A56"/>
    <w:rsid w:val="6F417D76"/>
    <w:rsid w:val="73BD7D1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346">
      <w:bodyDiv w:val="1"/>
      <w:marLeft w:val="0"/>
      <w:marRight w:val="0"/>
      <w:marTop w:val="0"/>
      <w:marBottom w:val="0"/>
      <w:divBdr>
        <w:top w:val="none" w:sz="0" w:space="0" w:color="auto"/>
        <w:left w:val="none" w:sz="0" w:space="0" w:color="auto"/>
        <w:bottom w:val="none" w:sz="0" w:space="0" w:color="auto"/>
        <w:right w:val="none" w:sz="0" w:space="0" w:color="auto"/>
      </w:divBdr>
    </w:div>
    <w:div w:id="301739410">
      <w:bodyDiv w:val="1"/>
      <w:marLeft w:val="0"/>
      <w:marRight w:val="0"/>
      <w:marTop w:val="0"/>
      <w:marBottom w:val="0"/>
      <w:divBdr>
        <w:top w:val="none" w:sz="0" w:space="0" w:color="auto"/>
        <w:left w:val="none" w:sz="0" w:space="0" w:color="auto"/>
        <w:bottom w:val="none" w:sz="0" w:space="0" w:color="auto"/>
        <w:right w:val="none" w:sz="0" w:space="0" w:color="auto"/>
      </w:divBdr>
    </w:div>
    <w:div w:id="430469838">
      <w:bodyDiv w:val="1"/>
      <w:marLeft w:val="0"/>
      <w:marRight w:val="0"/>
      <w:marTop w:val="0"/>
      <w:marBottom w:val="0"/>
      <w:divBdr>
        <w:top w:val="none" w:sz="0" w:space="0" w:color="auto"/>
        <w:left w:val="none" w:sz="0" w:space="0" w:color="auto"/>
        <w:bottom w:val="none" w:sz="0" w:space="0" w:color="auto"/>
        <w:right w:val="none" w:sz="0" w:space="0" w:color="auto"/>
      </w:divBdr>
    </w:div>
    <w:div w:id="480462195">
      <w:bodyDiv w:val="1"/>
      <w:marLeft w:val="0"/>
      <w:marRight w:val="0"/>
      <w:marTop w:val="0"/>
      <w:marBottom w:val="0"/>
      <w:divBdr>
        <w:top w:val="none" w:sz="0" w:space="0" w:color="auto"/>
        <w:left w:val="none" w:sz="0" w:space="0" w:color="auto"/>
        <w:bottom w:val="none" w:sz="0" w:space="0" w:color="auto"/>
        <w:right w:val="none" w:sz="0" w:space="0" w:color="auto"/>
      </w:divBdr>
    </w:div>
    <w:div w:id="511989320">
      <w:bodyDiv w:val="1"/>
      <w:marLeft w:val="0"/>
      <w:marRight w:val="0"/>
      <w:marTop w:val="0"/>
      <w:marBottom w:val="0"/>
      <w:divBdr>
        <w:top w:val="none" w:sz="0" w:space="0" w:color="auto"/>
        <w:left w:val="none" w:sz="0" w:space="0" w:color="auto"/>
        <w:bottom w:val="none" w:sz="0" w:space="0" w:color="auto"/>
        <w:right w:val="none" w:sz="0" w:space="0" w:color="auto"/>
      </w:divBdr>
    </w:div>
    <w:div w:id="535431750">
      <w:bodyDiv w:val="1"/>
      <w:marLeft w:val="0"/>
      <w:marRight w:val="0"/>
      <w:marTop w:val="0"/>
      <w:marBottom w:val="0"/>
      <w:divBdr>
        <w:top w:val="none" w:sz="0" w:space="0" w:color="auto"/>
        <w:left w:val="none" w:sz="0" w:space="0" w:color="auto"/>
        <w:bottom w:val="none" w:sz="0" w:space="0" w:color="auto"/>
        <w:right w:val="none" w:sz="0" w:space="0" w:color="auto"/>
      </w:divBdr>
    </w:div>
    <w:div w:id="97511035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1367977">
      <w:bodyDiv w:val="1"/>
      <w:marLeft w:val="0"/>
      <w:marRight w:val="0"/>
      <w:marTop w:val="0"/>
      <w:marBottom w:val="0"/>
      <w:divBdr>
        <w:top w:val="none" w:sz="0" w:space="0" w:color="auto"/>
        <w:left w:val="none" w:sz="0" w:space="0" w:color="auto"/>
        <w:bottom w:val="none" w:sz="0" w:space="0" w:color="auto"/>
        <w:right w:val="none" w:sz="0" w:space="0" w:color="auto"/>
      </w:divBdr>
    </w:div>
    <w:div w:id="112388700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0388148">
      <w:bodyDiv w:val="1"/>
      <w:marLeft w:val="0"/>
      <w:marRight w:val="0"/>
      <w:marTop w:val="0"/>
      <w:marBottom w:val="0"/>
      <w:divBdr>
        <w:top w:val="none" w:sz="0" w:space="0" w:color="auto"/>
        <w:left w:val="none" w:sz="0" w:space="0" w:color="auto"/>
        <w:bottom w:val="none" w:sz="0" w:space="0" w:color="auto"/>
        <w:right w:val="none" w:sz="0" w:space="0" w:color="auto"/>
      </w:divBdr>
    </w:div>
    <w:div w:id="1271818052">
      <w:bodyDiv w:val="1"/>
      <w:marLeft w:val="0"/>
      <w:marRight w:val="0"/>
      <w:marTop w:val="0"/>
      <w:marBottom w:val="0"/>
      <w:divBdr>
        <w:top w:val="none" w:sz="0" w:space="0" w:color="auto"/>
        <w:left w:val="none" w:sz="0" w:space="0" w:color="auto"/>
        <w:bottom w:val="none" w:sz="0" w:space="0" w:color="auto"/>
        <w:right w:val="none" w:sz="0" w:space="0" w:color="auto"/>
      </w:divBdr>
    </w:div>
    <w:div w:id="1465733690">
      <w:bodyDiv w:val="1"/>
      <w:marLeft w:val="0"/>
      <w:marRight w:val="0"/>
      <w:marTop w:val="0"/>
      <w:marBottom w:val="0"/>
      <w:divBdr>
        <w:top w:val="none" w:sz="0" w:space="0" w:color="auto"/>
        <w:left w:val="none" w:sz="0" w:space="0" w:color="auto"/>
        <w:bottom w:val="none" w:sz="0" w:space="0" w:color="auto"/>
        <w:right w:val="none" w:sz="0" w:space="0" w:color="auto"/>
      </w:divBdr>
    </w:div>
    <w:div w:id="1482889889">
      <w:bodyDiv w:val="1"/>
      <w:marLeft w:val="0"/>
      <w:marRight w:val="0"/>
      <w:marTop w:val="0"/>
      <w:marBottom w:val="0"/>
      <w:divBdr>
        <w:top w:val="none" w:sz="0" w:space="0" w:color="auto"/>
        <w:left w:val="none" w:sz="0" w:space="0" w:color="auto"/>
        <w:bottom w:val="none" w:sz="0" w:space="0" w:color="auto"/>
        <w:right w:val="none" w:sz="0" w:space="0" w:color="auto"/>
      </w:divBdr>
    </w:div>
    <w:div w:id="1555778261">
      <w:bodyDiv w:val="1"/>
      <w:marLeft w:val="0"/>
      <w:marRight w:val="0"/>
      <w:marTop w:val="0"/>
      <w:marBottom w:val="0"/>
      <w:divBdr>
        <w:top w:val="none" w:sz="0" w:space="0" w:color="auto"/>
        <w:left w:val="none" w:sz="0" w:space="0" w:color="auto"/>
        <w:bottom w:val="none" w:sz="0" w:space="0" w:color="auto"/>
        <w:right w:val="none" w:sz="0" w:space="0" w:color="auto"/>
      </w:divBdr>
    </w:div>
    <w:div w:id="1593931393">
      <w:bodyDiv w:val="1"/>
      <w:marLeft w:val="0"/>
      <w:marRight w:val="0"/>
      <w:marTop w:val="0"/>
      <w:marBottom w:val="0"/>
      <w:divBdr>
        <w:top w:val="none" w:sz="0" w:space="0" w:color="auto"/>
        <w:left w:val="none" w:sz="0" w:space="0" w:color="auto"/>
        <w:bottom w:val="none" w:sz="0" w:space="0" w:color="auto"/>
        <w:right w:val="none" w:sz="0" w:space="0" w:color="auto"/>
      </w:divBdr>
    </w:div>
    <w:div w:id="1606620369">
      <w:bodyDiv w:val="1"/>
      <w:marLeft w:val="0"/>
      <w:marRight w:val="0"/>
      <w:marTop w:val="0"/>
      <w:marBottom w:val="0"/>
      <w:divBdr>
        <w:top w:val="none" w:sz="0" w:space="0" w:color="auto"/>
        <w:left w:val="none" w:sz="0" w:space="0" w:color="auto"/>
        <w:bottom w:val="none" w:sz="0" w:space="0" w:color="auto"/>
        <w:right w:val="none" w:sz="0" w:space="0" w:color="auto"/>
      </w:divBdr>
    </w:div>
    <w:div w:id="1708480796">
      <w:bodyDiv w:val="1"/>
      <w:marLeft w:val="0"/>
      <w:marRight w:val="0"/>
      <w:marTop w:val="0"/>
      <w:marBottom w:val="0"/>
      <w:divBdr>
        <w:top w:val="none" w:sz="0" w:space="0" w:color="auto"/>
        <w:left w:val="none" w:sz="0" w:space="0" w:color="auto"/>
        <w:bottom w:val="none" w:sz="0" w:space="0" w:color="auto"/>
        <w:right w:val="none" w:sz="0" w:space="0" w:color="auto"/>
      </w:divBdr>
    </w:div>
    <w:div w:id="1778870187">
      <w:bodyDiv w:val="1"/>
      <w:marLeft w:val="0"/>
      <w:marRight w:val="0"/>
      <w:marTop w:val="0"/>
      <w:marBottom w:val="0"/>
      <w:divBdr>
        <w:top w:val="none" w:sz="0" w:space="0" w:color="auto"/>
        <w:left w:val="none" w:sz="0" w:space="0" w:color="auto"/>
        <w:bottom w:val="none" w:sz="0" w:space="0" w:color="auto"/>
        <w:right w:val="none" w:sz="0" w:space="0" w:color="auto"/>
      </w:divBdr>
    </w:div>
    <w:div w:id="1832018617">
      <w:bodyDiv w:val="1"/>
      <w:marLeft w:val="0"/>
      <w:marRight w:val="0"/>
      <w:marTop w:val="0"/>
      <w:marBottom w:val="0"/>
      <w:divBdr>
        <w:top w:val="none" w:sz="0" w:space="0" w:color="auto"/>
        <w:left w:val="none" w:sz="0" w:space="0" w:color="auto"/>
        <w:bottom w:val="none" w:sz="0" w:space="0" w:color="auto"/>
        <w:right w:val="none" w:sz="0" w:space="0" w:color="auto"/>
      </w:divBdr>
    </w:div>
    <w:div w:id="1872256492">
      <w:bodyDiv w:val="1"/>
      <w:marLeft w:val="0"/>
      <w:marRight w:val="0"/>
      <w:marTop w:val="0"/>
      <w:marBottom w:val="0"/>
      <w:divBdr>
        <w:top w:val="none" w:sz="0" w:space="0" w:color="auto"/>
        <w:left w:val="none" w:sz="0" w:space="0" w:color="auto"/>
        <w:bottom w:val="none" w:sz="0" w:space="0" w:color="auto"/>
        <w:right w:val="none" w:sz="0" w:space="0" w:color="auto"/>
      </w:divBdr>
    </w:div>
    <w:div w:id="19953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0361DC3-8862-4424-BD4B-750184132ED3}"/>
      </w:docPartPr>
      <w:docPartBody>
        <w:p w:rsidR="00000000" w:rsidRDefault="00C9149E">
          <w:r w:rsidRPr="00A8676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9E"/>
    <w:rsid w:val="00C914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4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www.w3.org/XML/1998/namespace"/>
    <ds:schemaRef ds:uri="f2d2d782-0088-4826-96df-71eba56e6d2e"/>
    <ds:schemaRef ds:uri="d114b01d-ae01-4749-b845-9d88e7ef5c0e"/>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purl.org/dc/elements/1.1/"/>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D5FDF3F4-BA60-4048-BC8A-3967D478875B}">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15</cp:revision>
  <cp:lastPrinted>2016-07-16T14:25:00Z</cp:lastPrinted>
  <dcterms:created xsi:type="dcterms:W3CDTF">2020-12-13T01:33:00Z</dcterms:created>
  <dcterms:modified xsi:type="dcterms:W3CDTF">2022-12-20T22:10:00Z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