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3E704AA9" w14:textId="7876E367" w:rsidR="0072214E" w:rsidRPr="00C26200" w:rsidRDefault="0072214E" w:rsidP="00D24330">
      <w:pPr>
        <w:pStyle w:val="MIndHeader"/>
        <w:rPr>
          <w:sz w:val="21"/>
          <w:szCs w:val="21"/>
        </w:rPr>
      </w:pPr>
      <w:r w:rsidRPr="00C26200">
        <w:rPr>
          <w:color w:val="444444"/>
          <w:sz w:val="21"/>
          <w:szCs w:val="21"/>
        </w:rPr>
        <w:t xml:space="preserve">Goal 3: Ensure healthy lives and promote well-being for all at all </w:t>
      </w:r>
      <w:proofErr w:type="gramStart"/>
      <w:r w:rsidRPr="00C26200">
        <w:rPr>
          <w:color w:val="444444"/>
          <w:sz w:val="21"/>
          <w:szCs w:val="21"/>
        </w:rPr>
        <w:t>ages</w:t>
      </w:r>
      <w:proofErr w:type="gramEnd"/>
    </w:p>
    <w:p w14:paraId="084142D2" w14:textId="1C5D32BD" w:rsidR="00D24330" w:rsidRPr="00A96255" w:rsidRDefault="00D24330" w:rsidP="00D24330">
      <w:pPr>
        <w:pStyle w:val="MIndHeader"/>
      </w:pPr>
      <w:r w:rsidRPr="00A96255">
        <w:t xml:space="preserve">0.b. Target </w:t>
      </w:r>
      <w:r>
        <w:rPr>
          <w:color w:val="B4B4B4"/>
          <w:sz w:val="20"/>
        </w:rPr>
        <w:t>(SDG_TARGET)</w:t>
      </w:r>
    </w:p>
    <w:p w14:paraId="43580985" w14:textId="03FEDED5" w:rsidR="0072214E" w:rsidRPr="00C26200" w:rsidRDefault="0072214E" w:rsidP="00D24330">
      <w:pPr>
        <w:pStyle w:val="MIndHeader"/>
        <w:rPr>
          <w:sz w:val="21"/>
          <w:szCs w:val="21"/>
        </w:rPr>
      </w:pPr>
      <w:r w:rsidRPr="00C26200">
        <w:rPr>
          <w:color w:val="444444"/>
          <w:sz w:val="21"/>
          <w:szCs w:val="21"/>
        </w:rPr>
        <w:t xml:space="preserve">Target 3.3: By 2030, end the epidemics of AIDS, tuberculosis, malaria and neglected tropical diseases and combat hepatitis, water-borne diseases and other communicable </w:t>
      </w:r>
      <w:proofErr w:type="gramStart"/>
      <w:r w:rsidRPr="00C26200">
        <w:rPr>
          <w:color w:val="444444"/>
          <w:sz w:val="21"/>
          <w:szCs w:val="21"/>
        </w:rPr>
        <w:t>diseases</w:t>
      </w:r>
      <w:proofErr w:type="gramEnd"/>
    </w:p>
    <w:p w14:paraId="3E67E7E0" w14:textId="1031034B" w:rsidR="00D24330" w:rsidRPr="00A96255" w:rsidRDefault="00D24330" w:rsidP="00D24330">
      <w:pPr>
        <w:pStyle w:val="MIndHeader"/>
      </w:pPr>
      <w:r w:rsidRPr="00A96255">
        <w:t xml:space="preserve">0.c. Indicator </w:t>
      </w:r>
      <w:r>
        <w:rPr>
          <w:color w:val="B4B4B4"/>
          <w:sz w:val="20"/>
        </w:rPr>
        <w:t>(SDG_INDICATOR)</w:t>
      </w:r>
    </w:p>
    <w:p w14:paraId="45767BF5" w14:textId="77777777" w:rsidR="0072214E" w:rsidRDefault="0072214E" w:rsidP="00871185">
      <w:pPr>
        <w:pStyle w:val="MGTHeader"/>
      </w:pPr>
      <w:r w:rsidRPr="0072214E">
        <w:t xml:space="preserve">Indicator 3.3.5: Number of people requiring interventions against neglected tropical </w:t>
      </w:r>
      <w:proofErr w:type="gramStart"/>
      <w:r w:rsidRPr="0072214E">
        <w:t>diseases</w:t>
      </w:r>
      <w:proofErr w:type="gramEnd"/>
      <w:r w:rsidRPr="0072214E">
        <w:t xml:space="preserve"> </w:t>
      </w:r>
    </w:p>
    <w:p w14:paraId="37E5E4F6" w14:textId="4D54B37C" w:rsidR="00D24330" w:rsidRPr="00A96255" w:rsidRDefault="00D24330" w:rsidP="00D24330">
      <w:pPr>
        <w:pStyle w:val="MIndHeader"/>
      </w:pPr>
      <w:r w:rsidRPr="00A96255">
        <w:t xml:space="preserve">0.d. Series </w:t>
      </w:r>
      <w:r>
        <w:rPr>
          <w:color w:val="B4B4B4"/>
          <w:sz w:val="20"/>
        </w:rPr>
        <w:t>(SDG_SERIES_DESCR)</w:t>
      </w:r>
    </w:p>
    <w:p w14:paraId="11D3EFBA" w14:textId="59D0BD1D" w:rsidR="00C977C3" w:rsidRDefault="003D099F" w:rsidP="3ECAD149">
      <w:pPr>
        <w:pStyle w:val="MGTHeader"/>
      </w:pPr>
      <w:r w:rsidRPr="003D099F">
        <w:t>SH_TRP_INTVN - Number of people requiring interventions against neglected tropical diseases [3.3.5]</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844087816"/>
        <w:placeholder>
          <w:docPart w:val="DefaultPlaceholder_-1854013437"/>
        </w:placeholder>
        <w:date w:fullDate="2024-03-28T00:00:00Z">
          <w:dateFormat w:val="yyyy-MM-dd"/>
          <w:lid w:val="en-US"/>
          <w:storeMappedDataAs w:val="dateTime"/>
          <w:calendar w:val="gregorian"/>
        </w:date>
      </w:sdtPr>
      <w:sdtEndPr/>
      <w:sdtContent>
        <w:p w14:paraId="03424B60" w14:textId="0EDAC979" w:rsidR="00D24330" w:rsidRPr="00A96255" w:rsidRDefault="00971FDB" w:rsidP="00D24330">
          <w:pPr>
            <w:pStyle w:val="MGTHeader"/>
          </w:pPr>
          <w:r>
            <w:rPr>
              <w:lang w:val="en-US"/>
            </w:rPr>
            <w:t>2024-03-28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EA0FE1D" w14:textId="14136DE0" w:rsidR="00D24330" w:rsidRPr="00871185" w:rsidRDefault="538C0F07" w:rsidP="00EF71EC">
      <w:pPr>
        <w:pStyle w:val="MGTHeader"/>
        <w:rPr>
          <w:rStyle w:val="normaltextrun"/>
        </w:rPr>
      </w:pPr>
      <w:r w:rsidRPr="00871185">
        <w:rPr>
          <w:rStyle w:val="normaltextrun"/>
        </w:rPr>
        <w:t xml:space="preserve">NTDs are formally recognized as targets for global action in SDG target 3.3, which calls to “end the epidemics of ... neglected tropical diseases” by 2030, as part of Goal 3 (Ensure healthy lives and ensure well-being for all at all ages). Successful interventions against NTDs contribute to meeting other SDGs, such as alleviating poverty (Goal 1) and hunger (Goal 2), enabling people to pursue an education (Goal 4) and lead productive working lives (Goal 8) and promoting equality, for example </w:t>
      </w:r>
      <w:proofErr w:type="gramStart"/>
      <w:r w:rsidRPr="00871185">
        <w:rPr>
          <w:rStyle w:val="normaltextrun"/>
        </w:rPr>
        <w:t>with regard to</w:t>
      </w:r>
      <w:proofErr w:type="gramEnd"/>
      <w:r w:rsidRPr="00871185">
        <w:rPr>
          <w:rStyle w:val="normaltextrun"/>
        </w:rPr>
        <w:t xml:space="preserve"> gender (Goals 5 and 10). Progress towards other Goals can accelerate the achievement of NTD goals. For example, wider provision of clean water, </w:t>
      </w:r>
      <w:proofErr w:type="gramStart"/>
      <w:r w:rsidRPr="00871185">
        <w:rPr>
          <w:rStyle w:val="normaltextrun"/>
        </w:rPr>
        <w:t>sanitation</w:t>
      </w:r>
      <w:proofErr w:type="gramEnd"/>
      <w:r w:rsidRPr="00871185">
        <w:rPr>
          <w:rStyle w:val="normaltextrun"/>
        </w:rPr>
        <w:t xml:space="preserve"> and hygiene (WASH) (Goal 6) is believed to help to eliminate or control NTDs; the availability of resilient infrastructure (Goal 9) should facilitate delivery of medicines and outreach to remote communities; the goals of sustainable cities (Goal 11) and climate action (Goal 13) can support the environmental management necessary for control of disease vectors. Attaining all SDGs and NTD goals is founded on strong global partnerships (Goal 17).</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9F29921" w14:textId="07EBB8DB" w:rsidR="008D1D39" w:rsidRDefault="0072214E" w:rsidP="002826CA">
      <w:pPr>
        <w:pStyle w:val="MGTHeader"/>
        <w:rPr>
          <w:rStyle w:val="eop"/>
          <w:rFonts w:ascii="Calibri" w:hAnsi="Calibri" w:cs="Calibri"/>
          <w:color w:val="4A4A4A"/>
        </w:rPr>
      </w:pPr>
      <w:r>
        <w:rPr>
          <w:rStyle w:val="normaltextrun"/>
          <w:rFonts w:ascii="Calibri" w:hAnsi="Calibri" w:cs="Calibri"/>
          <w:color w:val="4A4A4A"/>
        </w:rPr>
        <w:t>World Health Organization (WHO)</w:t>
      </w:r>
    </w:p>
    <w:p w14:paraId="791F5EAE" w14:textId="77777777" w:rsidR="002826CA" w:rsidRPr="00A96255" w:rsidRDefault="002826CA"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38066048" w:rsidR="00F719A8" w:rsidRDefault="0072214E" w:rsidP="00576CFA">
      <w:pPr>
        <w:pStyle w:val="MText"/>
        <w:rPr>
          <w:rStyle w:val="eop"/>
          <w:rFonts w:ascii="Calibri" w:hAnsi="Calibri" w:cs="Calibri"/>
        </w:rPr>
      </w:pPr>
      <w:r>
        <w:rPr>
          <w:rStyle w:val="normaltextrun"/>
          <w:rFonts w:ascii="Calibri" w:hAnsi="Calibri" w:cs="Calibri"/>
        </w:rPr>
        <w:t>World Health Organization (WHO)</w:t>
      </w:r>
    </w:p>
    <w:p w14:paraId="30D0642A" w14:textId="77777777" w:rsidR="002826CA" w:rsidRDefault="002826CA"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886FCA8" w14:textId="4397E31F"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p>
    <w:p w14:paraId="3AC4FF5E" w14:textId="34F0FCEC" w:rsidR="0072214E" w:rsidRDefault="0072214E"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Number of people requiring treatment and care for any one of the neglected tropical diseases (NTDs) targeted by the WHO NTD Roadmap and World Health Assembly resolutions and reported to WHO.</w:t>
      </w:r>
    </w:p>
    <w:p w14:paraId="328598AF" w14:textId="1C23A95A"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p>
    <w:p w14:paraId="0368A552" w14:textId="1F249D5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p>
    <w:p w14:paraId="317D0658" w14:textId="7338DB8A" w:rsidR="0072214E" w:rsidRDefault="0072214E"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Treatment and care</w:t>
      </w:r>
      <w:r w:rsidR="00B047C2">
        <w:rPr>
          <w:rStyle w:val="normaltextrun"/>
          <w:rFonts w:ascii="Calibri" w:hAnsi="Calibri" w:cs="Calibri"/>
          <w:color w:val="4A4A4A"/>
          <w:sz w:val="21"/>
          <w:szCs w:val="21"/>
          <w:lang w:val="en-GB"/>
        </w:rPr>
        <w:t xml:space="preserve"> </w:t>
      </w:r>
      <w:proofErr w:type="gramStart"/>
      <w:r>
        <w:rPr>
          <w:rStyle w:val="normaltextrun"/>
          <w:rFonts w:ascii="Calibri" w:hAnsi="Calibri" w:cs="Calibri"/>
          <w:color w:val="4A4A4A"/>
          <w:sz w:val="21"/>
          <w:szCs w:val="21"/>
          <w:lang w:val="en-GB"/>
        </w:rPr>
        <w:t>is</w:t>
      </w:r>
      <w:proofErr w:type="gramEnd"/>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broadly defined to allow for preventive, curative, surgical or rehabilitative treatment and care.</w:t>
      </w:r>
      <w:r w:rsidR="00B047C2">
        <w:rPr>
          <w:rStyle w:val="normaltextrun"/>
          <w:rFonts w:ascii="Calibri" w:hAnsi="Calibri" w:cs="Calibri"/>
          <w:color w:val="4A4A4A"/>
          <w:sz w:val="21"/>
          <w:szCs w:val="21"/>
          <w:lang w:val="en-GB"/>
        </w:rPr>
        <w:t xml:space="preserve"> </w:t>
      </w:r>
      <w:proofErr w:type="gramStart"/>
      <w:r>
        <w:rPr>
          <w:rStyle w:val="normaltextrun"/>
          <w:rFonts w:ascii="Calibri" w:hAnsi="Calibri" w:cs="Calibri"/>
          <w:color w:val="4A4A4A"/>
          <w:sz w:val="21"/>
          <w:szCs w:val="21"/>
          <w:lang w:val="en-GB"/>
        </w:rPr>
        <w:t>In particular, it</w:t>
      </w:r>
      <w:proofErr w:type="gramEnd"/>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includes both:</w:t>
      </w:r>
      <w:r w:rsidR="00B047C2">
        <w:rPr>
          <w:rStyle w:val="normaltextrun"/>
          <w:rFonts w:ascii="Calibri" w:hAnsi="Calibri" w:cs="Calibri"/>
          <w:color w:val="4A4A4A"/>
          <w:sz w:val="21"/>
          <w:szCs w:val="21"/>
          <w:lang w:val="en-GB"/>
        </w:rPr>
        <w:t xml:space="preserve"> </w:t>
      </w:r>
    </w:p>
    <w:p w14:paraId="24692813" w14:textId="674B2A73"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p>
    <w:p w14:paraId="71332D07" w14:textId="49A87E94"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1) Average annual number of people requiring mass treatment known as preventive chemotherapy (PC) for at least one PC-NTD; and</w:t>
      </w:r>
    </w:p>
    <w:p w14:paraId="5353545C" w14:textId="600CD6D2"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p>
    <w:p w14:paraId="3ED84023" w14:textId="679A1512"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2) Number of new cases requiring individual treatment and care for other NTDs.</w:t>
      </w:r>
    </w:p>
    <w:p w14:paraId="09215C14" w14:textId="1D274B21"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p>
    <w:p w14:paraId="5FD62B2E" w14:textId="69A901A0"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Other key interventions against NTDs (</w:t>
      </w:r>
      <w:proofErr w:type="gramStart"/>
      <w:r>
        <w:rPr>
          <w:rStyle w:val="normaltextrun"/>
          <w:rFonts w:ascii="Calibri" w:hAnsi="Calibri" w:cs="Calibri"/>
          <w:color w:val="4A4A4A"/>
          <w:sz w:val="21"/>
          <w:szCs w:val="21"/>
          <w:lang w:val="en-GB"/>
        </w:rPr>
        <w:t>e.g.</w:t>
      </w:r>
      <w:proofErr w:type="gramEnd"/>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vector management, veterinary public health, water, sanitation and hygiene) are to be addressed in the context of other targets and indicators, namely Universal Health Coverage (UHC) and universal access to water and sanitation.</w:t>
      </w:r>
    </w:p>
    <w:p w14:paraId="6E54D3D6" w14:textId="77777777" w:rsidR="00EC2915" w:rsidRPr="004645FA" w:rsidRDefault="00EC2915" w:rsidP="00576CFA">
      <w:pPr>
        <w:pStyle w:val="MText"/>
        <w:rPr>
          <w:lang w:val="en-US"/>
        </w:rPr>
      </w:pPr>
    </w:p>
    <w:p w14:paraId="7932F8BD" w14:textId="3869C451" w:rsidR="008B0AC7" w:rsidRPr="00A96255" w:rsidRDefault="00576CFA" w:rsidP="00F719A8">
      <w:pPr>
        <w:pStyle w:val="MHeader2"/>
      </w:pPr>
      <w:r>
        <w:t xml:space="preserve">2.b. Unit of measure </w:t>
      </w:r>
      <w:r>
        <w:rPr>
          <w:color w:val="B4B4B4"/>
          <w:sz w:val="20"/>
        </w:rPr>
        <w:t>(UNIT_MEASURE)</w:t>
      </w:r>
    </w:p>
    <w:p w14:paraId="54006A2E" w14:textId="52ED13E8" w:rsidR="38065B22" w:rsidRDefault="38065B22" w:rsidP="00CD31C9">
      <w:pPr>
        <w:pStyle w:val="MText"/>
      </w:pPr>
      <w:r>
        <w:t>Number of people</w:t>
      </w:r>
    </w:p>
    <w:p w14:paraId="6C2183C5" w14:textId="77777777" w:rsidR="00AA52B5" w:rsidRDefault="00AA52B5" w:rsidP="00CD31C9">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7B16491E" w:rsidR="00576CFA" w:rsidRPr="00A96255" w:rsidRDefault="3352B362" w:rsidP="00576CFA">
      <w:pPr>
        <w:pStyle w:val="MText"/>
      </w:pPr>
      <w:r w:rsidRPr="004645FA">
        <w:rPr>
          <w:rStyle w:val="normaltextrun"/>
          <w:rFonts w:ascii="Calibri" w:hAnsi="Calibri" w:cs="Calibri"/>
        </w:rPr>
        <w:t>Not applicable</w:t>
      </w:r>
    </w:p>
    <w:p w14:paraId="123172F4" w14:textId="317734A1"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2AE48DA6" w14:textId="13B046FF"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Description:</w:t>
      </w:r>
    </w:p>
    <w:p w14:paraId="2970D7D8" w14:textId="75F9DFB4" w:rsidR="00956D34" w:rsidRDefault="00956D34" w:rsidP="00181441">
      <w:pPr>
        <w:pStyle w:val="NoSpacing"/>
        <w:rPr>
          <w:rFonts w:ascii="Segoe UI" w:hAnsi="Segoe UI" w:cs="Segoe UI"/>
          <w:sz w:val="18"/>
          <w:szCs w:val="18"/>
        </w:rPr>
      </w:pPr>
      <w:r>
        <w:rPr>
          <w:rStyle w:val="normaltextrun"/>
          <w:rFonts w:ascii="Calibri" w:hAnsi="Calibri" w:cs="Calibri"/>
          <w:color w:val="4A4A4A"/>
          <w:sz w:val="21"/>
          <w:szCs w:val="21"/>
        </w:rPr>
        <w:t>The number of people requiring treatment and care for NTDs is measured by existing country</w:t>
      </w:r>
      <w:r w:rsidR="00B047C2">
        <w:rPr>
          <w:rStyle w:val="normaltextrun"/>
          <w:rFonts w:ascii="Calibri" w:hAnsi="Calibri" w:cs="Calibri"/>
          <w:color w:val="4A4A4A"/>
          <w:sz w:val="21"/>
          <w:szCs w:val="21"/>
        </w:rPr>
        <w:t xml:space="preserve"> </w:t>
      </w:r>
      <w:proofErr w:type="gramStart"/>
      <w:r w:rsidR="00695220">
        <w:rPr>
          <w:rStyle w:val="normaltextrun"/>
          <w:rFonts w:ascii="Calibri" w:hAnsi="Calibri" w:cs="Calibri"/>
          <w:color w:val="4A4A4A"/>
          <w:sz w:val="21"/>
          <w:szCs w:val="21"/>
        </w:rPr>
        <w:t>systems, and</w:t>
      </w:r>
      <w:proofErr w:type="gramEnd"/>
      <w:r w:rsidR="00B047C2">
        <w:rPr>
          <w:rStyle w:val="normaltextrun"/>
          <w:rFonts w:ascii="Calibri" w:hAnsi="Calibri" w:cs="Calibri"/>
          <w:color w:val="4A4A4A"/>
          <w:sz w:val="21"/>
          <w:szCs w:val="21"/>
        </w:rPr>
        <w:t xml:space="preserve"> </w:t>
      </w:r>
      <w:r>
        <w:rPr>
          <w:rStyle w:val="normaltextrun"/>
          <w:rFonts w:ascii="Calibri" w:hAnsi="Calibri" w:cs="Calibri"/>
          <w:color w:val="4A4A4A"/>
          <w:sz w:val="21"/>
          <w:szCs w:val="21"/>
        </w:rPr>
        <w:t xml:space="preserve">reported through joint request and reporting forms for donated medicines, </w:t>
      </w:r>
      <w:r w:rsidR="00457E56">
        <w:rPr>
          <w:rStyle w:val="normaltextrun"/>
          <w:rFonts w:ascii="Calibri" w:hAnsi="Calibri" w:cs="Calibri"/>
          <w:color w:val="4A4A4A"/>
          <w:sz w:val="21"/>
          <w:szCs w:val="21"/>
        </w:rPr>
        <w:t xml:space="preserve">the </w:t>
      </w:r>
      <w:r w:rsidR="00472C8F">
        <w:rPr>
          <w:rStyle w:val="normaltextrun"/>
          <w:rFonts w:ascii="Calibri" w:hAnsi="Calibri" w:cs="Calibri"/>
          <w:color w:val="4A4A4A"/>
          <w:sz w:val="21"/>
          <w:szCs w:val="21"/>
        </w:rPr>
        <w:t>WHO Integrated Data Platform</w:t>
      </w:r>
      <w:r>
        <w:rPr>
          <w:rStyle w:val="normaltextrun"/>
          <w:rFonts w:ascii="Calibri" w:hAnsi="Calibri" w:cs="Calibri"/>
          <w:color w:val="4A4A4A"/>
          <w:sz w:val="21"/>
          <w:szCs w:val="21"/>
        </w:rPr>
        <w:t>, and other reports to WHO.</w:t>
      </w:r>
    </w:p>
    <w:p w14:paraId="691551A8" w14:textId="0E07EE0F"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p>
    <w:p w14:paraId="223BAFC2" w14:textId="11B5D3EA" w:rsidR="00956D34" w:rsidRDefault="00472C8F" w:rsidP="00956D34">
      <w:pPr>
        <w:pStyle w:val="paragraph"/>
        <w:shd w:val="clear" w:color="auto" w:fill="FFFFFF"/>
        <w:spacing w:before="0" w:beforeAutospacing="0" w:after="0" w:afterAutospacing="0"/>
        <w:textAlignment w:val="baseline"/>
        <w:rPr>
          <w:rFonts w:ascii="Segoe UI" w:hAnsi="Segoe UI" w:cs="Segoe UI"/>
          <w:sz w:val="18"/>
          <w:szCs w:val="18"/>
        </w:rPr>
      </w:pPr>
      <w:r w:rsidRPr="00472C8F">
        <w:rPr>
          <w:rStyle w:val="normaltextrun"/>
          <w:rFonts w:ascii="Calibri" w:hAnsi="Calibri" w:cs="Calibri"/>
          <w:color w:val="0000FF"/>
          <w:sz w:val="21"/>
          <w:szCs w:val="21"/>
          <w:u w:val="single"/>
          <w:lang w:val="en-GB"/>
        </w:rPr>
        <w:t>https://www.who.int/teams/control-of-neglected-tropical-diseases/data-platforms-and-tools</w:t>
      </w:r>
    </w:p>
    <w:p w14:paraId="66D278F2" w14:textId="1652DB87" w:rsidR="00956D34" w:rsidRDefault="00956D34" w:rsidP="00472C8F">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Country data are published via the WHO Global Health Observatory</w:t>
      </w:r>
      <w:r w:rsidR="00472C8F">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 </w:t>
      </w:r>
    </w:p>
    <w:p w14:paraId="3376C317" w14:textId="03BC86D0" w:rsidR="00956D34" w:rsidRDefault="00956D34" w:rsidP="00181441">
      <w:pPr>
        <w:pStyle w:val="NoSpacing"/>
        <w:rPr>
          <w:rFonts w:ascii="Segoe UI" w:hAnsi="Segoe UI" w:cs="Segoe UI"/>
          <w:sz w:val="18"/>
          <w:szCs w:val="18"/>
        </w:rPr>
      </w:pPr>
    </w:p>
    <w:p w14:paraId="73F4262E" w14:textId="728C98F3" w:rsidR="00956D34" w:rsidRDefault="7A9D4E79" w:rsidP="3ECAD149">
      <w:pPr>
        <w:pStyle w:val="paragraph"/>
        <w:shd w:val="clear" w:color="auto" w:fill="FFFFFF" w:themeFill="background1"/>
        <w:spacing w:before="0" w:beforeAutospacing="0" w:after="0" w:afterAutospacing="0"/>
        <w:rPr>
          <w:rFonts w:ascii="Segoe UI" w:hAnsi="Segoe UI" w:cs="Segoe UI"/>
          <w:sz w:val="18"/>
          <w:szCs w:val="18"/>
        </w:rPr>
      </w:pPr>
      <w:r w:rsidRPr="3ECAD149">
        <w:rPr>
          <w:rStyle w:val="normaltextrun"/>
          <w:rFonts w:ascii="Calibri" w:hAnsi="Calibri" w:cs="Calibri"/>
          <w:color w:val="0000FF"/>
          <w:sz w:val="21"/>
          <w:szCs w:val="21"/>
          <w:u w:val="single"/>
          <w:lang w:val="en-GB"/>
        </w:rPr>
        <w:t>https://www.who.int/data/gho/data/themes/neglected-tropical-diseases</w:t>
      </w:r>
    </w:p>
    <w:p w14:paraId="4A024A44" w14:textId="77777777" w:rsidR="00472C8F" w:rsidRPr="00A96255" w:rsidRDefault="00472C8F"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4729D22" w14:textId="02A9BD98" w:rsidR="00956D34" w:rsidRPr="002334E6" w:rsidRDefault="00956D34" w:rsidP="00181441">
      <w:pPr>
        <w:pStyle w:val="paragraph"/>
        <w:shd w:val="clear" w:color="auto" w:fill="FFFFFF"/>
        <w:spacing w:before="0" w:beforeAutospacing="0" w:after="0" w:afterAutospacing="0" w:line="276" w:lineRule="auto"/>
        <w:textAlignment w:val="baseline"/>
        <w:rPr>
          <w:rStyle w:val="normaltextrun"/>
          <w:rFonts w:ascii="Calibri" w:hAnsi="Calibri" w:cs="Calibri"/>
          <w:b/>
          <w:bCs/>
          <w:color w:val="4A4A4A"/>
          <w:sz w:val="21"/>
          <w:szCs w:val="21"/>
          <w:lang w:val="en-GB" w:eastAsia="en-GB"/>
        </w:rPr>
      </w:pPr>
      <w:r w:rsidRPr="002334E6">
        <w:rPr>
          <w:rStyle w:val="normaltextrun"/>
          <w:rFonts w:ascii="Calibri" w:hAnsi="Calibri" w:cs="Calibri"/>
          <w:b/>
          <w:bCs/>
          <w:color w:val="4A4A4A"/>
          <w:sz w:val="21"/>
          <w:szCs w:val="21"/>
          <w:lang w:val="en-GB"/>
        </w:rPr>
        <w:t>NTDs requiring</w:t>
      </w:r>
      <w:r w:rsidR="00A51786">
        <w:rPr>
          <w:rStyle w:val="normaltextrun"/>
          <w:rFonts w:ascii="Calibri" w:hAnsi="Calibri" w:cs="Calibri"/>
          <w:b/>
          <w:bCs/>
          <w:color w:val="4A4A4A"/>
          <w:sz w:val="21"/>
          <w:szCs w:val="21"/>
          <w:lang w:val="en-GB"/>
        </w:rPr>
        <w:t xml:space="preserve"> </w:t>
      </w:r>
      <w:r w:rsidRPr="002334E6">
        <w:rPr>
          <w:rStyle w:val="normaltextrun"/>
          <w:rFonts w:ascii="Calibri" w:hAnsi="Calibri" w:cs="Calibri"/>
          <w:b/>
          <w:bCs/>
          <w:color w:val="4A4A4A"/>
          <w:sz w:val="21"/>
          <w:szCs w:val="21"/>
          <w:lang w:val="en-GB"/>
        </w:rPr>
        <w:t>preventive chemotherapy (PC-NTDs)</w:t>
      </w:r>
    </w:p>
    <w:p w14:paraId="4C02F845" w14:textId="6AB178B9" w:rsidR="00956D34" w:rsidRDefault="00956D34" w:rsidP="00181441">
      <w:pPr>
        <w:pStyle w:val="paragraph"/>
        <w:shd w:val="clear" w:color="auto" w:fill="FFFFFF"/>
        <w:spacing w:before="0" w:beforeAutospacing="0" w:after="0" w:afterAutospacing="0" w:line="276" w:lineRule="auto"/>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 xml:space="preserve">As part of global efforts to accelerate expansion of preventive chemotherapy for elimination and control of lymphatic filariasis (LF), schistosomiasis (SCH) and soil-transmitted helminthiases (STH), WHO facilitates the supply of the following medicines donated by the pharmaceutical industry: diethylcarbamazine citrate, albendazole, mebendazole, and praziquantel. WHO also collaborates to supply ivermectin for onchocerciasis (ONCHO) and </w:t>
      </w:r>
      <w:r w:rsidR="00BF6B63">
        <w:rPr>
          <w:rStyle w:val="normaltextrun"/>
          <w:rFonts w:ascii="Calibri" w:hAnsi="Calibri" w:cs="Calibri"/>
          <w:color w:val="4A4A4A"/>
          <w:sz w:val="21"/>
          <w:szCs w:val="21"/>
          <w:lang w:val="en-GB"/>
        </w:rPr>
        <w:t>LF</w:t>
      </w:r>
      <w:r>
        <w:rPr>
          <w:rStyle w:val="normaltextrun"/>
          <w:rFonts w:ascii="Calibri" w:hAnsi="Calibri" w:cs="Calibri"/>
          <w:color w:val="4A4A4A"/>
          <w:sz w:val="21"/>
          <w:szCs w:val="21"/>
          <w:lang w:val="en-GB"/>
        </w:rPr>
        <w:t xml:space="preserve"> elimination</w:t>
      </w:r>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programmes</w:t>
      </w:r>
      <w:r w:rsidR="00D55F13">
        <w:rPr>
          <w:rStyle w:val="normaltextrun"/>
          <w:rFonts w:ascii="Calibri" w:hAnsi="Calibri" w:cs="Calibri"/>
          <w:color w:val="4A4A4A"/>
          <w:sz w:val="21"/>
          <w:szCs w:val="21"/>
          <w:lang w:val="en-GB"/>
        </w:rPr>
        <w:t xml:space="preserve">, and azithromycin </w:t>
      </w:r>
      <w:r w:rsidR="00D55F13">
        <w:rPr>
          <w:rStyle w:val="eop"/>
          <w:rFonts w:ascii="Calibri" w:hAnsi="Calibri" w:cs="Calibri"/>
          <w:color w:val="4A4A4A"/>
          <w:sz w:val="21"/>
          <w:szCs w:val="21"/>
        </w:rPr>
        <w:t>f</w:t>
      </w:r>
      <w:r w:rsidR="00D55F13" w:rsidRPr="00D55F13">
        <w:rPr>
          <w:rStyle w:val="eop"/>
          <w:rFonts w:ascii="Calibri" w:hAnsi="Calibri" w:cs="Calibri"/>
          <w:color w:val="4A4A4A"/>
          <w:sz w:val="21"/>
          <w:szCs w:val="21"/>
        </w:rPr>
        <w:t>or trachoma</w:t>
      </w:r>
      <w:r w:rsidR="00D55F13">
        <w:rPr>
          <w:rStyle w:val="eop"/>
          <w:rFonts w:ascii="Calibri" w:hAnsi="Calibri" w:cs="Calibri"/>
          <w:color w:val="4A4A4A"/>
          <w:sz w:val="21"/>
          <w:szCs w:val="21"/>
        </w:rPr>
        <w:t xml:space="preserve"> (TRA) through</w:t>
      </w:r>
      <w:r w:rsidR="00D55F13" w:rsidRPr="00D55F13">
        <w:rPr>
          <w:rStyle w:val="eop"/>
          <w:rFonts w:ascii="Calibri" w:hAnsi="Calibri" w:cs="Calibri"/>
          <w:color w:val="4A4A4A"/>
          <w:sz w:val="21"/>
          <w:szCs w:val="21"/>
        </w:rPr>
        <w:t xml:space="preserve"> the Trachoma Elimination Monitoring Form</w:t>
      </w:r>
      <w:r w:rsidR="00D55F13">
        <w:rPr>
          <w:rStyle w:val="eop"/>
          <w:rFonts w:ascii="Calibri" w:hAnsi="Calibri" w:cs="Calibri"/>
          <w:color w:val="4A4A4A"/>
          <w:sz w:val="21"/>
          <w:szCs w:val="21"/>
        </w:rPr>
        <w:t>.</w:t>
      </w:r>
    </w:p>
    <w:p w14:paraId="28FB3D85" w14:textId="54C2349C"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p>
    <w:p w14:paraId="4973D19C" w14:textId="3571475F" w:rsidR="00956D34" w:rsidRDefault="00956D34"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A joint mechanism and a set of forms have been developed to facilitate the process of application, review and reporting as well as to improve coordination and integration among different programmes.</w:t>
      </w:r>
    </w:p>
    <w:p w14:paraId="7B3D33A5" w14:textId="55CBCC25"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p>
    <w:p w14:paraId="75F3494F" w14:textId="06638FF8" w:rsidR="00956D34" w:rsidRDefault="00956D34"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Joint Request for Selected PC Medicines (JRSM) – designed to assist countries in quantifying the number of tablets of the relevant medicines required to reach the planned target population and districts in a </w:t>
      </w:r>
      <w:r>
        <w:rPr>
          <w:rStyle w:val="normaltextrun"/>
          <w:rFonts w:ascii="Calibri" w:hAnsi="Calibri" w:cs="Calibri"/>
          <w:color w:val="4A4A4A"/>
          <w:sz w:val="21"/>
          <w:szCs w:val="21"/>
          <w:lang w:val="en-GB"/>
        </w:rPr>
        <w:lastRenderedPageBreak/>
        <w:t>coordinated and integrated manner against multiple diseases during the year for which medicines are requested.</w:t>
      </w:r>
    </w:p>
    <w:p w14:paraId="11504C05" w14:textId="3496DF7B"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p>
    <w:p w14:paraId="50811A15" w14:textId="00B9B6CE" w:rsidR="00956D34" w:rsidRDefault="00956D34"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Joint Reporting Form (JRF) – designed to assist countries in reporting annual progress on integrated and coordinated distribution of medicines across</w:t>
      </w:r>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PC-NTDs</w:t>
      </w:r>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in the reporting year in a standardized format.</w:t>
      </w:r>
    </w:p>
    <w:p w14:paraId="03D26F4D" w14:textId="6FA6BE52"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p>
    <w:p w14:paraId="3B047E04" w14:textId="6AE0468D" w:rsidR="00956D34" w:rsidRDefault="00956D34"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PC Epidemiological Data Reporting Form (EPIRF) – designed to standardize national reporting of epidemiological data on </w:t>
      </w:r>
      <w:r w:rsidR="00BB1748">
        <w:rPr>
          <w:rStyle w:val="normaltextrun"/>
          <w:rFonts w:ascii="Calibri" w:hAnsi="Calibri" w:cs="Calibri"/>
          <w:color w:val="4A4A4A"/>
          <w:sz w:val="21"/>
          <w:szCs w:val="21"/>
          <w:lang w:val="en-GB"/>
        </w:rPr>
        <w:t>LF</w:t>
      </w:r>
      <w:r>
        <w:rPr>
          <w:rStyle w:val="normaltextrun"/>
          <w:rFonts w:ascii="Calibri" w:hAnsi="Calibri" w:cs="Calibri"/>
          <w:color w:val="4A4A4A"/>
          <w:sz w:val="21"/>
          <w:szCs w:val="21"/>
          <w:lang w:val="en-GB"/>
        </w:rPr>
        <w:t xml:space="preserve">, </w:t>
      </w:r>
      <w:r w:rsidR="00B5009B">
        <w:rPr>
          <w:rStyle w:val="normaltextrun"/>
          <w:rFonts w:ascii="Calibri" w:hAnsi="Calibri" w:cs="Calibri"/>
          <w:color w:val="4A4A4A"/>
          <w:sz w:val="21"/>
          <w:szCs w:val="21"/>
          <w:lang w:val="en-GB"/>
        </w:rPr>
        <w:t>ONCHO</w:t>
      </w:r>
      <w:r>
        <w:rPr>
          <w:rStyle w:val="normaltextrun"/>
          <w:rFonts w:ascii="Calibri" w:hAnsi="Calibri" w:cs="Calibri"/>
          <w:color w:val="4A4A4A"/>
          <w:sz w:val="21"/>
          <w:szCs w:val="21"/>
          <w:lang w:val="en-GB"/>
        </w:rPr>
        <w:t xml:space="preserve">, soil-transmitted helminthiases and </w:t>
      </w:r>
      <w:r w:rsidR="00B5009B">
        <w:rPr>
          <w:rStyle w:val="normaltextrun"/>
          <w:rFonts w:ascii="Calibri" w:hAnsi="Calibri" w:cs="Calibri"/>
          <w:color w:val="4A4A4A"/>
          <w:sz w:val="21"/>
          <w:szCs w:val="21"/>
          <w:lang w:val="en-GB"/>
        </w:rPr>
        <w:t>SCH</w:t>
      </w:r>
      <w:r>
        <w:rPr>
          <w:rStyle w:val="normaltextrun"/>
          <w:rFonts w:ascii="Calibri" w:hAnsi="Calibri" w:cs="Calibri"/>
          <w:color w:val="4A4A4A"/>
          <w:sz w:val="21"/>
          <w:szCs w:val="21"/>
          <w:lang w:val="en-GB"/>
        </w:rPr>
        <w:t>. National authorities are encouraged to complete this form and submit it to WHO on a yearly basis, together with the JRF.</w:t>
      </w:r>
    </w:p>
    <w:p w14:paraId="36633D44" w14:textId="38FF70DB"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p>
    <w:p w14:paraId="18321D11" w14:textId="3A994F1C" w:rsidR="00956D34" w:rsidRDefault="00956D34"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The reports generated in the JRSM and in the JRF (SUMMARY worksheets) must be printed and signed by the NTD coordinator or a Ministry of Health representative to formally endorse the country’s request for these medicines and the reported annual progress of the national programme(s). The date of signature must also be included. Once signatures have been obtained, the scanned copies of the two worksheets, together with the full Excel versions of the JRSM, the JRF and the EPIRF can be jointly submitted to WHO.</w:t>
      </w:r>
    </w:p>
    <w:p w14:paraId="5591D3F7" w14:textId="267CBEF0"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p>
    <w:p w14:paraId="0FE9A72E" w14:textId="4AC25357" w:rsidR="00C56F33" w:rsidRDefault="00956D34" w:rsidP="00181441">
      <w:pPr>
        <w:pStyle w:val="paragraph"/>
        <w:shd w:val="clear" w:color="auto" w:fill="FFFFFF"/>
        <w:spacing w:before="0" w:beforeAutospacing="0" w:after="0" w:afterAutospacing="0" w:line="276" w:lineRule="auto"/>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The forms are submitted to the WHO Representative of the concerned WHO Country office with electronic copies to</w:t>
      </w:r>
      <w:r w:rsidR="00B047C2">
        <w:rPr>
          <w:rStyle w:val="normaltextrun"/>
          <w:rFonts w:ascii="Calibri" w:hAnsi="Calibri" w:cs="Calibri"/>
          <w:color w:val="4A4A4A"/>
          <w:sz w:val="21"/>
          <w:szCs w:val="21"/>
          <w:lang w:val="en-GB"/>
        </w:rPr>
        <w:t xml:space="preserve"> </w:t>
      </w:r>
      <w:hyperlink r:id="rId11" w:history="1">
        <w:r w:rsidR="00B047C2" w:rsidRPr="00E15652">
          <w:rPr>
            <w:rStyle w:val="Hyperlink"/>
            <w:rFonts w:ascii="Calibri" w:hAnsi="Calibri" w:cs="Calibri"/>
            <w:i/>
            <w:iCs/>
            <w:sz w:val="21"/>
            <w:szCs w:val="21"/>
            <w:lang w:val="en-GB"/>
          </w:rPr>
          <w:t>PC_JointForms@who.int</w:t>
        </w:r>
      </w:hyperlink>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and the concerned Regional focal point</w:t>
      </w:r>
      <w:r w:rsidR="00C56F33">
        <w:rPr>
          <w:rStyle w:val="normaltextrun"/>
          <w:rFonts w:ascii="Calibri" w:hAnsi="Calibri" w:cs="Calibri"/>
          <w:color w:val="4A4A4A"/>
          <w:sz w:val="21"/>
          <w:szCs w:val="21"/>
          <w:lang w:val="en-GB"/>
        </w:rPr>
        <w:t xml:space="preserve">. </w:t>
      </w:r>
      <w:r w:rsidR="00C56F33" w:rsidRPr="00C56F33">
        <w:rPr>
          <w:rStyle w:val="normaltextrun"/>
          <w:rFonts w:ascii="Calibri" w:hAnsi="Calibri" w:cs="Calibri"/>
          <w:color w:val="4A4A4A"/>
          <w:sz w:val="21"/>
          <w:szCs w:val="21"/>
          <w:lang w:val="en-GB"/>
        </w:rPr>
        <w:t>The relevant submission deadline depends on the time of planned implementation dates as follows:</w:t>
      </w:r>
      <w:r w:rsidR="00C56F33">
        <w:rPr>
          <w:rStyle w:val="normaltextrun"/>
          <w:rFonts w:ascii="Calibri" w:hAnsi="Calibri" w:cs="Calibri"/>
          <w:color w:val="4A4A4A"/>
          <w:sz w:val="21"/>
          <w:szCs w:val="21"/>
          <w:lang w:val="en-GB"/>
        </w:rPr>
        <w:t xml:space="preserve"> </w:t>
      </w:r>
    </w:p>
    <w:p w14:paraId="0531BF27" w14:textId="25C6711A" w:rsidR="00C56F33" w:rsidRDefault="00C56F33" w:rsidP="00C56F33">
      <w:pPr>
        <w:pStyle w:val="paragraph"/>
        <w:numPr>
          <w:ilvl w:val="0"/>
          <w:numId w:val="7"/>
        </w:numPr>
        <w:shd w:val="clear" w:color="auto" w:fill="FFFFFF"/>
        <w:spacing w:before="0" w:beforeAutospacing="0" w:after="0" w:afterAutospacing="0" w:line="276" w:lineRule="auto"/>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t</w:t>
      </w:r>
      <w:r w:rsidRPr="00C56F33">
        <w:rPr>
          <w:rStyle w:val="normaltextrun"/>
          <w:rFonts w:ascii="Calibri" w:hAnsi="Calibri" w:cs="Calibri"/>
          <w:color w:val="4A4A4A"/>
          <w:sz w:val="21"/>
          <w:szCs w:val="21"/>
          <w:lang w:val="en-GB"/>
        </w:rPr>
        <w:t xml:space="preserve">he final report should be submitted within 3 months after the last round was implemented and no later than 31 March of the next implementation </w:t>
      </w:r>
      <w:proofErr w:type="gramStart"/>
      <w:r w:rsidRPr="00C56F33">
        <w:rPr>
          <w:rStyle w:val="normaltextrun"/>
          <w:rFonts w:ascii="Calibri" w:hAnsi="Calibri" w:cs="Calibri"/>
          <w:color w:val="4A4A4A"/>
          <w:sz w:val="21"/>
          <w:szCs w:val="21"/>
          <w:lang w:val="en-GB"/>
        </w:rPr>
        <w:t>year</w:t>
      </w:r>
      <w:r>
        <w:rPr>
          <w:rStyle w:val="normaltextrun"/>
          <w:rFonts w:ascii="Calibri" w:hAnsi="Calibri" w:cs="Calibri"/>
          <w:color w:val="4A4A4A"/>
          <w:sz w:val="21"/>
          <w:szCs w:val="21"/>
          <w:lang w:val="en-GB"/>
        </w:rPr>
        <w:t>;</w:t>
      </w:r>
      <w:proofErr w:type="gramEnd"/>
    </w:p>
    <w:p w14:paraId="7F8D8D82" w14:textId="1286B7A7" w:rsidR="00C56F33" w:rsidRDefault="00C56F33" w:rsidP="00C56F33">
      <w:pPr>
        <w:pStyle w:val="paragraph"/>
        <w:numPr>
          <w:ilvl w:val="0"/>
          <w:numId w:val="7"/>
        </w:numPr>
        <w:shd w:val="clear" w:color="auto" w:fill="FFFFFF"/>
        <w:spacing w:before="0" w:beforeAutospacing="0" w:after="0" w:afterAutospacing="0" w:line="276" w:lineRule="auto"/>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t</w:t>
      </w:r>
      <w:r w:rsidRPr="00C56F33">
        <w:rPr>
          <w:rStyle w:val="normaltextrun"/>
          <w:rFonts w:ascii="Calibri" w:hAnsi="Calibri" w:cs="Calibri"/>
          <w:color w:val="4A4A4A"/>
          <w:sz w:val="21"/>
          <w:szCs w:val="21"/>
          <w:lang w:val="en-GB"/>
        </w:rPr>
        <w:t>o ensure the medicines are delivered on time, the request for PC medicines should be submitted at least 9 months before the first date of MDA planned in the calendar year of the request</w:t>
      </w:r>
      <w:r>
        <w:rPr>
          <w:rStyle w:val="normaltextrun"/>
          <w:rFonts w:ascii="Calibri" w:hAnsi="Calibri" w:cs="Calibri"/>
          <w:color w:val="4A4A4A"/>
          <w:sz w:val="21"/>
          <w:szCs w:val="21"/>
          <w:lang w:val="en-GB"/>
        </w:rPr>
        <w:t>.</w:t>
      </w:r>
    </w:p>
    <w:p w14:paraId="298FD87D" w14:textId="10578797" w:rsidR="00956D34" w:rsidRDefault="00956D34" w:rsidP="00C56F33">
      <w:pPr>
        <w:pStyle w:val="paragraph"/>
        <w:shd w:val="clear" w:color="auto" w:fill="FFFFFF"/>
        <w:spacing w:before="0" w:beforeAutospacing="0" w:after="0" w:afterAutospacing="0" w:line="276" w:lineRule="auto"/>
        <w:textAlignment w:val="baseline"/>
        <w:rPr>
          <w:rFonts w:ascii="Segoe UI" w:hAnsi="Segoe UI" w:cs="Segoe UI"/>
          <w:sz w:val="18"/>
          <w:szCs w:val="18"/>
        </w:rPr>
      </w:pPr>
    </w:p>
    <w:p w14:paraId="65E0FD3F" w14:textId="2A346B85" w:rsidR="00A51786" w:rsidRDefault="0006040A" w:rsidP="3ECAD149">
      <w:pPr>
        <w:pStyle w:val="paragraph"/>
        <w:shd w:val="clear" w:color="auto" w:fill="FFFFFF" w:themeFill="background1"/>
        <w:spacing w:before="0" w:beforeAutospacing="0" w:after="0" w:afterAutospacing="0"/>
        <w:textAlignment w:val="baseline"/>
        <w:rPr>
          <w:rFonts w:ascii="Segoe UI" w:hAnsi="Segoe UI" w:cs="Segoe UI"/>
          <w:sz w:val="18"/>
          <w:szCs w:val="18"/>
        </w:rPr>
      </w:pPr>
      <w:hyperlink r:id="rId12" w:history="1">
        <w:r w:rsidR="00A51786" w:rsidRPr="00E15652">
          <w:rPr>
            <w:rStyle w:val="Hyperlink"/>
            <w:rFonts w:ascii="Calibri" w:hAnsi="Calibri" w:cs="Calibri"/>
            <w:sz w:val="21"/>
            <w:szCs w:val="21"/>
            <w:lang w:val="en-GB"/>
          </w:rPr>
          <w:t>https://www.who.int/teams/control-of-neglected-tropical-diseases/interventions/strategies/preventive-chemotherapy/joint-application-package</w:t>
        </w:r>
      </w:hyperlink>
    </w:p>
    <w:p w14:paraId="2180D27C" w14:textId="380D9938" w:rsidR="00956D34" w:rsidRDefault="00956D34" w:rsidP="00EE2B86">
      <w:pPr>
        <w:pStyle w:val="paragraph"/>
        <w:shd w:val="clear" w:color="auto" w:fill="FFFFFF"/>
        <w:spacing w:before="0" w:beforeAutospacing="0" w:after="0" w:afterAutospacing="0"/>
        <w:textAlignment w:val="baseline"/>
        <w:rPr>
          <w:rFonts w:ascii="Segoe UI" w:hAnsi="Segoe UI" w:cs="Segoe UI"/>
          <w:sz w:val="18"/>
          <w:szCs w:val="18"/>
        </w:rPr>
      </w:pPr>
    </w:p>
    <w:p w14:paraId="6617A7E0" w14:textId="7CBBD341" w:rsidR="00956D34" w:rsidRDefault="00956D34"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b/>
          <w:bCs/>
          <w:color w:val="4A4A4A"/>
          <w:sz w:val="21"/>
          <w:szCs w:val="21"/>
          <w:lang w:val="en-GB"/>
        </w:rPr>
        <w:t xml:space="preserve">NTDs requiring individual diagnosis and </w:t>
      </w:r>
      <w:proofErr w:type="gramStart"/>
      <w:r>
        <w:rPr>
          <w:rStyle w:val="normaltextrun"/>
          <w:rFonts w:ascii="Calibri" w:hAnsi="Calibri" w:cs="Calibri"/>
          <w:b/>
          <w:bCs/>
          <w:color w:val="4A4A4A"/>
          <w:sz w:val="21"/>
          <w:szCs w:val="21"/>
          <w:lang w:val="en-GB"/>
        </w:rPr>
        <w:t>treatment</w:t>
      </w:r>
      <w:proofErr w:type="gramEnd"/>
    </w:p>
    <w:p w14:paraId="34902B7F" w14:textId="75861364" w:rsidR="00956D34" w:rsidRDefault="00956D34"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Countries are invited to report on Buruli ulcer, Chagas disease, leprosy,</w:t>
      </w:r>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the</w:t>
      </w:r>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leishmaniases, mycetoma, rabies</w:t>
      </w:r>
      <w:r w:rsidR="00B16284">
        <w:rPr>
          <w:rStyle w:val="normaltextrun"/>
          <w:rFonts w:ascii="Calibri" w:hAnsi="Calibri" w:cs="Calibri"/>
          <w:color w:val="4A4A4A"/>
          <w:sz w:val="21"/>
          <w:szCs w:val="21"/>
          <w:lang w:val="en-GB"/>
        </w:rPr>
        <w:t>, snakebite envenoming</w:t>
      </w:r>
      <w:r>
        <w:rPr>
          <w:rStyle w:val="normaltextrun"/>
          <w:rFonts w:ascii="Calibri" w:hAnsi="Calibri" w:cs="Calibri"/>
          <w:color w:val="4A4A4A"/>
          <w:sz w:val="21"/>
          <w:szCs w:val="21"/>
          <w:lang w:val="en-GB"/>
        </w:rPr>
        <w:t xml:space="preserve"> and yaws cases using Excel templates or directly into the WHO integrated data platform (</w:t>
      </w:r>
      <w:hyperlink r:id="rId13" w:tgtFrame="_blank" w:history="1">
        <w:r>
          <w:rPr>
            <w:rStyle w:val="normaltextrun"/>
            <w:rFonts w:ascii="Calibri" w:hAnsi="Calibri" w:cs="Calibri"/>
            <w:color w:val="0000FF"/>
            <w:sz w:val="22"/>
            <w:szCs w:val="22"/>
            <w:u w:val="single"/>
            <w:lang w:val="en-GB"/>
          </w:rPr>
          <w:t>https://extranet.who.int/dhis2</w:t>
        </w:r>
      </w:hyperlink>
      <w:r>
        <w:rPr>
          <w:rStyle w:val="normaltextrun"/>
          <w:rFonts w:ascii="Calibri" w:hAnsi="Calibri" w:cs="Calibri"/>
          <w:color w:val="4A4A4A"/>
          <w:sz w:val="21"/>
          <w:szCs w:val="21"/>
          <w:lang w:val="en-GB"/>
        </w:rPr>
        <w:t xml:space="preserve">). </w:t>
      </w:r>
    </w:p>
    <w:p w14:paraId="19E168ED" w14:textId="0AF98EA1"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p>
    <w:p w14:paraId="77831201" w14:textId="4B814403" w:rsidR="00956D34" w:rsidRDefault="00956D34" w:rsidP="00592DD2">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Cases of human African trypanosomiasis (HAT)</w:t>
      </w:r>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and other key HAT indicators are reported at village level by national sleeping sickness</w:t>
      </w:r>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control</w:t>
      </w:r>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programmes</w:t>
      </w:r>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through annual reports</w:t>
      </w:r>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and entered in the Atlas of HAT (</w:t>
      </w:r>
      <w:hyperlink r:id="rId14" w:history="1">
        <w:r w:rsidR="00592DD2" w:rsidRPr="00871185">
          <w:rPr>
            <w:rStyle w:val="Hyperlink"/>
            <w:rFonts w:ascii="Calibri" w:hAnsi="Calibri" w:cs="Calibri"/>
            <w:sz w:val="21"/>
            <w:szCs w:val="21"/>
            <w:lang w:val="en-GB"/>
          </w:rPr>
          <w:t>https://www.who.int/publications/i/item/1476-072X-8-15</w:t>
        </w:r>
      </w:hyperlink>
      <w:r>
        <w:rPr>
          <w:rStyle w:val="normaltextrun"/>
          <w:rFonts w:ascii="Calibri" w:hAnsi="Calibri" w:cs="Calibri"/>
          <w:color w:val="4A4A4A"/>
          <w:sz w:val="21"/>
          <w:szCs w:val="21"/>
          <w:lang w:val="en-GB"/>
        </w:rPr>
        <w:t>), but annual cases aggregated at country level are also entered in the WHO integrated data platform.</w:t>
      </w:r>
    </w:p>
    <w:p w14:paraId="7D9F065F" w14:textId="5AC2428E" w:rsidR="00EC2915" w:rsidRDefault="00EC2915" w:rsidP="004F1F9D">
      <w:pPr>
        <w:pStyle w:val="MText"/>
      </w:pPr>
    </w:p>
    <w:p w14:paraId="6980338D" w14:textId="1D849FEB" w:rsidR="00670DDC" w:rsidRDefault="00670DDC" w:rsidP="004F1F9D">
      <w:pPr>
        <w:pStyle w:val="MText"/>
      </w:pPr>
      <w:r w:rsidRPr="00670DDC">
        <w:t>In 2023, WHO/NTD introduced the Global NTD Annual Reporting Form (GNARF) to enable WHO Member States to annually submit streamlined, consolidated data on roadmap indicators for relevant NTDs, aiming to support monitoring progress towards the roadmap targets and facilitate integration of NTD data into national health information systems. The process involves four key stages: Member States accessing the WHO Country Portal</w:t>
      </w:r>
      <w:r>
        <w:t xml:space="preserve"> (</w:t>
      </w:r>
      <w:r w:rsidRPr="00670DDC">
        <w:t>https://countryportal.who.int/</w:t>
      </w:r>
      <w:r>
        <w:t>)</w:t>
      </w:r>
      <w:r w:rsidRPr="00670DDC">
        <w:t xml:space="preserve"> to download and complete the GNARF with support from WHO Country Offices; joint validation of reported data by regional WHO offices and headquarters; Member States revising submissions based on feedback received; and the eventual publication of validated data in annual global reporting on NTDs and relevant dashboards, providing crucial information for guiding strategies in combating neglected tropical diseases.</w:t>
      </w:r>
    </w:p>
    <w:p w14:paraId="25C448E7" w14:textId="77777777" w:rsidR="00670DDC" w:rsidRPr="00A96255" w:rsidRDefault="00670DDC" w:rsidP="004F1F9D">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287BFF5" w14:textId="6FB643E5" w:rsidR="00956D34" w:rsidRPr="00871185" w:rsidRDefault="00B16284" w:rsidP="00871185">
      <w:pPr>
        <w:pStyle w:val="MText"/>
        <w:rPr>
          <w:rStyle w:val="eop"/>
          <w:rFonts w:ascii="Calibri" w:hAnsi="Calibri" w:cs="Calibri"/>
        </w:rPr>
      </w:pPr>
      <w:r w:rsidRPr="00871185">
        <w:rPr>
          <w:rStyle w:val="eop"/>
          <w:rFonts w:ascii="Calibri" w:hAnsi="Calibri" w:cs="Calibri"/>
        </w:rPr>
        <w:lastRenderedPageBreak/>
        <w:t xml:space="preserve">Data for </w:t>
      </w:r>
      <w:r w:rsidR="0018106B" w:rsidRPr="00871185">
        <w:rPr>
          <w:rStyle w:val="eop"/>
          <w:rFonts w:ascii="Calibri" w:hAnsi="Calibri" w:cs="Calibri"/>
        </w:rPr>
        <w:t>the</w:t>
      </w:r>
      <w:r w:rsidRPr="00871185">
        <w:rPr>
          <w:rStyle w:val="eop"/>
          <w:rFonts w:ascii="Calibri" w:hAnsi="Calibri" w:cs="Calibri"/>
        </w:rPr>
        <w:t xml:space="preserve"> reporting year is being collected </w:t>
      </w:r>
      <w:r w:rsidR="0018106B" w:rsidRPr="00871185">
        <w:rPr>
          <w:rStyle w:val="eop"/>
          <w:rFonts w:ascii="Calibri" w:hAnsi="Calibri" w:cs="Calibri"/>
        </w:rPr>
        <w:t>and reported during first 3 quarters of the next year.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3939122D" w:rsidR="00EC2915" w:rsidRDefault="0018106B" w:rsidP="00576CFA">
      <w:pPr>
        <w:pStyle w:val="MText"/>
        <w:rPr>
          <w:rStyle w:val="eop"/>
          <w:rFonts w:ascii="Calibri" w:hAnsi="Calibri" w:cs="Calibri"/>
        </w:rPr>
      </w:pPr>
      <w:r>
        <w:rPr>
          <w:rStyle w:val="eop"/>
          <w:rFonts w:ascii="Calibri" w:hAnsi="Calibri" w:cs="Calibri"/>
        </w:rPr>
        <w:t xml:space="preserve">Data reported for the </w:t>
      </w:r>
      <w:r w:rsidRPr="0018106B">
        <w:rPr>
          <w:rStyle w:val="eop"/>
          <w:rFonts w:ascii="Calibri" w:hAnsi="Calibri" w:cs="Calibri"/>
        </w:rPr>
        <w:t>preceding year</w:t>
      </w:r>
      <w:r>
        <w:rPr>
          <w:rStyle w:val="eop"/>
          <w:rFonts w:ascii="Calibri" w:hAnsi="Calibri" w:cs="Calibri"/>
        </w:rPr>
        <w:t xml:space="preserve"> is released during the last quarter of the </w:t>
      </w:r>
      <w:proofErr w:type="gramStart"/>
      <w:r>
        <w:rPr>
          <w:rStyle w:val="eop"/>
          <w:rFonts w:ascii="Calibri" w:hAnsi="Calibri" w:cs="Calibri"/>
        </w:rPr>
        <w:t>year</w:t>
      </w:r>
      <w:proofErr w:type="gramEnd"/>
    </w:p>
    <w:p w14:paraId="74E9BE8D" w14:textId="77777777" w:rsidR="00956D34" w:rsidRPr="00A96255" w:rsidRDefault="00956D34"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5B502405" w:rsidR="00EC2915" w:rsidRDefault="00956D34" w:rsidP="00576CFA">
      <w:pPr>
        <w:pStyle w:val="MText"/>
        <w:rPr>
          <w:rStyle w:val="eop"/>
          <w:rFonts w:ascii="Calibri" w:hAnsi="Calibri" w:cs="Calibri"/>
        </w:rPr>
      </w:pPr>
      <w:r>
        <w:rPr>
          <w:rStyle w:val="normaltextrun"/>
          <w:rFonts w:ascii="Calibri" w:hAnsi="Calibri" w:cs="Calibri"/>
        </w:rPr>
        <w:t>National NTD programmes within Ministries of Health</w:t>
      </w:r>
    </w:p>
    <w:p w14:paraId="166FDFA6" w14:textId="77777777" w:rsidR="00956D34" w:rsidRPr="00A96255" w:rsidRDefault="00956D34"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2C82C269" w:rsidR="00EC2915" w:rsidRDefault="00FA1915" w:rsidP="00576CFA">
      <w:pPr>
        <w:pStyle w:val="MText"/>
        <w:rPr>
          <w:rStyle w:val="eop"/>
          <w:rFonts w:ascii="Calibri" w:hAnsi="Calibri" w:cs="Calibri"/>
        </w:rPr>
      </w:pPr>
      <w:r>
        <w:rPr>
          <w:rStyle w:val="normaltextrun"/>
          <w:rFonts w:ascii="Calibri" w:hAnsi="Calibri" w:cs="Calibri"/>
        </w:rPr>
        <w:t>World Health Organization (</w:t>
      </w:r>
      <w:r w:rsidR="00956D34">
        <w:rPr>
          <w:rStyle w:val="normaltextrun"/>
          <w:rFonts w:ascii="Calibri" w:hAnsi="Calibri" w:cs="Calibri"/>
        </w:rPr>
        <w:t>WHO</w:t>
      </w:r>
      <w:r>
        <w:rPr>
          <w:rStyle w:val="normaltextrun"/>
          <w:rFonts w:ascii="Calibri" w:hAnsi="Calibri" w:cs="Calibri"/>
        </w:rPr>
        <w:t>)</w:t>
      </w:r>
    </w:p>
    <w:p w14:paraId="31DEF9C9" w14:textId="77777777" w:rsidR="00956D34" w:rsidRPr="00A96255" w:rsidRDefault="00956D34"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3821F6D6" w:rsidR="00576CFA" w:rsidRPr="00CD31C9" w:rsidRDefault="4F69A453" w:rsidP="00592DD2">
      <w:pPr>
        <w:pStyle w:val="MText"/>
        <w:rPr>
          <w:rFonts w:eastAsiaTheme="minorEastAsia" w:cstheme="minorBidi"/>
          <w:color w:val="323232"/>
        </w:rPr>
      </w:pPr>
      <w:r w:rsidRPr="004645FA">
        <w:rPr>
          <w:rStyle w:val="normaltextrun"/>
          <w:rFonts w:ascii="Calibri" w:hAnsi="Calibri" w:cs="Calibri"/>
          <w:color w:val="333333"/>
        </w:rPr>
        <w:t>A process of d</w:t>
      </w:r>
      <w:r w:rsidR="0F91175D" w:rsidRPr="004645FA">
        <w:rPr>
          <w:rStyle w:val="normaltextrun"/>
          <w:rFonts w:ascii="Calibri" w:hAnsi="Calibri" w:cs="Calibri"/>
          <w:color w:val="333333"/>
        </w:rPr>
        <w:t>ata report</w:t>
      </w:r>
      <w:r w:rsidR="590AA276" w:rsidRPr="004645FA">
        <w:rPr>
          <w:rStyle w:val="normaltextrun"/>
          <w:rFonts w:ascii="Calibri" w:hAnsi="Calibri" w:cs="Calibri"/>
          <w:color w:val="333333"/>
        </w:rPr>
        <w:t>ing b</w:t>
      </w:r>
      <w:r w:rsidR="0F91175D" w:rsidRPr="004645FA">
        <w:rPr>
          <w:rStyle w:val="normaltextrun"/>
          <w:rFonts w:ascii="Calibri" w:hAnsi="Calibri" w:cs="Calibri"/>
          <w:color w:val="333333"/>
        </w:rPr>
        <w:t xml:space="preserve">y national NTD programmes </w:t>
      </w:r>
      <w:r w:rsidR="7F1D925B" w:rsidRPr="004645FA">
        <w:rPr>
          <w:rStyle w:val="normaltextrun"/>
          <w:rFonts w:ascii="Calibri" w:hAnsi="Calibri" w:cs="Calibri"/>
          <w:color w:val="333333"/>
        </w:rPr>
        <w:t xml:space="preserve">implemented according to </w:t>
      </w:r>
      <w:r w:rsidR="379E56E5" w:rsidRPr="004645FA">
        <w:rPr>
          <w:rStyle w:val="normaltextrun"/>
          <w:rFonts w:ascii="Calibri" w:hAnsi="Calibri" w:cs="Calibri"/>
          <w:color w:val="333333"/>
        </w:rPr>
        <w:t xml:space="preserve">the </w:t>
      </w:r>
      <w:r w:rsidR="7F1D925B" w:rsidRPr="004645FA">
        <w:rPr>
          <w:rStyle w:val="normaltextrun"/>
          <w:rFonts w:ascii="Calibri" w:hAnsi="Calibri" w:cs="Calibri"/>
          <w:color w:val="333333"/>
        </w:rPr>
        <w:t xml:space="preserve">WHO Data Sharing Policy </w:t>
      </w:r>
      <w:r w:rsidR="65FBB7C6" w:rsidRPr="004645FA">
        <w:rPr>
          <w:rStyle w:val="normaltextrun"/>
          <w:rFonts w:ascii="Calibri" w:hAnsi="Calibri" w:cs="Calibri"/>
          <w:color w:val="333333"/>
        </w:rPr>
        <w:t>on use and sharing of data collected in Member States by the World Health Organization (WHO) outside the context of public health emergencies</w:t>
      </w:r>
      <w:r w:rsidR="0C7804E1" w:rsidRPr="2B56C6B7">
        <w:rPr>
          <w:rFonts w:eastAsiaTheme="minorEastAsia" w:cstheme="minorBidi"/>
          <w:color w:val="323232"/>
        </w:rPr>
        <w:t xml:space="preserve"> (</w:t>
      </w:r>
      <w:hyperlink r:id="rId15" w:history="1">
        <w:r w:rsidR="00592DD2" w:rsidRPr="00406866">
          <w:rPr>
            <w:rStyle w:val="Hyperlink"/>
          </w:rPr>
          <w:t>https://www.who.int/about/policies/publishing/data-policy</w:t>
        </w:r>
      </w:hyperlink>
      <w:r w:rsidR="00592DD2">
        <w:t xml:space="preserve">). </w:t>
      </w:r>
      <w:r w:rsidR="4492BAA0" w:rsidRPr="2B56C6B7">
        <w:rPr>
          <w:rFonts w:eastAsiaTheme="minorEastAsia" w:cstheme="minorBidi"/>
          <w:color w:val="323232"/>
        </w:rPr>
        <w:t>The department of control of Neglected tropical diseases at WHO</w:t>
      </w:r>
      <w:r w:rsidR="1158856B" w:rsidRPr="2B56C6B7">
        <w:rPr>
          <w:rFonts w:eastAsiaTheme="minorEastAsia" w:cstheme="minorBidi"/>
          <w:color w:val="323232"/>
        </w:rPr>
        <w:t xml:space="preserve"> is then responsible for processing and disseminating the statistics for this indicator.</w:t>
      </w:r>
    </w:p>
    <w:p w14:paraId="3D063F4C" w14:textId="10BBDE6D" w:rsidR="00F719A8" w:rsidRPr="00CD31C9" w:rsidRDefault="00F719A8" w:rsidP="3ECAD149">
      <w:pPr>
        <w:pStyle w:val="MText"/>
        <w:rPr>
          <w:rFonts w:eastAsiaTheme="minorEastAsia" w:cstheme="minorBidi"/>
        </w:rPr>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0D2A1CF" w14:textId="6D2C817E" w:rsidR="0072214E" w:rsidRDefault="0072214E" w:rsidP="00181441">
      <w:pPr>
        <w:pStyle w:val="NoSpacing"/>
        <w:rPr>
          <w:rFonts w:ascii="Segoe UI" w:hAnsi="Segoe UI" w:cs="Segoe UI"/>
          <w:sz w:val="18"/>
          <w:szCs w:val="18"/>
        </w:rPr>
      </w:pPr>
      <w:r>
        <w:rPr>
          <w:rStyle w:val="normaltextrun"/>
          <w:rFonts w:ascii="Calibri" w:hAnsi="Calibri" w:cs="Calibri"/>
          <w:color w:val="4A4A4A"/>
          <w:sz w:val="21"/>
          <w:szCs w:val="21"/>
        </w:rPr>
        <w:t xml:space="preserve">The average annual number of people requiring treatment and care for NTDs is the number that is expected to decrease toward “the end of NTDs” by 2030 (target 3.3), as NTDs are eradicated, </w:t>
      </w:r>
      <w:proofErr w:type="gramStart"/>
      <w:r>
        <w:rPr>
          <w:rStyle w:val="normaltextrun"/>
          <w:rFonts w:ascii="Calibri" w:hAnsi="Calibri" w:cs="Calibri"/>
          <w:color w:val="4A4A4A"/>
          <w:sz w:val="21"/>
          <w:szCs w:val="21"/>
        </w:rPr>
        <w:t>eliminated</w:t>
      </w:r>
      <w:proofErr w:type="gramEnd"/>
      <w:r>
        <w:rPr>
          <w:rStyle w:val="normaltextrun"/>
          <w:rFonts w:ascii="Calibri" w:hAnsi="Calibri" w:cs="Calibri"/>
          <w:color w:val="4A4A4A"/>
          <w:sz w:val="21"/>
          <w:szCs w:val="21"/>
        </w:rPr>
        <w:t xml:space="preserve"> or controlled. The number of people requiring other interventions against NTDs (</w:t>
      </w:r>
      <w:proofErr w:type="gramStart"/>
      <w:r>
        <w:rPr>
          <w:rStyle w:val="normaltextrun"/>
          <w:rFonts w:ascii="Calibri" w:hAnsi="Calibri" w:cs="Calibri"/>
          <w:color w:val="4A4A4A"/>
          <w:sz w:val="21"/>
          <w:szCs w:val="21"/>
        </w:rPr>
        <w:t>e.g.</w:t>
      </w:r>
      <w:proofErr w:type="gramEnd"/>
      <w:r w:rsidR="00B047C2">
        <w:rPr>
          <w:rStyle w:val="normaltextrun"/>
          <w:rFonts w:ascii="Calibri" w:hAnsi="Calibri" w:cs="Calibri"/>
          <w:color w:val="4A4A4A"/>
          <w:sz w:val="21"/>
          <w:szCs w:val="21"/>
        </w:rPr>
        <w:t xml:space="preserve"> </w:t>
      </w:r>
      <w:r>
        <w:rPr>
          <w:rStyle w:val="normaltextrun"/>
          <w:rFonts w:ascii="Calibri" w:hAnsi="Calibri" w:cs="Calibri"/>
          <w:color w:val="4A4A4A"/>
          <w:sz w:val="21"/>
          <w:szCs w:val="21"/>
        </w:rPr>
        <w:t>vector management, veterinary public health, water, sanitation and hygiene) are expected to be maintained beyond 2030 and are therefore to be addressed in the context of other targets and indicators, namely Universal Health Coverage (UHC) and universal access to water and sanitation.</w:t>
      </w:r>
    </w:p>
    <w:p w14:paraId="3B96640E" w14:textId="5F70A80C"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p>
    <w:p w14:paraId="13894F78" w14:textId="65B0D253" w:rsidR="0072214E" w:rsidRDefault="0072214E"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This number should not be interpreted as the number of people at risk for NTDs. It is in fact a subset of the larger number of people at risk. Mass treatment is limited to those living in districts above a threshold level of prevalence; it does not include all people living in districts with any risk of infection. Individual treatment and care</w:t>
      </w:r>
      <w:r w:rsidR="00B047C2">
        <w:rPr>
          <w:rStyle w:val="normaltextrun"/>
          <w:rFonts w:ascii="Calibri" w:hAnsi="Calibri" w:cs="Calibri"/>
          <w:color w:val="4A4A4A"/>
          <w:sz w:val="21"/>
          <w:szCs w:val="21"/>
          <w:lang w:val="en-GB"/>
        </w:rPr>
        <w:t xml:space="preserve"> </w:t>
      </w:r>
      <w:proofErr w:type="gramStart"/>
      <w:r>
        <w:rPr>
          <w:rStyle w:val="normaltextrun"/>
          <w:rFonts w:ascii="Calibri" w:hAnsi="Calibri" w:cs="Calibri"/>
          <w:color w:val="4A4A4A"/>
          <w:sz w:val="21"/>
          <w:szCs w:val="21"/>
          <w:lang w:val="en-GB"/>
        </w:rPr>
        <w:t>is</w:t>
      </w:r>
      <w:proofErr w:type="gramEnd"/>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for those who are or have already been infected; it does not include all contacts and others at risk of infection. This number can better be interpreted as the number of people at a level of risk requiring medical intervention – that is, treatment and care for NTDs.</w:t>
      </w:r>
    </w:p>
    <w:p w14:paraId="15BA7507" w14:textId="4B81B01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4CB98D75" w14:textId="494D3873" w:rsidR="0072214E" w:rsidRDefault="0072214E"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Country reports may not be perfectly comparable over time. Improved surveillance and case-finding may lead to an apparent increase in the number of people known to require treatment and care. Some further estimation may be required to adjust for changes in surveillance and case-finding. Missing country reports may need to be imputed for some diseases in some years.</w:t>
      </w:r>
    </w:p>
    <w:p w14:paraId="398C00AE" w14:textId="4B56CB45" w:rsidR="00EC291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3B6A687A" w14:textId="42770B99" w:rsidR="0072214E" w:rsidRDefault="0072214E"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lastRenderedPageBreak/>
        <w:t>Some estimation is required to aggregate data across interventions and diseases. There is an established methodology that has been tested and an agreed international standard. [</w:t>
      </w:r>
      <w:r w:rsidR="00592DD2" w:rsidRPr="00592DD2">
        <w:rPr>
          <w:rStyle w:val="normaltextrun"/>
          <w:rFonts w:ascii="Calibri" w:hAnsi="Calibri" w:cs="Calibri"/>
          <w:color w:val="4A4A4A"/>
          <w:sz w:val="21"/>
          <w:szCs w:val="21"/>
          <w:lang w:val="en-GB"/>
        </w:rPr>
        <w:t>https://apps.who.int/iris/bitstream/handle/10665/241869/WER8702.PDF</w:t>
      </w:r>
      <w:r>
        <w:rPr>
          <w:rStyle w:val="normaltextrun"/>
          <w:rFonts w:ascii="Calibri" w:hAnsi="Calibri" w:cs="Calibri"/>
          <w:color w:val="4A4A4A"/>
          <w:sz w:val="21"/>
          <w:szCs w:val="21"/>
          <w:lang w:val="en-GB"/>
        </w:rPr>
        <w:t>]</w:t>
      </w:r>
    </w:p>
    <w:p w14:paraId="7C36DB05" w14:textId="6C04CE70"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p>
    <w:p w14:paraId="5F7D52B0" w14:textId="37EB50B0" w:rsidR="0072214E" w:rsidRDefault="0072214E" w:rsidP="009C3ED5">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1) Average annual number of people requiring mass treatment known as PC for at least one PC-NTD</w:t>
      </w:r>
      <w:r w:rsidR="00A51786">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 xml:space="preserve">(lymphatic filariasis, onchocerciasis, schistosomiasis, soil-transmitted </w:t>
      </w:r>
      <w:proofErr w:type="gramStart"/>
      <w:r>
        <w:rPr>
          <w:rStyle w:val="normaltextrun"/>
          <w:rFonts w:ascii="Calibri" w:hAnsi="Calibri" w:cs="Calibri"/>
          <w:color w:val="4A4A4A"/>
          <w:sz w:val="21"/>
          <w:szCs w:val="21"/>
          <w:lang w:val="en-GB"/>
        </w:rPr>
        <w:t>helminthiases</w:t>
      </w:r>
      <w:proofErr w:type="gramEnd"/>
      <w:r>
        <w:rPr>
          <w:rStyle w:val="normaltextrun"/>
          <w:rFonts w:ascii="Calibri" w:hAnsi="Calibri" w:cs="Calibri"/>
          <w:color w:val="4A4A4A"/>
          <w:sz w:val="21"/>
          <w:szCs w:val="21"/>
          <w:lang w:val="en-GB"/>
        </w:rPr>
        <w:t xml:space="preserve"> and trachoma).</w:t>
      </w:r>
      <w:r w:rsidR="00A51786">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People may require PC for more than one PC-NTD. The number of people requiring PC is compared across the PC-NTDs, by age group and implementation unit (</w:t>
      </w:r>
      <w:proofErr w:type="gramStart"/>
      <w:r>
        <w:rPr>
          <w:rStyle w:val="normaltextrun"/>
          <w:rFonts w:ascii="Calibri" w:hAnsi="Calibri" w:cs="Calibri"/>
          <w:color w:val="4A4A4A"/>
          <w:sz w:val="21"/>
          <w:szCs w:val="21"/>
          <w:lang w:val="en-GB"/>
        </w:rPr>
        <w:t>e.g.</w:t>
      </w:r>
      <w:proofErr w:type="gramEnd"/>
      <w:r w:rsidR="00A51786">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district). The largest number of people requiring PC is retained for each age group in each implementation unit. The total</w:t>
      </w:r>
      <w:r w:rsidR="00066C2E">
        <w:rPr>
          <w:rStyle w:val="normaltextrun"/>
          <w:rFonts w:ascii="Calibri" w:hAnsi="Calibri" w:cs="Calibri"/>
          <w:color w:val="4A4A4A"/>
          <w:sz w:val="21"/>
          <w:szCs w:val="21"/>
          <w:lang w:val="en-GB"/>
        </w:rPr>
        <w:t xml:space="preserve"> </w:t>
      </w:r>
      <w:proofErr w:type="gramStart"/>
      <w:r>
        <w:rPr>
          <w:rStyle w:val="normaltextrun"/>
          <w:rFonts w:ascii="Calibri" w:hAnsi="Calibri" w:cs="Calibri"/>
          <w:color w:val="4A4A4A"/>
          <w:sz w:val="21"/>
          <w:szCs w:val="21"/>
          <w:lang w:val="en-GB"/>
        </w:rPr>
        <w:t>is considered to be</w:t>
      </w:r>
      <w:proofErr w:type="gramEnd"/>
      <w:r w:rsidR="00A51786">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a conservative estimate of the number of people requiring PC for at least one PC-NTD. Prevalence surveys determine when an NTD has been eliminated or controlled and PC can be stopped or reduced in frequency, such that the average annual number of people requiring PC is reduced.</w:t>
      </w:r>
    </w:p>
    <w:p w14:paraId="65DA1E26" w14:textId="59835204"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p>
    <w:p w14:paraId="7BC38D70" w14:textId="6E4825F1" w:rsidR="0072214E" w:rsidRDefault="0072214E"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2) Number of new cases requiring individual treatment and care for other NTDs: The number of new cases is based on country reports, whenever available, of new and known cases of Buruli ulcer,</w:t>
      </w:r>
      <w:r w:rsidR="00A51786">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dengue,</w:t>
      </w:r>
      <w:r w:rsidR="00A51786">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dracunculiasis, echinococcosis, human African trypanosomiasis (HAT), leprosy, the leishmaniases, rabies and yaws. Where the number of people requiring and requesting surgery for PC-NTDs (</w:t>
      </w:r>
      <w:proofErr w:type="gramStart"/>
      <w:r>
        <w:rPr>
          <w:rStyle w:val="normaltextrun"/>
          <w:rFonts w:ascii="Calibri" w:hAnsi="Calibri" w:cs="Calibri"/>
          <w:color w:val="4A4A4A"/>
          <w:sz w:val="21"/>
          <w:szCs w:val="21"/>
          <w:lang w:val="en-GB"/>
        </w:rPr>
        <w:t>e.g.</w:t>
      </w:r>
      <w:proofErr w:type="gramEnd"/>
      <w:r w:rsidR="00A51786">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trichiasis or hydrocele surgery) is reported, it can be added here. Similarly, new cases requiring and requesting rehabilitation (</w:t>
      </w:r>
      <w:proofErr w:type="gramStart"/>
      <w:r>
        <w:rPr>
          <w:rStyle w:val="normaltextrun"/>
          <w:rFonts w:ascii="Calibri" w:hAnsi="Calibri" w:cs="Calibri"/>
          <w:color w:val="4A4A4A"/>
          <w:sz w:val="21"/>
          <w:szCs w:val="21"/>
          <w:lang w:val="en-GB"/>
        </w:rPr>
        <w:t>e.g.</w:t>
      </w:r>
      <w:proofErr w:type="gramEnd"/>
      <w:r w:rsidR="00A51786">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leprosy or lymphoedema) can be added whenever available.</w:t>
      </w:r>
    </w:p>
    <w:p w14:paraId="181608A3" w14:textId="60E47DAB"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p>
    <w:p w14:paraId="20560DF0" w14:textId="38B5F159" w:rsidR="0072214E" w:rsidRDefault="0072214E"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Populations referred to under 1) and 2) may overlap; the sum would overestimate the total number of people requiring treatment and care. The maximum of 1) or 2) is therefore retained at the lowest common implementation unit and summed to get conservative country, regional and global aggregates. By 2030, improved co-endemicity data and models will validate the trends obtained using this simplified approach.</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27C581BB" w14:textId="66D00530" w:rsidR="00F719A8" w:rsidRPr="004645FA" w:rsidRDefault="03657895" w:rsidP="1537F925">
      <w:pPr>
        <w:pStyle w:val="MText"/>
        <w:rPr>
          <w:rStyle w:val="normaltextrun"/>
          <w:rFonts w:ascii="Calibri" w:hAnsi="Calibri" w:cs="Calibri"/>
          <w:color w:val="333333"/>
        </w:rPr>
      </w:pPr>
      <w:r w:rsidRPr="004645FA">
        <w:rPr>
          <w:rStyle w:val="normaltextrun"/>
          <w:rFonts w:ascii="Calibri" w:hAnsi="Calibri" w:cs="Calibri"/>
          <w:color w:val="333333"/>
        </w:rPr>
        <w:t xml:space="preserve">Data is jointly validated by </w:t>
      </w:r>
      <w:r w:rsidR="00E06267" w:rsidRPr="004645FA">
        <w:rPr>
          <w:rStyle w:val="normaltextrun"/>
          <w:rFonts w:ascii="Calibri" w:hAnsi="Calibri" w:cs="Calibri"/>
          <w:color w:val="333333"/>
        </w:rPr>
        <w:t xml:space="preserve">the </w:t>
      </w:r>
      <w:r w:rsidRPr="004645FA">
        <w:rPr>
          <w:rStyle w:val="normaltextrun"/>
          <w:rFonts w:ascii="Calibri" w:hAnsi="Calibri" w:cs="Calibri"/>
          <w:color w:val="333333"/>
        </w:rPr>
        <w:t xml:space="preserve">three levels of the </w:t>
      </w:r>
      <w:r w:rsidR="00F719A8" w:rsidRPr="004645FA">
        <w:rPr>
          <w:rStyle w:val="normaltextrun"/>
          <w:rFonts w:ascii="Calibri" w:hAnsi="Calibri" w:cs="Calibri"/>
          <w:color w:val="333333"/>
        </w:rPr>
        <w:t xml:space="preserve">organization </w:t>
      </w:r>
      <w:r w:rsidRPr="004645FA">
        <w:rPr>
          <w:rStyle w:val="normaltextrun"/>
          <w:rFonts w:ascii="Calibri" w:hAnsi="Calibri" w:cs="Calibri"/>
          <w:color w:val="333333"/>
        </w:rPr>
        <w:t>– countries, regions and global.</w:t>
      </w:r>
    </w:p>
    <w:p w14:paraId="0025F830" w14:textId="1D396744"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6E353342" w:rsidR="00576CFA" w:rsidRPr="00A96255" w:rsidRDefault="61EBFB27" w:rsidP="00576CFA">
      <w:pPr>
        <w:pStyle w:val="MText"/>
      </w:pPr>
      <w:r w:rsidRPr="004645FA">
        <w:rPr>
          <w:rStyle w:val="normaltextrun"/>
          <w:rFonts w:ascii="Calibri" w:hAnsi="Calibri" w:cs="Calibri"/>
          <w:color w:val="333333"/>
        </w:rP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4FB5025A" w14:textId="36F8B036" w:rsidR="0072214E" w:rsidRPr="00F9055C" w:rsidRDefault="0072214E" w:rsidP="0072214E">
      <w:pPr>
        <w:pStyle w:val="paragraph"/>
        <w:numPr>
          <w:ilvl w:val="0"/>
          <w:numId w:val="5"/>
        </w:numPr>
        <w:shd w:val="clear" w:color="auto" w:fill="FFFFFF"/>
        <w:spacing w:before="0" w:beforeAutospacing="0" w:after="0" w:afterAutospacing="0"/>
        <w:ind w:left="135" w:firstLine="0"/>
        <w:textAlignment w:val="baseline"/>
        <w:rPr>
          <w:rFonts w:asciiTheme="minorHAnsi" w:hAnsiTheme="minorHAnsi"/>
          <w:b/>
          <w:bCs/>
          <w:color w:val="4A4A4A"/>
          <w:sz w:val="21"/>
          <w:szCs w:val="21"/>
          <w:lang w:val="en-GB" w:eastAsia="en-GB"/>
        </w:rPr>
      </w:pPr>
      <w:r w:rsidRPr="00F9055C">
        <w:rPr>
          <w:rFonts w:asciiTheme="minorHAnsi" w:hAnsiTheme="minorHAnsi"/>
          <w:b/>
          <w:bCs/>
          <w:color w:val="4A4A4A"/>
          <w:sz w:val="21"/>
          <w:szCs w:val="21"/>
          <w:lang w:eastAsia="en-GB"/>
        </w:rPr>
        <w:t>At country level</w:t>
      </w:r>
    </w:p>
    <w:p w14:paraId="12EC7F7D" w14:textId="7D8CC907" w:rsidR="0072214E" w:rsidRDefault="0072214E" w:rsidP="00181441">
      <w:pPr>
        <w:pStyle w:val="paragraph"/>
        <w:shd w:val="clear" w:color="auto" w:fill="FFFFFF"/>
        <w:spacing w:before="0" w:beforeAutospacing="0" w:after="0" w:afterAutospacing="0" w:line="276" w:lineRule="auto"/>
        <w:ind w:left="495"/>
        <w:textAlignment w:val="baseline"/>
        <w:rPr>
          <w:rFonts w:ascii="Segoe UI" w:hAnsi="Segoe UI" w:cs="Segoe UI"/>
          <w:sz w:val="18"/>
          <w:szCs w:val="18"/>
        </w:rPr>
      </w:pPr>
      <w:r>
        <w:rPr>
          <w:rStyle w:val="normaltextrun"/>
          <w:rFonts w:ascii="Calibri" w:hAnsi="Calibri" w:cs="Calibri"/>
          <w:color w:val="4A4A4A"/>
          <w:sz w:val="21"/>
          <w:szCs w:val="21"/>
          <w:lang w:val="en-GB"/>
        </w:rPr>
        <w:t>We do not impute missing values for countries that have never reported data for any NTD. For countries that have reported data in the past, we impute missing values only for those NTDs that have been reported in the past but that have not been reported in the current year.</w:t>
      </w:r>
    </w:p>
    <w:p w14:paraId="15E38719" w14:textId="1D090157" w:rsidR="0072214E" w:rsidRDefault="0072214E" w:rsidP="0072214E">
      <w:pPr>
        <w:pStyle w:val="paragraph"/>
        <w:shd w:val="clear" w:color="auto" w:fill="FFFFFF"/>
        <w:spacing w:before="0" w:beforeAutospacing="0" w:after="0" w:afterAutospacing="0"/>
        <w:ind w:left="495"/>
        <w:textAlignment w:val="baseline"/>
        <w:rPr>
          <w:rFonts w:ascii="Segoe UI" w:hAnsi="Segoe UI" w:cs="Segoe UI"/>
          <w:sz w:val="18"/>
          <w:szCs w:val="18"/>
        </w:rPr>
      </w:pPr>
    </w:p>
    <w:p w14:paraId="54C295C2" w14:textId="7D851A61" w:rsidR="0072214E" w:rsidRDefault="0072214E" w:rsidP="00181441">
      <w:pPr>
        <w:pStyle w:val="paragraph"/>
        <w:shd w:val="clear" w:color="auto" w:fill="FFFFFF"/>
        <w:spacing w:before="0" w:beforeAutospacing="0" w:after="0" w:afterAutospacing="0" w:line="276" w:lineRule="auto"/>
        <w:ind w:left="495"/>
        <w:textAlignment w:val="baseline"/>
        <w:rPr>
          <w:rFonts w:ascii="Segoe UI" w:hAnsi="Segoe UI" w:cs="Segoe UI"/>
          <w:sz w:val="18"/>
          <w:szCs w:val="18"/>
        </w:rPr>
      </w:pPr>
      <w:r>
        <w:rPr>
          <w:rStyle w:val="normaltextrun"/>
          <w:rFonts w:ascii="Calibri" w:hAnsi="Calibri" w:cs="Calibri"/>
          <w:color w:val="4A4A4A"/>
          <w:sz w:val="21"/>
          <w:szCs w:val="21"/>
          <w:lang w:val="en-GB"/>
        </w:rPr>
        <w:t>For reproducibility, we employ multiple imputation techniques using the freely available Amelia package in R. We impute 100 complete datasets using all available cross-sectional data (countries and years), applying a square root transformation to exclude negative values of incidence, as well as categorical variables denoting regions and income groups, and allowing for country-specific linear time effects. We aggregate across diseases and extract the mean and 2.5th and 97.5th centile values to report best estimates and uncertainty intervals for each country.</w:t>
      </w:r>
    </w:p>
    <w:p w14:paraId="47F81ED9" w14:textId="7651E8C8" w:rsidR="0072214E" w:rsidRDefault="0072214E" w:rsidP="0072214E">
      <w:pPr>
        <w:pStyle w:val="paragraph"/>
        <w:shd w:val="clear" w:color="auto" w:fill="FFFFFF"/>
        <w:spacing w:before="0" w:beforeAutospacing="0" w:after="0" w:afterAutospacing="0"/>
        <w:ind w:left="495"/>
        <w:textAlignment w:val="baseline"/>
        <w:rPr>
          <w:rFonts w:ascii="Segoe UI" w:hAnsi="Segoe UI" w:cs="Segoe UI"/>
          <w:sz w:val="18"/>
          <w:szCs w:val="18"/>
        </w:rPr>
      </w:pPr>
    </w:p>
    <w:p w14:paraId="14C44FD7" w14:textId="3F5C3013" w:rsidR="0072214E" w:rsidRPr="00F9055C" w:rsidRDefault="0072214E" w:rsidP="00F9055C">
      <w:pPr>
        <w:pStyle w:val="paragraph"/>
        <w:numPr>
          <w:ilvl w:val="0"/>
          <w:numId w:val="5"/>
        </w:numPr>
        <w:shd w:val="clear" w:color="auto" w:fill="FFFFFF"/>
        <w:spacing w:before="0" w:beforeAutospacing="0" w:after="0" w:afterAutospacing="0"/>
        <w:ind w:left="135" w:firstLine="0"/>
        <w:textAlignment w:val="baseline"/>
        <w:rPr>
          <w:rFonts w:asciiTheme="minorHAnsi" w:hAnsiTheme="minorHAnsi"/>
          <w:b/>
          <w:color w:val="4A4A4A"/>
          <w:sz w:val="21"/>
          <w:szCs w:val="21"/>
          <w:lang w:eastAsia="en-GB"/>
        </w:rPr>
      </w:pPr>
      <w:r w:rsidRPr="00F9055C">
        <w:rPr>
          <w:rFonts w:asciiTheme="minorHAnsi" w:hAnsiTheme="minorHAnsi"/>
          <w:b/>
          <w:color w:val="4A4A4A"/>
          <w:sz w:val="21"/>
          <w:szCs w:val="21"/>
          <w:lang w:eastAsia="en-GB"/>
        </w:rPr>
        <w:lastRenderedPageBreak/>
        <w:t>At regional and global levels</w:t>
      </w:r>
    </w:p>
    <w:p w14:paraId="51F115A1" w14:textId="4EAD26A3" w:rsidR="0072214E" w:rsidRDefault="0072214E" w:rsidP="00181441">
      <w:pPr>
        <w:pStyle w:val="paragraph"/>
        <w:shd w:val="clear" w:color="auto" w:fill="FFFFFF"/>
        <w:spacing w:before="0" w:beforeAutospacing="0" w:after="0" w:afterAutospacing="0" w:line="276" w:lineRule="auto"/>
        <w:ind w:left="495"/>
        <w:textAlignment w:val="baseline"/>
        <w:rPr>
          <w:rFonts w:ascii="Segoe UI" w:hAnsi="Segoe UI" w:cs="Segoe UI"/>
          <w:sz w:val="18"/>
          <w:szCs w:val="18"/>
        </w:rPr>
      </w:pPr>
      <w:r>
        <w:rPr>
          <w:rStyle w:val="normaltextrun"/>
          <w:rFonts w:ascii="Calibri" w:hAnsi="Calibri" w:cs="Calibri"/>
          <w:color w:val="4A4A4A"/>
          <w:sz w:val="21"/>
          <w:szCs w:val="21"/>
          <w:lang w:val="en-GB"/>
        </w:rPr>
        <w:t>Using the 100 imputed datasets, we aggregate across diseases and regions, extract the mean and 2.5th and 97.5th centile values to report best estimates and uncertainty intervals at the regional and global levels.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EA010B7" w14:textId="63B01DF8" w:rsidR="00EC2915" w:rsidRDefault="0072214E" w:rsidP="00576CFA">
      <w:pPr>
        <w:pStyle w:val="MText"/>
        <w:rPr>
          <w:rStyle w:val="eop"/>
          <w:rFonts w:ascii="Calibri" w:hAnsi="Calibri" w:cs="Calibri"/>
        </w:rPr>
      </w:pPr>
      <w:r>
        <w:rPr>
          <w:rStyle w:val="normaltextrun"/>
          <w:rFonts w:ascii="Calibri" w:hAnsi="Calibri" w:cs="Calibri"/>
        </w:rPr>
        <w:t>Global and regional estimates are simple aggregates of the country values, with no </w:t>
      </w:r>
      <w:proofErr w:type="gramStart"/>
      <w:r>
        <w:rPr>
          <w:rStyle w:val="normaltextrun"/>
          <w:rFonts w:ascii="Calibri" w:hAnsi="Calibri" w:cs="Calibri"/>
        </w:rPr>
        <w:t>particular weighting</w:t>
      </w:r>
      <w:proofErr w:type="gramEnd"/>
      <w:r>
        <w:rPr>
          <w:rStyle w:val="normaltextrun"/>
          <w:rFonts w:ascii="Calibri" w:hAnsi="Calibri" w:cs="Calibri"/>
        </w:rPr>
        <w:t>. There is no further adjustment for global and regional estimates.</w:t>
      </w:r>
    </w:p>
    <w:p w14:paraId="277AFADF" w14:textId="77777777" w:rsidR="0072214E" w:rsidRPr="00A96255" w:rsidRDefault="0072214E"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A1322DD" w14:textId="33A2D286" w:rsidR="0072214E" w:rsidRDefault="0072214E" w:rsidP="00181441">
      <w:pPr>
        <w:pStyle w:val="paragraph"/>
        <w:spacing w:before="0" w:beforeAutospacing="0" w:after="0" w:afterAutospacing="0" w:line="276" w:lineRule="auto"/>
        <w:textAlignment w:val="baseline"/>
        <w:rPr>
          <w:rFonts w:asciiTheme="minorHAnsi" w:hAnsiTheme="minorHAnsi" w:cstheme="minorHAnsi"/>
          <w:sz w:val="21"/>
          <w:szCs w:val="21"/>
        </w:rPr>
      </w:pPr>
      <w:r w:rsidRPr="3A6FFEF0">
        <w:rPr>
          <w:rStyle w:val="normaltextrun"/>
          <w:rFonts w:ascii="Calibri" w:hAnsi="Calibri" w:cs="Calibri"/>
          <w:color w:val="4A4A4A"/>
          <w:sz w:val="21"/>
          <w:szCs w:val="21"/>
          <w:lang w:val="en-GB"/>
        </w:rPr>
        <w:t>This indicator is based on national-level data reported to WHO by its Member States and disseminated via the WHO Global Health Observatory (</w:t>
      </w:r>
      <w:r w:rsidR="1E56336C" w:rsidRPr="3A6FFEF0">
        <w:rPr>
          <w:rStyle w:val="normaltextrun"/>
          <w:rFonts w:ascii="Calibri" w:hAnsi="Calibri" w:cs="Calibri"/>
          <w:color w:val="0000FF"/>
          <w:sz w:val="21"/>
          <w:szCs w:val="21"/>
          <w:u w:val="single"/>
          <w:lang w:val="en-GB"/>
        </w:rPr>
        <w:t>https://www.who.int/data/gho/data/themes/neglected-tropical-diseases</w:t>
      </w:r>
      <w:r w:rsidRPr="3A6FFEF0">
        <w:rPr>
          <w:rStyle w:val="normaltextrun"/>
          <w:rFonts w:ascii="Calibri" w:hAnsi="Calibri" w:cs="Calibri"/>
          <w:color w:val="4A4A4A"/>
          <w:sz w:val="21"/>
          <w:szCs w:val="21"/>
          <w:lang w:val="en-GB"/>
        </w:rPr>
        <w:t>) and</w:t>
      </w:r>
      <w:r w:rsidR="00A51786">
        <w:rPr>
          <w:rStyle w:val="normaltextrun"/>
          <w:rFonts w:ascii="Calibri" w:hAnsi="Calibri" w:cs="Calibri"/>
          <w:color w:val="4A4A4A"/>
          <w:sz w:val="21"/>
          <w:szCs w:val="21"/>
          <w:lang w:val="en-GB"/>
        </w:rPr>
        <w:t xml:space="preserve"> </w:t>
      </w:r>
      <w:r w:rsidR="269F7CFF" w:rsidRPr="00181441">
        <w:rPr>
          <w:rStyle w:val="normaltextrun"/>
          <w:rFonts w:ascii="Calibri" w:hAnsi="Calibri"/>
          <w:color w:val="4A4A4A"/>
          <w:sz w:val="21"/>
          <w:lang w:val="en-GB"/>
        </w:rPr>
        <w:t>PC</w:t>
      </w:r>
      <w:r w:rsidR="00A51786">
        <w:rPr>
          <w:rStyle w:val="normaltextrun"/>
          <w:rFonts w:ascii="Calibri" w:hAnsi="Calibri" w:cs="Calibri"/>
          <w:color w:val="4A4A4A"/>
          <w:sz w:val="21"/>
          <w:szCs w:val="21"/>
          <w:lang w:val="en-GB"/>
        </w:rPr>
        <w:t xml:space="preserve"> </w:t>
      </w:r>
      <w:r w:rsidRPr="005B5DF5">
        <w:rPr>
          <w:rStyle w:val="normaltextrun"/>
          <w:rFonts w:ascii="Calibri" w:hAnsi="Calibri" w:cs="Calibri"/>
          <w:color w:val="4A4A4A"/>
          <w:sz w:val="21"/>
          <w:szCs w:val="21"/>
          <w:lang w:val="en-GB"/>
        </w:rPr>
        <w:t>Data Portal (</w:t>
      </w:r>
      <w:r w:rsidR="00FF3FFB" w:rsidRPr="00FF3FFB">
        <w:rPr>
          <w:rStyle w:val="normaltextrun"/>
          <w:rFonts w:ascii="Calibri" w:hAnsi="Calibri" w:cs="Calibri"/>
          <w:color w:val="4A4A4A"/>
          <w:sz w:val="21"/>
          <w:szCs w:val="21"/>
          <w:lang w:val="en-GB"/>
        </w:rPr>
        <w:t>https://www.who.int/data/preventive-chemotherapy/</w:t>
      </w:r>
      <w:r w:rsidRPr="005B5DF5">
        <w:rPr>
          <w:rStyle w:val="normaltextrun"/>
          <w:rFonts w:ascii="Calibri" w:hAnsi="Calibri" w:cs="Calibri"/>
          <w:color w:val="4A4A4A"/>
          <w:sz w:val="21"/>
          <w:szCs w:val="21"/>
          <w:lang w:val="en-GB"/>
        </w:rPr>
        <w:t xml:space="preserve">). Some adjustment is required to aggregate country-reported data on individual neglected tropical diseases across all NTDs included in this indicator. There is </w:t>
      </w:r>
      <w:r w:rsidRPr="3A6FFEF0">
        <w:rPr>
          <w:rStyle w:val="normaltextrun"/>
          <w:rFonts w:ascii="Calibri" w:hAnsi="Calibri" w:cs="Calibri"/>
          <w:color w:val="4A4A4A"/>
          <w:sz w:val="21"/>
          <w:szCs w:val="21"/>
          <w:lang w:val="en-GB"/>
        </w:rPr>
        <w:t xml:space="preserve">an established methodology to standardize this </w:t>
      </w:r>
      <w:r w:rsidR="004E1164" w:rsidRPr="3A6FFEF0">
        <w:rPr>
          <w:rStyle w:val="normaltextrun"/>
          <w:rFonts w:ascii="Calibri" w:hAnsi="Calibri" w:cs="Calibri"/>
          <w:color w:val="4A4A4A"/>
          <w:sz w:val="21"/>
          <w:szCs w:val="21"/>
          <w:lang w:val="en-GB"/>
        </w:rPr>
        <w:t>a</w:t>
      </w:r>
      <w:r w:rsidRPr="3A6FFEF0">
        <w:rPr>
          <w:rStyle w:val="normaltextrun"/>
          <w:rFonts w:ascii="Calibri" w:hAnsi="Calibri" w:cs="Calibri"/>
          <w:color w:val="4A4A4A"/>
          <w:sz w:val="21"/>
          <w:szCs w:val="21"/>
          <w:lang w:val="en-GB"/>
        </w:rPr>
        <w:t>ggregation:</w:t>
      </w:r>
      <w:r w:rsidR="004E1164" w:rsidRPr="3A6FFEF0">
        <w:rPr>
          <w:rStyle w:val="normaltextrun"/>
          <w:rFonts w:ascii="Calibri" w:hAnsi="Calibri" w:cs="Calibri"/>
          <w:color w:val="4A4A4A"/>
          <w:sz w:val="21"/>
          <w:szCs w:val="21"/>
          <w:lang w:val="en-GB"/>
        </w:rPr>
        <w:t xml:space="preserve"> </w:t>
      </w:r>
      <w:hyperlink r:id="rId16" w:history="1">
        <w:r w:rsidR="008F07DF" w:rsidRPr="00ED2715">
          <w:rPr>
            <w:rStyle w:val="Hyperlink"/>
            <w:rFonts w:asciiTheme="minorHAnsi" w:hAnsiTheme="minorHAnsi" w:cstheme="minorHAnsi"/>
            <w:sz w:val="21"/>
            <w:szCs w:val="21"/>
          </w:rPr>
          <w:t>https://apps.who.int/iris/bitstream/handle/10665/241869/WER8702.PDF</w:t>
        </w:r>
      </w:hyperlink>
    </w:p>
    <w:p w14:paraId="753BE498" w14:textId="229CDF41" w:rsidR="0072214E" w:rsidRDefault="0072214E" w:rsidP="0072214E">
      <w:pPr>
        <w:pStyle w:val="paragraph"/>
        <w:spacing w:before="0" w:beforeAutospacing="0" w:after="0" w:afterAutospacing="0"/>
        <w:textAlignment w:val="baseline"/>
        <w:rPr>
          <w:rFonts w:ascii="Segoe UI" w:hAnsi="Segoe UI" w:cs="Segoe UI"/>
          <w:color w:val="4A4A4A"/>
          <w:sz w:val="18"/>
          <w:szCs w:val="18"/>
        </w:rPr>
      </w:pPr>
    </w:p>
    <w:p w14:paraId="15BD8911" w14:textId="26D82BF0" w:rsidR="0072214E" w:rsidRDefault="0072214E" w:rsidP="00181441">
      <w:pPr>
        <w:pStyle w:val="paragraph"/>
        <w:spacing w:before="0" w:beforeAutospacing="0" w:after="0" w:afterAutospacing="0" w:line="276" w:lineRule="auto"/>
        <w:textAlignment w:val="baseline"/>
        <w:rPr>
          <w:rFonts w:ascii="Segoe UI" w:hAnsi="Segoe UI" w:cs="Segoe UI"/>
          <w:color w:val="4A4A4A"/>
          <w:sz w:val="18"/>
          <w:szCs w:val="18"/>
        </w:rPr>
      </w:pPr>
      <w:r w:rsidRPr="3ECAD149">
        <w:rPr>
          <w:rStyle w:val="normaltextrun"/>
          <w:rFonts w:ascii="Calibri" w:hAnsi="Calibri" w:cs="Calibri"/>
          <w:color w:val="4A4A4A"/>
          <w:sz w:val="21"/>
          <w:szCs w:val="21"/>
          <w:lang w:val="en-GB"/>
        </w:rPr>
        <w:t>For NTDs requiring preventive chemotherapy, a joint reporting mechanism and set of reporting forms have been developed to facilitate the process of requesting donated medicines and reporting progress as well as to improve coordination and integration among programmes</w:t>
      </w:r>
      <w:r w:rsidR="005E44A6">
        <w:rPr>
          <w:rStyle w:val="normaltextrun"/>
          <w:rFonts w:ascii="Calibri" w:hAnsi="Calibri" w:cs="Calibri"/>
          <w:color w:val="4A4A4A"/>
          <w:sz w:val="21"/>
          <w:szCs w:val="21"/>
          <w:lang w:val="en-GB"/>
        </w:rPr>
        <w:t>.</w:t>
      </w:r>
      <w:r w:rsidRPr="3ECAD149">
        <w:rPr>
          <w:rStyle w:val="normaltextrun"/>
          <w:rFonts w:ascii="Calibri" w:hAnsi="Calibri" w:cs="Calibri"/>
          <w:color w:val="4A4A4A"/>
          <w:sz w:val="21"/>
          <w:szCs w:val="21"/>
          <w:lang w:val="en-GB"/>
        </w:rPr>
        <w:t xml:space="preserve"> </w:t>
      </w:r>
      <w:r w:rsidR="005E44A6">
        <w:rPr>
          <w:rStyle w:val="normaltextrun"/>
          <w:rFonts w:ascii="Calibri" w:hAnsi="Calibri" w:cs="Calibri"/>
          <w:color w:val="4A4A4A"/>
          <w:sz w:val="21"/>
          <w:szCs w:val="21"/>
          <w:lang w:val="en-GB"/>
        </w:rPr>
        <w:t>M</w:t>
      </w:r>
      <w:r w:rsidRPr="3ECAD149">
        <w:rPr>
          <w:rStyle w:val="normaltextrun"/>
          <w:rFonts w:ascii="Calibri" w:hAnsi="Calibri" w:cs="Calibri"/>
          <w:color w:val="4A4A4A"/>
          <w:sz w:val="21"/>
          <w:szCs w:val="21"/>
          <w:lang w:val="en-GB"/>
        </w:rPr>
        <w:t>ore information is available here,</w:t>
      </w:r>
      <w:r w:rsidR="05D51ED8" w:rsidRPr="3ECAD149">
        <w:rPr>
          <w:rStyle w:val="normaltextrun"/>
          <w:rFonts w:ascii="Calibri" w:hAnsi="Calibri" w:cs="Calibri"/>
          <w:color w:val="0000FF"/>
          <w:sz w:val="21"/>
          <w:szCs w:val="21"/>
          <w:u w:val="single"/>
          <w:lang w:val="en-GB"/>
        </w:rPr>
        <w:t xml:space="preserve"> </w:t>
      </w:r>
      <w:r w:rsidR="00457E56" w:rsidRPr="00457E56">
        <w:rPr>
          <w:rStyle w:val="normaltextrun"/>
          <w:rFonts w:ascii="Calibri" w:hAnsi="Calibri" w:cs="Calibri"/>
          <w:color w:val="0000FF"/>
          <w:sz w:val="21"/>
          <w:szCs w:val="21"/>
          <w:u w:val="single"/>
          <w:lang w:val="en-GB"/>
        </w:rPr>
        <w:t>https://www.who.int/teams/control-of-neglected-tropical-diseases/interventions/strategies/preventive-chemotherapy/joint-application-package</w:t>
      </w:r>
    </w:p>
    <w:p w14:paraId="23400FBE" w14:textId="4E1A5ABF" w:rsidR="0072214E" w:rsidRDefault="0072214E" w:rsidP="0072214E">
      <w:pPr>
        <w:pStyle w:val="paragraph"/>
        <w:shd w:val="clear" w:color="auto" w:fill="FFFFFF"/>
        <w:spacing w:before="0" w:beforeAutospacing="0" w:after="0" w:afterAutospacing="0"/>
        <w:textAlignment w:val="baseline"/>
        <w:rPr>
          <w:rFonts w:ascii="Segoe UI" w:hAnsi="Segoe UI" w:cs="Segoe UI"/>
          <w:b/>
          <w:bCs/>
          <w:color w:val="4A4A4A"/>
          <w:sz w:val="18"/>
          <w:szCs w:val="18"/>
        </w:rPr>
      </w:pPr>
    </w:p>
    <w:p w14:paraId="6BA8B932" w14:textId="306A960F" w:rsidR="0072214E" w:rsidRDefault="0072214E" w:rsidP="0056135B">
      <w:pPr>
        <w:pStyle w:val="paragraph"/>
        <w:spacing w:before="0" w:beforeAutospacing="0" w:after="0" w:afterAutospacing="0" w:line="276" w:lineRule="auto"/>
        <w:textAlignment w:val="baseline"/>
        <w:rPr>
          <w:rStyle w:val="normaltextrun"/>
          <w:color w:val="4A4A4A"/>
          <w:lang w:val="en-GB"/>
        </w:rPr>
      </w:pPr>
      <w:r w:rsidRPr="004E1164">
        <w:rPr>
          <w:rStyle w:val="normaltextrun"/>
          <w:rFonts w:ascii="Calibri" w:hAnsi="Calibri" w:cs="Calibri"/>
          <w:color w:val="4A4A4A"/>
          <w:sz w:val="21"/>
          <w:szCs w:val="21"/>
          <w:lang w:val="en-GB"/>
        </w:rPr>
        <w:t xml:space="preserve">For the other NTDs, the number of new cases should be reported by the health facilities to the national level </w:t>
      </w:r>
      <w:proofErr w:type="gramStart"/>
      <w:r w:rsidRPr="004E1164">
        <w:rPr>
          <w:rStyle w:val="normaltextrun"/>
          <w:rFonts w:ascii="Calibri" w:hAnsi="Calibri" w:cs="Calibri"/>
          <w:color w:val="4A4A4A"/>
          <w:sz w:val="21"/>
          <w:szCs w:val="21"/>
          <w:lang w:val="en-GB"/>
        </w:rPr>
        <w:t>in order to</w:t>
      </w:r>
      <w:proofErr w:type="gramEnd"/>
      <w:r w:rsidRPr="004E1164">
        <w:rPr>
          <w:rStyle w:val="normaltextrun"/>
          <w:rFonts w:ascii="Calibri" w:hAnsi="Calibri" w:cs="Calibri"/>
          <w:color w:val="4A4A4A"/>
          <w:sz w:val="21"/>
          <w:szCs w:val="21"/>
          <w:lang w:val="en-GB"/>
        </w:rPr>
        <w:t xml:space="preserve"> compile them. If active case search activities are organized</w:t>
      </w:r>
      <w:r w:rsidR="00A51786">
        <w:rPr>
          <w:rStyle w:val="normaltextrun"/>
          <w:rFonts w:ascii="Calibri" w:hAnsi="Calibri" w:cs="Calibri"/>
          <w:color w:val="4A4A4A"/>
          <w:sz w:val="21"/>
          <w:szCs w:val="21"/>
          <w:lang w:val="en-GB"/>
        </w:rPr>
        <w:t xml:space="preserve"> </w:t>
      </w:r>
      <w:r w:rsidRPr="004E1164">
        <w:rPr>
          <w:rStyle w:val="normaltextrun"/>
          <w:rFonts w:ascii="Calibri" w:hAnsi="Calibri" w:cs="Calibri"/>
          <w:color w:val="4A4A4A"/>
          <w:sz w:val="21"/>
          <w:szCs w:val="21"/>
          <w:lang w:val="en-GB"/>
        </w:rPr>
        <w:t>(</w:t>
      </w:r>
      <w:proofErr w:type="gramStart"/>
      <w:r w:rsidRPr="004E1164">
        <w:rPr>
          <w:rStyle w:val="normaltextrun"/>
          <w:rFonts w:ascii="Calibri" w:hAnsi="Calibri" w:cs="Calibri"/>
          <w:color w:val="4A4A4A"/>
          <w:sz w:val="21"/>
          <w:szCs w:val="21"/>
          <w:lang w:val="en-GB"/>
        </w:rPr>
        <w:t>e.g.</w:t>
      </w:r>
      <w:proofErr w:type="gramEnd"/>
      <w:r w:rsidR="00A51786">
        <w:rPr>
          <w:rStyle w:val="normaltextrun"/>
          <w:rFonts w:ascii="Calibri" w:hAnsi="Calibri" w:cs="Calibri"/>
          <w:color w:val="4A4A4A"/>
          <w:sz w:val="21"/>
          <w:szCs w:val="21"/>
          <w:lang w:val="en-GB"/>
        </w:rPr>
        <w:t xml:space="preserve"> </w:t>
      </w:r>
      <w:r w:rsidRPr="004E1164">
        <w:rPr>
          <w:rStyle w:val="normaltextrun"/>
          <w:rFonts w:ascii="Calibri" w:hAnsi="Calibri" w:cs="Calibri"/>
          <w:color w:val="4A4A4A"/>
          <w:sz w:val="21"/>
          <w:szCs w:val="21"/>
          <w:lang w:val="en-GB"/>
        </w:rPr>
        <w:t>for</w:t>
      </w:r>
      <w:r w:rsidR="00A51786">
        <w:rPr>
          <w:rStyle w:val="normaltextrun"/>
          <w:rFonts w:ascii="Calibri" w:hAnsi="Calibri" w:cs="Calibri"/>
          <w:color w:val="4A4A4A"/>
          <w:sz w:val="21"/>
          <w:szCs w:val="21"/>
          <w:lang w:val="en-GB"/>
        </w:rPr>
        <w:t xml:space="preserve"> </w:t>
      </w:r>
      <w:r w:rsidRPr="004E1164">
        <w:rPr>
          <w:rStyle w:val="normaltextrun"/>
          <w:rFonts w:ascii="Calibri" w:hAnsi="Calibri" w:cs="Calibri"/>
          <w:color w:val="4A4A4A"/>
          <w:sz w:val="21"/>
          <w:szCs w:val="21"/>
          <w:lang w:val="en-GB"/>
        </w:rPr>
        <w:t>integrated skin NTDs, human African trypanosomiasis, etc.), the country must ensure that the number of new cases detected through these activities are also reported, either through the health facilities or directly to the national level. A strong health information system is</w:t>
      </w:r>
      <w:r w:rsidR="00A51786">
        <w:rPr>
          <w:rStyle w:val="normaltextrun"/>
          <w:rFonts w:ascii="Calibri" w:hAnsi="Calibri" w:cs="Calibri"/>
          <w:color w:val="4A4A4A"/>
          <w:sz w:val="21"/>
          <w:szCs w:val="21"/>
          <w:lang w:val="en-GB"/>
        </w:rPr>
        <w:t xml:space="preserve"> </w:t>
      </w:r>
      <w:r w:rsidRPr="004E1164">
        <w:rPr>
          <w:rStyle w:val="normaltextrun"/>
          <w:rFonts w:ascii="Calibri" w:hAnsi="Calibri" w:cs="Calibri"/>
          <w:color w:val="4A4A4A"/>
          <w:sz w:val="21"/>
          <w:szCs w:val="21"/>
          <w:lang w:val="en-GB"/>
        </w:rPr>
        <w:t>essential</w:t>
      </w:r>
      <w:r w:rsidR="00A51786">
        <w:rPr>
          <w:rStyle w:val="normaltextrun"/>
          <w:rFonts w:ascii="Calibri" w:hAnsi="Calibri" w:cs="Calibri"/>
          <w:color w:val="4A4A4A"/>
          <w:sz w:val="21"/>
          <w:szCs w:val="21"/>
          <w:lang w:val="en-GB"/>
        </w:rPr>
        <w:t xml:space="preserve"> </w:t>
      </w:r>
      <w:r w:rsidRPr="004E1164">
        <w:rPr>
          <w:rStyle w:val="normaltextrun"/>
          <w:rFonts w:ascii="Calibri" w:hAnsi="Calibri" w:cs="Calibri"/>
          <w:color w:val="4A4A4A"/>
          <w:sz w:val="21"/>
          <w:szCs w:val="21"/>
          <w:lang w:val="en-GB"/>
        </w:rPr>
        <w:t>for countries to be able to collect, compile and analyse good quality information on these NTDs.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B7D67C0" w:rsidR="00EC2915" w:rsidRPr="00A96255" w:rsidRDefault="214426BB" w:rsidP="00576CFA">
      <w:pPr>
        <w:pStyle w:val="MText"/>
      </w:pPr>
      <w:r w:rsidRPr="00181441">
        <w:rPr>
          <w:rStyle w:val="normaltextrun"/>
          <w:rFonts w:ascii="Calibri" w:hAnsi="Calibri"/>
        </w:rPr>
        <w:t xml:space="preserve">A framework for monitoring and evaluating progress of the road map for neglected tropical diseases guides activities involving the development of standards, </w:t>
      </w:r>
      <w:proofErr w:type="gramStart"/>
      <w:r w:rsidRPr="00181441">
        <w:rPr>
          <w:rStyle w:val="normaltextrun"/>
          <w:rFonts w:ascii="Calibri" w:hAnsi="Calibri"/>
        </w:rPr>
        <w:t>tools</w:t>
      </w:r>
      <w:proofErr w:type="gramEnd"/>
      <w:r w:rsidRPr="00181441">
        <w:rPr>
          <w:rStyle w:val="normaltextrun"/>
          <w:rFonts w:ascii="Calibri" w:hAnsi="Calibri"/>
        </w:rPr>
        <w:t xml:space="preserve"> and methods for generating, collecting, compiling, analysing, using and disseminating high-quality data on NTDs.</w:t>
      </w:r>
      <w:r w:rsidR="2974CA20" w:rsidRPr="004645FA">
        <w:rPr>
          <w:color w:val="auto"/>
        </w:rPr>
        <w:t xml:space="preserve"> </w:t>
      </w:r>
      <w:r w:rsidR="2974CA20">
        <w:t xml:space="preserve">At WHO, the </w:t>
      </w:r>
      <w:r w:rsidR="00864D10">
        <w:t xml:space="preserve">department of </w:t>
      </w:r>
      <w:r w:rsidR="2974CA20">
        <w:t>control of neglected tropical diseases is responsible for curating and generating the statistics</w:t>
      </w:r>
      <w:r w:rsidR="00864D10">
        <w:t xml:space="preserve"> on NTDs</w:t>
      </w:r>
      <w:r w:rsidR="2974CA20">
        <w:t xml:space="preserve">, which will be </w:t>
      </w:r>
      <w:r w:rsidR="1345CC30">
        <w:t>checked</w:t>
      </w:r>
      <w:r w:rsidR="2974CA20">
        <w:t xml:space="preserve"> and validated internally by the Division of Data</w:t>
      </w:r>
      <w:r w:rsidR="00864D10">
        <w:t xml:space="preserve"> and</w:t>
      </w:r>
      <w:r w:rsidR="2974CA20">
        <w:t xml:space="preserve"> </w:t>
      </w:r>
      <w:r w:rsidR="00864D10">
        <w:t xml:space="preserve">Analytics </w:t>
      </w:r>
      <w:r w:rsidR="2974CA20">
        <w:t>before publication and dissemination.</w:t>
      </w:r>
    </w:p>
    <w:p w14:paraId="7CF3567A" w14:textId="1AAF0FE7" w:rsidR="1D7AFDF6" w:rsidRDefault="1D7AFDF6" w:rsidP="1D7AFDF6">
      <w:pPr>
        <w:pStyle w:val="MText"/>
        <w:rPr>
          <w:rFonts w:ascii="Calibri" w:hAnsi="Calibri"/>
          <w:highlight w:val="yellow"/>
        </w:rPr>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BA171DB" w14:textId="46F43869" w:rsidR="0072214E" w:rsidRDefault="0072214E" w:rsidP="00181441">
      <w:pPr>
        <w:pStyle w:val="paragraph"/>
        <w:spacing w:before="0" w:beforeAutospacing="0" w:after="0" w:afterAutospacing="0" w:line="276" w:lineRule="auto"/>
        <w:textAlignment w:val="baseline"/>
        <w:rPr>
          <w:rFonts w:ascii="Segoe UI" w:hAnsi="Segoe UI" w:cs="Segoe UI"/>
          <w:color w:val="4A4A4A"/>
          <w:sz w:val="18"/>
          <w:szCs w:val="18"/>
        </w:rPr>
      </w:pPr>
      <w:r w:rsidRPr="3A6FFEF0">
        <w:rPr>
          <w:rStyle w:val="normaltextrun"/>
          <w:rFonts w:ascii="Calibri" w:hAnsi="Calibri" w:cs="Calibri"/>
          <w:color w:val="4A4A4A"/>
          <w:sz w:val="21"/>
          <w:szCs w:val="21"/>
          <w:lang w:val="en-GB"/>
        </w:rPr>
        <w:t>A user guide and video tutorial for the joint reporting mechanism and set of reporting forms are available here:</w:t>
      </w:r>
      <w:r w:rsidR="1B758F95" w:rsidRPr="3A6FFEF0">
        <w:rPr>
          <w:rStyle w:val="normaltextrun"/>
          <w:rFonts w:ascii="Calibri" w:hAnsi="Calibri" w:cs="Calibri"/>
          <w:color w:val="0000FF"/>
          <w:sz w:val="21"/>
          <w:szCs w:val="21"/>
          <w:u w:val="single"/>
          <w:lang w:val="en-GB"/>
        </w:rPr>
        <w:t xml:space="preserve"> </w:t>
      </w:r>
      <w:proofErr w:type="gramStart"/>
      <w:r w:rsidR="00457E56" w:rsidRPr="00457E56">
        <w:rPr>
          <w:rStyle w:val="normaltextrun"/>
          <w:rFonts w:ascii="Calibri" w:hAnsi="Calibri" w:cs="Calibri"/>
          <w:color w:val="0000FF"/>
          <w:sz w:val="21"/>
          <w:szCs w:val="21"/>
          <w:u w:val="single"/>
          <w:lang w:val="en-GB"/>
        </w:rPr>
        <w:t>https://www.who.int/teams/control-of-neglected-tropical-diseases/interventions/strategies/preventive-chemotherapy/joint-application-package</w:t>
      </w:r>
      <w:proofErr w:type="gramEnd"/>
    </w:p>
    <w:p w14:paraId="7B99CDC0" w14:textId="00B32CBA" w:rsidR="0072214E" w:rsidRDefault="0072214E" w:rsidP="00181441">
      <w:pPr>
        <w:pStyle w:val="paragraph"/>
        <w:spacing w:before="0" w:beforeAutospacing="0" w:after="0" w:afterAutospacing="0" w:line="276" w:lineRule="auto"/>
        <w:textAlignment w:val="baseline"/>
        <w:rPr>
          <w:rFonts w:ascii="Segoe UI" w:hAnsi="Segoe UI" w:cs="Segoe UI"/>
          <w:color w:val="4A4A4A"/>
          <w:sz w:val="18"/>
          <w:szCs w:val="18"/>
        </w:rPr>
      </w:pPr>
      <w:r w:rsidRPr="3ECAD149">
        <w:rPr>
          <w:rStyle w:val="normaltextrun"/>
          <w:rFonts w:ascii="Calibri" w:hAnsi="Calibri" w:cs="Calibri"/>
          <w:color w:val="4A4A4A"/>
          <w:sz w:val="21"/>
          <w:szCs w:val="21"/>
          <w:lang w:val="en-GB"/>
        </w:rPr>
        <w:lastRenderedPageBreak/>
        <w:t>Details about individual NTD data are available via:</w:t>
      </w:r>
      <w:r w:rsidR="4EA7FA52" w:rsidRPr="3ECAD149">
        <w:rPr>
          <w:rStyle w:val="normaltextrun"/>
          <w:rFonts w:ascii="Calibri" w:hAnsi="Calibri" w:cs="Calibri"/>
          <w:color w:val="0000FF"/>
          <w:sz w:val="21"/>
          <w:szCs w:val="21"/>
          <w:u w:val="single"/>
          <w:lang w:val="en-GB"/>
        </w:rPr>
        <w:t xml:space="preserve"> https://www.who.int/data/gho/data/themes/neglected-tropical-diseases</w:t>
      </w:r>
      <w:r w:rsidRPr="3ECAD149">
        <w:rPr>
          <w:rStyle w:val="normaltextrun"/>
          <w:rFonts w:ascii="Calibri" w:hAnsi="Calibri" w:cs="Calibri"/>
          <w:color w:val="4A4A4A"/>
          <w:sz w:val="21"/>
          <w:szCs w:val="21"/>
          <w:lang w:val="en-GB"/>
        </w:rPr>
        <w:t>. For NTDs requiring preventive chemotherapy, reports are signed by the NTD coordinator or a Ministry of Health representative to formally endorse the country’s request for medicines (when applicable) and data. They are submitted to the WHO Representative of the concerned WHO Country office.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AA76230" w14:textId="2CEF251B" w:rsidR="00576CFA" w:rsidRPr="00A96255" w:rsidRDefault="0044642B" w:rsidP="1D7AFDF6">
      <w:pPr>
        <w:pStyle w:val="MText"/>
        <w:rPr>
          <w:rFonts w:ascii="Calibri" w:hAnsi="Calibri"/>
          <w:lang w:val="en-US"/>
        </w:rPr>
      </w:pPr>
      <w:r w:rsidRPr="1D7AFDF6">
        <w:rPr>
          <w:rFonts w:ascii="Calibri" w:eastAsia="Calibri" w:hAnsi="Calibri" w:cs="Calibri"/>
          <w:lang w:val="en-US"/>
        </w:rPr>
        <w:t xml:space="preserve">A data quality review toolkit has been developed by WHO to </w:t>
      </w:r>
      <w:r w:rsidRPr="00181441">
        <w:rPr>
          <w:rFonts w:ascii="Calibri" w:eastAsia="Calibri" w:hAnsi="Calibri"/>
          <w:lang w:val="en-US"/>
        </w:rPr>
        <w:t xml:space="preserve">provide a multi-pronged approach that ensures a comprehensive and holistic review of the quality of health facility data. WHO has also developed a field manual to guide national NTD </w:t>
      </w:r>
      <w:proofErr w:type="spellStart"/>
      <w:r w:rsidRPr="00181441">
        <w:rPr>
          <w:rFonts w:ascii="Calibri" w:eastAsia="Calibri" w:hAnsi="Calibri"/>
          <w:lang w:val="en-US"/>
        </w:rPr>
        <w:t>programmes</w:t>
      </w:r>
      <w:proofErr w:type="spellEnd"/>
      <w:r w:rsidRPr="00181441">
        <w:rPr>
          <w:rFonts w:ascii="Calibri" w:eastAsia="Calibri" w:hAnsi="Calibri"/>
          <w:lang w:val="en-US"/>
        </w:rPr>
        <w:t xml:space="preserve"> in using tools to improve data quality and information, through coverage evaluation surveys, data quality assessments and a supervisors’ coverage tool (</w:t>
      </w:r>
      <w:hyperlink r:id="rId17" w:history="1">
        <w:r w:rsidRPr="1D7AFDF6">
          <w:rPr>
            <w:rStyle w:val="Hyperlink"/>
            <w:rFonts w:ascii="Calibri" w:eastAsia="Calibri" w:hAnsi="Calibri" w:cs="Calibri"/>
            <w:sz w:val="22"/>
            <w:szCs w:val="22"/>
            <w:lang w:val="en-US"/>
          </w:rPr>
          <w:t>https://apps.who.int/iris/bitstream/handle/10665/329376/9789241516464-eng.pdf</w:t>
        </w:r>
      </w:hyperlink>
      <w:r w:rsidRPr="1D7AFDF6">
        <w:rPr>
          <w:rFonts w:ascii="Calibri" w:eastAsia="Calibri" w:hAnsi="Calibri" w:cs="Calibri"/>
          <w:lang w:val="en-US"/>
        </w:rPr>
        <w:t>)</w:t>
      </w:r>
      <w:r w:rsidRPr="1D7AFDF6">
        <w:rPr>
          <w:rFonts w:ascii="Calibri" w:eastAsia="Calibri" w:hAnsi="Calibri" w:cs="Calibri"/>
          <w:color w:val="000000" w:themeColor="text1"/>
          <w:lang w:val="en-US"/>
        </w:rPr>
        <w:t>.</w:t>
      </w:r>
    </w:p>
    <w:p w14:paraId="5B7C52CE" w14:textId="0916BAF4"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1D281B33" w14:textId="77777777" w:rsidR="00956D34" w:rsidRPr="00903E15" w:rsidRDefault="00D51E7C" w:rsidP="00576CFA">
      <w:pPr>
        <w:pStyle w:val="MText"/>
        <w:rPr>
          <w:b/>
        </w:rPr>
      </w:pPr>
      <w:r w:rsidRPr="00903E15">
        <w:rPr>
          <w:b/>
        </w:rPr>
        <w:t>Data availability:</w:t>
      </w:r>
      <w:r w:rsidR="00956D34" w:rsidRPr="00903E15">
        <w:rPr>
          <w:b/>
        </w:rPr>
        <w:t xml:space="preserve"> </w:t>
      </w:r>
    </w:p>
    <w:p w14:paraId="464A8CCF" w14:textId="44BCB579" w:rsidR="00576CFA" w:rsidRDefault="00956D34" w:rsidP="00576CFA">
      <w:pPr>
        <w:pStyle w:val="MText"/>
        <w:rPr>
          <w:rStyle w:val="eop"/>
          <w:rFonts w:ascii="Calibri" w:hAnsi="Calibri" w:cs="Calibri"/>
        </w:rPr>
      </w:pPr>
      <w:r>
        <w:rPr>
          <w:rStyle w:val="normaltextrun"/>
          <w:rFonts w:ascii="Calibri" w:hAnsi="Calibri" w:cs="Calibri"/>
        </w:rPr>
        <w:t xml:space="preserve">Data are currently being reported by </w:t>
      </w:r>
      <w:r w:rsidR="00E00D29">
        <w:rPr>
          <w:rStyle w:val="normaltextrun"/>
          <w:rFonts w:ascii="Calibri" w:hAnsi="Calibri" w:cs="Calibri"/>
        </w:rPr>
        <w:t>WHO Member States</w:t>
      </w:r>
      <w:r>
        <w:rPr>
          <w:rStyle w:val="normaltextrun"/>
          <w:rFonts w:ascii="Calibri" w:hAnsi="Calibri" w:cs="Calibri"/>
        </w:rPr>
        <w:t>, with good coverage of all regions.</w:t>
      </w:r>
    </w:p>
    <w:p w14:paraId="2D0542F7" w14:textId="4D4EF2BA" w:rsidR="00D51E7C" w:rsidRPr="00C019E5" w:rsidRDefault="00D51E7C" w:rsidP="00576CFA">
      <w:pPr>
        <w:pStyle w:val="MText"/>
        <w:rPr>
          <w:highlight w:val="cyan"/>
        </w:rPr>
      </w:pPr>
    </w:p>
    <w:p w14:paraId="5853D6F7" w14:textId="44EE14E1" w:rsidR="00D51E7C" w:rsidRPr="00903E15" w:rsidRDefault="00D51E7C" w:rsidP="00576CFA">
      <w:pPr>
        <w:pStyle w:val="MText"/>
        <w:rPr>
          <w:b/>
        </w:rPr>
      </w:pPr>
      <w:r w:rsidRPr="00903E15">
        <w:rPr>
          <w:b/>
        </w:rPr>
        <w:t>Time series:</w:t>
      </w:r>
    </w:p>
    <w:p w14:paraId="2B1B1673" w14:textId="663CCFF7" w:rsidR="4E23C830" w:rsidRPr="004645FA" w:rsidRDefault="4E23C830" w:rsidP="3ECAD149">
      <w:pPr>
        <w:pStyle w:val="MText"/>
        <w:rPr>
          <w:rStyle w:val="normaltextrun"/>
          <w:rFonts w:ascii="Calibri" w:hAnsi="Calibri" w:cs="Calibri"/>
        </w:rPr>
      </w:pPr>
      <w:r w:rsidRPr="004645FA">
        <w:rPr>
          <w:rStyle w:val="normaltextrun"/>
          <w:rFonts w:ascii="Calibri" w:hAnsi="Calibri" w:cs="Calibri"/>
        </w:rPr>
        <w:t>2010-</w:t>
      </w:r>
      <w:r w:rsidR="00FF3FFB" w:rsidRPr="004645FA">
        <w:rPr>
          <w:rStyle w:val="normaltextrun"/>
          <w:rFonts w:ascii="Calibri" w:hAnsi="Calibri" w:cs="Calibri"/>
        </w:rPr>
        <w:t>20</w:t>
      </w:r>
      <w:r w:rsidR="00FF3FFB">
        <w:rPr>
          <w:rStyle w:val="normaltextrun"/>
          <w:rFonts w:ascii="Calibri" w:hAnsi="Calibri" w:cs="Calibri"/>
        </w:rPr>
        <w:t>22</w:t>
      </w:r>
    </w:p>
    <w:p w14:paraId="760C013A" w14:textId="4597FCBD" w:rsidR="00D51E7C" w:rsidRPr="00C019E5" w:rsidRDefault="00D51E7C" w:rsidP="00576CFA">
      <w:pPr>
        <w:pStyle w:val="MText"/>
        <w:rPr>
          <w:highlight w:val="cyan"/>
        </w:rPr>
      </w:pPr>
    </w:p>
    <w:p w14:paraId="01CD59A9" w14:textId="2E584983" w:rsidR="0072214E" w:rsidRPr="00903E15" w:rsidRDefault="00D51E7C" w:rsidP="004F1F9D">
      <w:pPr>
        <w:pStyle w:val="MText"/>
        <w:rPr>
          <w:b/>
        </w:rPr>
      </w:pPr>
      <w:r w:rsidRPr="00903E15">
        <w:rPr>
          <w:b/>
        </w:rPr>
        <w:t>Disaggregation:</w:t>
      </w:r>
      <w:r w:rsidR="0072214E" w:rsidRPr="00903E15">
        <w:rPr>
          <w:b/>
        </w:rPr>
        <w:t xml:space="preserve"> </w:t>
      </w:r>
    </w:p>
    <w:p w14:paraId="27DB2AFF" w14:textId="0AC1FAB7" w:rsidR="0072214E" w:rsidRDefault="0072214E" w:rsidP="2B56C6B7">
      <w:pPr>
        <w:pStyle w:val="MText"/>
        <w:rPr>
          <w:rStyle w:val="eop"/>
          <w:rFonts w:ascii="Calibri" w:hAnsi="Calibri" w:cs="Calibri"/>
        </w:rPr>
      </w:pPr>
      <w:r w:rsidRPr="2B56C6B7">
        <w:rPr>
          <w:rStyle w:val="normaltextrun"/>
          <w:rFonts w:ascii="Calibri" w:hAnsi="Calibri" w:cs="Calibri"/>
        </w:rPr>
        <w:t>Disaggregation by disease is required; ending the epidemic of NTDs requires a reduction in the number of people requiring interventions for each NTD.</w:t>
      </w:r>
    </w:p>
    <w:p w14:paraId="1E0D3ED9" w14:textId="6E74ED9D" w:rsidR="0072214E" w:rsidRDefault="0072214E" w:rsidP="004F1F9D">
      <w:pPr>
        <w:pStyle w:val="MText"/>
        <w:rPr>
          <w:rFonts w:ascii="Segoe UI" w:hAnsi="Segoe UI" w:cs="Segoe UI"/>
          <w:sz w:val="18"/>
          <w:szCs w:val="18"/>
        </w:rPr>
      </w:pPr>
      <w:r>
        <w:rPr>
          <w:rStyle w:val="normaltextrun"/>
          <w:rFonts w:ascii="Calibri" w:hAnsi="Calibri" w:cs="Calibri"/>
        </w:rPr>
        <w:t>Disaggregation by age is required for PC: preschool-aged children (1-4 years), school-aged (5-14 years) and adults (= 15 years</w:t>
      </w:r>
      <w:r w:rsidR="008E4F19">
        <w:rPr>
          <w:rStyle w:val="normaltextrun"/>
          <w:rFonts w:ascii="Calibri" w:hAnsi="Calibri" w:cs="Calibri"/>
        </w:rPr>
        <w:t>+</w:t>
      </w:r>
      <w:r>
        <w:rPr>
          <w:rStyle w:val="normaltextrun"/>
          <w:rFonts w:ascii="Calibri" w:hAnsi="Calibri" w:cs="Calibri"/>
        </w:rPr>
        <w:t>).</w:t>
      </w:r>
    </w:p>
    <w:p w14:paraId="42E8CA56" w14:textId="47570B82"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33F70AB7" w:rsidR="00D51E7C" w:rsidRPr="00903E15" w:rsidRDefault="00D51E7C" w:rsidP="008E4F19">
      <w:pPr>
        <w:pStyle w:val="MText"/>
        <w:rPr>
          <w:b/>
        </w:rPr>
      </w:pPr>
      <w:r w:rsidRPr="00903E15">
        <w:rPr>
          <w:b/>
        </w:rPr>
        <w:t>Sources of discrepancies:</w:t>
      </w:r>
    </w:p>
    <w:p w14:paraId="4306A075" w14:textId="16CC9407" w:rsidR="0072214E" w:rsidRDefault="0072214E"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Countries do not typically aggregate their data across NTDs, but if they applied the aggregation method as described above, they would obtain the same number. The only exceptions would be countries with one or more missing values for individual NTDs. In these exceptional cases, internationally estimated aggregates will be higher than country produced aggregates that assume missing values are nil. We present best estimates with uncertainty intervals to highlight those missing values that have a significant impact on country aggregates, until such time that missing values are reported.</w:t>
      </w:r>
    </w:p>
    <w:p w14:paraId="5AB6DD91" w14:textId="5B5263D4"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4294EF7C" w14:textId="41578AEA"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URL:</w:t>
      </w:r>
    </w:p>
    <w:p w14:paraId="07FCB667" w14:textId="257AE507" w:rsidR="00956D34" w:rsidRDefault="00457E56" w:rsidP="00956D34">
      <w:pPr>
        <w:pStyle w:val="paragraph"/>
        <w:shd w:val="clear" w:color="auto" w:fill="FFFFFF"/>
        <w:spacing w:before="0" w:beforeAutospacing="0" w:after="0" w:afterAutospacing="0"/>
        <w:textAlignment w:val="baseline"/>
        <w:rPr>
          <w:rFonts w:ascii="Segoe UI" w:hAnsi="Segoe UI" w:cs="Segoe UI"/>
          <w:sz w:val="18"/>
          <w:szCs w:val="18"/>
        </w:rPr>
      </w:pPr>
      <w:r w:rsidRPr="00457E56">
        <w:rPr>
          <w:rStyle w:val="normaltextrun"/>
          <w:rFonts w:ascii="Calibri" w:hAnsi="Calibri" w:cs="Calibri"/>
          <w:color w:val="0000FF"/>
          <w:sz w:val="21"/>
          <w:szCs w:val="21"/>
          <w:u w:val="single"/>
          <w:lang w:val="en-GB"/>
        </w:rPr>
        <w:t>https://www.who.int/teams/control-of-neglected-tropical-diseases/overview</w:t>
      </w:r>
      <w:r w:rsidR="00956D34">
        <w:rPr>
          <w:rStyle w:val="eop"/>
          <w:color w:val="4A4A4A"/>
          <w:sz w:val="21"/>
          <w:szCs w:val="21"/>
        </w:rPr>
        <w:t> </w:t>
      </w:r>
    </w:p>
    <w:p w14:paraId="04EE3BCD" w14:textId="76B10AF1" w:rsidR="00956D34" w:rsidRDefault="00956D34" w:rsidP="00956D34">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b/>
          <w:bCs/>
          <w:color w:val="4A4A4A"/>
          <w:sz w:val="21"/>
          <w:szCs w:val="21"/>
          <w:lang w:val="en-GB"/>
        </w:rPr>
        <w:t>References:</w:t>
      </w:r>
    </w:p>
    <w:p w14:paraId="33AEA23E" w14:textId="4D92F5E5" w:rsidR="00457E56" w:rsidRPr="00703742" w:rsidRDefault="00457E56" w:rsidP="00956D34">
      <w:pPr>
        <w:pStyle w:val="paragraph"/>
        <w:shd w:val="clear" w:color="auto" w:fill="FFFFFF"/>
        <w:spacing w:before="0" w:beforeAutospacing="0" w:after="0" w:afterAutospacing="0"/>
        <w:textAlignment w:val="baseline"/>
        <w:rPr>
          <w:rFonts w:asciiTheme="minorHAnsi" w:hAnsiTheme="minorHAnsi" w:cstheme="minorHAnsi"/>
          <w:sz w:val="21"/>
          <w:szCs w:val="21"/>
        </w:rPr>
      </w:pPr>
    </w:p>
    <w:p w14:paraId="025B1A72" w14:textId="77777777" w:rsidR="00703742" w:rsidRDefault="00703742" w:rsidP="00956D34">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703742">
        <w:rPr>
          <w:rFonts w:asciiTheme="minorHAnsi" w:hAnsiTheme="minorHAnsi" w:cstheme="minorHAnsi"/>
          <w:sz w:val="21"/>
          <w:szCs w:val="21"/>
        </w:rPr>
        <w:t>Global report on neglected tropical diseases 2023. Geneva: World Health Organization; 2023</w:t>
      </w:r>
    </w:p>
    <w:p w14:paraId="19F03613" w14:textId="565BC945" w:rsidR="00457E56" w:rsidRPr="00703742" w:rsidRDefault="00703742" w:rsidP="00956D34">
      <w:pPr>
        <w:pStyle w:val="paragraph"/>
        <w:shd w:val="clear" w:color="auto" w:fill="FFFFFF"/>
        <w:spacing w:before="0" w:beforeAutospacing="0" w:after="0" w:afterAutospacing="0"/>
        <w:textAlignment w:val="baseline"/>
        <w:rPr>
          <w:rFonts w:asciiTheme="minorHAnsi" w:hAnsiTheme="minorHAnsi" w:cstheme="minorHAnsi"/>
          <w:sz w:val="21"/>
          <w:szCs w:val="21"/>
        </w:rPr>
      </w:pPr>
      <w:r>
        <w:rPr>
          <w:rFonts w:asciiTheme="minorHAnsi" w:hAnsiTheme="minorHAnsi" w:cstheme="minorHAnsi"/>
          <w:sz w:val="21"/>
          <w:szCs w:val="21"/>
        </w:rPr>
        <w:t>(</w:t>
      </w:r>
      <w:hyperlink r:id="rId18" w:history="1">
        <w:r w:rsidRPr="00703742">
          <w:rPr>
            <w:rStyle w:val="Hyperlink"/>
            <w:rFonts w:asciiTheme="minorHAnsi" w:hAnsiTheme="minorHAnsi" w:cstheme="minorHAnsi"/>
            <w:sz w:val="21"/>
            <w:szCs w:val="21"/>
          </w:rPr>
          <w:t>https://www.who.int/publications/i/item/9789240067295</w:t>
        </w:r>
      </w:hyperlink>
      <w:r w:rsidRPr="00703742">
        <w:rPr>
          <w:rFonts w:asciiTheme="minorHAnsi" w:hAnsiTheme="minorHAnsi" w:cstheme="minorHAnsi"/>
          <w:sz w:val="21"/>
          <w:szCs w:val="21"/>
        </w:rPr>
        <w:t>, accessed 8 February 2023</w:t>
      </w:r>
      <w:r>
        <w:rPr>
          <w:rFonts w:asciiTheme="minorHAnsi" w:hAnsiTheme="minorHAnsi" w:cstheme="minorHAnsi"/>
          <w:sz w:val="21"/>
          <w:szCs w:val="21"/>
        </w:rPr>
        <w:t>).</w:t>
      </w:r>
    </w:p>
    <w:p w14:paraId="5B0B1EF1" w14:textId="77777777" w:rsidR="00457E56" w:rsidRPr="00703742" w:rsidRDefault="00457E56" w:rsidP="00956D34">
      <w:pPr>
        <w:pStyle w:val="paragraph"/>
        <w:shd w:val="clear" w:color="auto" w:fill="FFFFFF"/>
        <w:spacing w:before="0" w:beforeAutospacing="0" w:after="0" w:afterAutospacing="0"/>
        <w:textAlignment w:val="baseline"/>
        <w:rPr>
          <w:rFonts w:asciiTheme="minorHAnsi" w:hAnsiTheme="minorHAnsi" w:cstheme="minorHAnsi"/>
          <w:sz w:val="21"/>
          <w:szCs w:val="21"/>
        </w:rPr>
      </w:pPr>
    </w:p>
    <w:p w14:paraId="7A1E729D" w14:textId="3EA8099E" w:rsidR="7A396900" w:rsidRPr="004645FA" w:rsidRDefault="7A396900" w:rsidP="00181441">
      <w:pPr>
        <w:pStyle w:val="paragraph"/>
        <w:shd w:val="clear" w:color="auto" w:fill="FFFFFF" w:themeFill="background1"/>
        <w:spacing w:before="0" w:beforeAutospacing="0" w:after="0" w:afterAutospacing="0" w:line="276" w:lineRule="auto"/>
        <w:rPr>
          <w:rStyle w:val="normaltextrun"/>
          <w:rFonts w:asciiTheme="minorHAnsi" w:eastAsiaTheme="minorEastAsia" w:hAnsiTheme="minorHAnsi" w:cstheme="minorBidi"/>
          <w:color w:val="4A4A4A"/>
          <w:sz w:val="22"/>
          <w:szCs w:val="22"/>
          <w:lang w:val="en-GB" w:eastAsia="zh-CN"/>
        </w:rPr>
      </w:pPr>
      <w:r w:rsidRPr="00703742">
        <w:rPr>
          <w:rStyle w:val="normaltextrun"/>
          <w:rFonts w:asciiTheme="minorHAnsi" w:hAnsiTheme="minorHAnsi" w:cstheme="minorHAnsi"/>
          <w:color w:val="4A4A4A"/>
          <w:sz w:val="21"/>
          <w:szCs w:val="21"/>
          <w:lang w:val="en-GB"/>
        </w:rPr>
        <w:lastRenderedPageBreak/>
        <w:t>Ending the neglect to attain the Sustainable Development Goals: A road map</w:t>
      </w:r>
      <w:r w:rsidRPr="004645FA">
        <w:rPr>
          <w:rStyle w:val="normaltextrun"/>
          <w:rFonts w:ascii="Calibri" w:hAnsi="Calibri" w:cs="Calibri"/>
          <w:color w:val="4A4A4A"/>
          <w:sz w:val="21"/>
          <w:szCs w:val="21"/>
          <w:lang w:val="en-GB"/>
        </w:rPr>
        <w:t xml:space="preserve"> for neglected tropical diseases 2021–2030. </w:t>
      </w:r>
      <w:bookmarkStart w:id="5" w:name="_Hlk126579179"/>
      <w:r w:rsidRPr="004645FA">
        <w:rPr>
          <w:rStyle w:val="normaltextrun"/>
          <w:rFonts w:ascii="Calibri" w:hAnsi="Calibri" w:cs="Calibri"/>
          <w:color w:val="4A4A4A"/>
          <w:sz w:val="21"/>
          <w:szCs w:val="21"/>
          <w:lang w:val="en-GB"/>
        </w:rPr>
        <w:t xml:space="preserve">Geneva: World Health Organization; 2021 </w:t>
      </w:r>
      <w:bookmarkEnd w:id="5"/>
      <w:r w:rsidRPr="004645FA">
        <w:rPr>
          <w:rStyle w:val="normaltextrun"/>
          <w:rFonts w:ascii="Calibri" w:hAnsi="Calibri" w:cs="Calibri"/>
          <w:color w:val="4A4A4A"/>
          <w:sz w:val="21"/>
          <w:szCs w:val="21"/>
          <w:lang w:val="en-GB"/>
        </w:rPr>
        <w:t>(</w:t>
      </w:r>
      <w:hyperlink r:id="rId19" w:history="1">
        <w:r w:rsidR="008F07DF" w:rsidRPr="00ED2715">
          <w:rPr>
            <w:rStyle w:val="Hyperlink"/>
            <w:rFonts w:ascii="Calibri" w:hAnsi="Calibri"/>
            <w:sz w:val="21"/>
          </w:rPr>
          <w:t>https://www.who.int/publications/i/item/9789240010352</w:t>
        </w:r>
      </w:hyperlink>
      <w:r w:rsidRPr="3ECAD149">
        <w:rPr>
          <w:rStyle w:val="eop"/>
          <w:rFonts w:ascii="Calibri" w:hAnsi="Calibri" w:cs="Calibri"/>
          <w:sz w:val="21"/>
          <w:szCs w:val="21"/>
        </w:rPr>
        <w:t xml:space="preserve">, </w:t>
      </w:r>
      <w:r w:rsidRPr="00181441">
        <w:rPr>
          <w:rStyle w:val="normaltextrun"/>
          <w:rFonts w:asciiTheme="minorHAnsi" w:hAnsiTheme="minorHAnsi"/>
          <w:color w:val="4A4A4A"/>
          <w:sz w:val="21"/>
          <w:lang w:val="en-GB"/>
        </w:rPr>
        <w:t xml:space="preserve">accessed </w:t>
      </w:r>
      <w:r w:rsidR="00457E56">
        <w:rPr>
          <w:rStyle w:val="normaltextrun"/>
          <w:rFonts w:asciiTheme="minorHAnsi" w:hAnsiTheme="minorHAnsi"/>
          <w:color w:val="4A4A4A"/>
          <w:sz w:val="21"/>
          <w:lang w:val="en-GB"/>
        </w:rPr>
        <w:t>8</w:t>
      </w:r>
      <w:r w:rsidR="00457E56" w:rsidRPr="00181441">
        <w:rPr>
          <w:rStyle w:val="normaltextrun"/>
          <w:rFonts w:asciiTheme="minorHAnsi" w:hAnsiTheme="minorHAnsi"/>
          <w:color w:val="4A4A4A"/>
          <w:sz w:val="21"/>
          <w:lang w:val="en-GB"/>
        </w:rPr>
        <w:t xml:space="preserve"> </w:t>
      </w:r>
      <w:r w:rsidRPr="00181441">
        <w:rPr>
          <w:rStyle w:val="normaltextrun"/>
          <w:rFonts w:asciiTheme="minorHAnsi" w:hAnsiTheme="minorHAnsi"/>
          <w:color w:val="4A4A4A"/>
          <w:sz w:val="21"/>
          <w:lang w:val="en-GB"/>
        </w:rPr>
        <w:t xml:space="preserve">February </w:t>
      </w:r>
      <w:r w:rsidR="00457E56" w:rsidRPr="00181441">
        <w:rPr>
          <w:rStyle w:val="normaltextrun"/>
          <w:rFonts w:asciiTheme="minorHAnsi" w:hAnsiTheme="minorHAnsi"/>
          <w:color w:val="4A4A4A"/>
          <w:sz w:val="21"/>
          <w:lang w:val="en-GB"/>
        </w:rPr>
        <w:t>202</w:t>
      </w:r>
      <w:r w:rsidR="00457E56">
        <w:rPr>
          <w:rStyle w:val="normaltextrun"/>
          <w:rFonts w:asciiTheme="minorHAnsi" w:hAnsiTheme="minorHAnsi"/>
          <w:color w:val="4A4A4A"/>
          <w:sz w:val="21"/>
          <w:lang w:val="en-GB"/>
        </w:rPr>
        <w:t>3</w:t>
      </w:r>
      <w:r w:rsidRPr="00181441">
        <w:rPr>
          <w:rStyle w:val="normaltextrun"/>
          <w:rFonts w:asciiTheme="minorHAnsi" w:hAnsiTheme="minorHAnsi"/>
          <w:color w:val="4A4A4A"/>
          <w:sz w:val="21"/>
          <w:lang w:val="en-GB"/>
        </w:rPr>
        <w:t>).</w:t>
      </w:r>
    </w:p>
    <w:p w14:paraId="4EB428D4" w14:textId="2CE7B2BD" w:rsidR="002B63C9" w:rsidRDefault="002B63C9" w:rsidP="3ECAD149">
      <w:pPr>
        <w:pStyle w:val="paragraph"/>
        <w:shd w:val="clear" w:color="auto" w:fill="FFFFFF" w:themeFill="background1"/>
        <w:spacing w:before="0" w:beforeAutospacing="0" w:after="0" w:afterAutospacing="0"/>
        <w:textAlignment w:val="baseline"/>
        <w:rPr>
          <w:rStyle w:val="normaltextrun"/>
          <w:rFonts w:ascii="Calibri" w:hAnsi="Calibri" w:cs="Calibri"/>
          <w:color w:val="4A4A4A"/>
          <w:sz w:val="21"/>
          <w:szCs w:val="21"/>
          <w:lang w:val="en-GB"/>
        </w:rPr>
      </w:pPr>
    </w:p>
    <w:p w14:paraId="4FC0C976" w14:textId="0E88E6BA" w:rsidR="00703742" w:rsidRDefault="00703742" w:rsidP="3ECAD149">
      <w:pPr>
        <w:pStyle w:val="paragraph"/>
        <w:shd w:val="clear" w:color="auto" w:fill="FFFFFF" w:themeFill="background1"/>
        <w:spacing w:before="0" w:beforeAutospacing="0" w:after="0" w:afterAutospacing="0"/>
        <w:textAlignment w:val="baseline"/>
        <w:rPr>
          <w:rStyle w:val="normaltextrun"/>
          <w:rFonts w:ascii="Calibri" w:hAnsi="Calibri" w:cs="Calibri"/>
          <w:color w:val="4A4A4A"/>
          <w:sz w:val="21"/>
          <w:szCs w:val="21"/>
          <w:lang w:val="en-GB"/>
        </w:rPr>
      </w:pPr>
      <w:r w:rsidRPr="00703742">
        <w:rPr>
          <w:rStyle w:val="normaltextrun"/>
          <w:rFonts w:ascii="Calibri" w:hAnsi="Calibri" w:cs="Calibri"/>
          <w:color w:val="4A4A4A"/>
          <w:sz w:val="21"/>
          <w:szCs w:val="21"/>
          <w:lang w:val="en-GB"/>
        </w:rPr>
        <w:t>A compendium of indicators for monitoring and evaluating progress of the road map for neglected tropical diseases 2021–2030</w:t>
      </w:r>
      <w:r w:rsidR="00F24F0E">
        <w:rPr>
          <w:rStyle w:val="normaltextrun"/>
          <w:rFonts w:ascii="Calibri" w:hAnsi="Calibri" w:cs="Calibri"/>
          <w:color w:val="4A4A4A"/>
          <w:sz w:val="21"/>
          <w:szCs w:val="21"/>
          <w:lang w:val="en-GB"/>
        </w:rPr>
        <w:t>,</w:t>
      </w:r>
    </w:p>
    <w:p w14:paraId="384B0992" w14:textId="467B472B" w:rsidR="00186795" w:rsidRPr="00F24F0E" w:rsidRDefault="00F24F0E" w:rsidP="00F24F0E">
      <w:pPr>
        <w:pStyle w:val="paragraph"/>
        <w:shd w:val="clear" w:color="auto" w:fill="FFFFFF" w:themeFill="background1"/>
        <w:spacing w:before="0" w:beforeAutospacing="0" w:after="0" w:afterAutospacing="0" w:line="276" w:lineRule="auto"/>
        <w:rPr>
          <w:rFonts w:ascii="Calibri" w:hAnsi="Calibri"/>
          <w:sz w:val="21"/>
        </w:rPr>
      </w:pPr>
      <w:r w:rsidRPr="00F24F0E">
        <w:rPr>
          <w:rFonts w:ascii="Calibri" w:hAnsi="Calibri"/>
          <w:sz w:val="21"/>
        </w:rPr>
        <w:t>(</w:t>
      </w:r>
      <w:hyperlink r:id="rId20" w:history="1">
        <w:r w:rsidRPr="00F24F0E">
          <w:rPr>
            <w:rStyle w:val="Hyperlink"/>
            <w:rFonts w:ascii="Calibri" w:hAnsi="Calibri"/>
            <w:sz w:val="21"/>
          </w:rPr>
          <w:t>https://iris.who.int/handle/10665/365511</w:t>
        </w:r>
      </w:hyperlink>
      <w:r w:rsidRPr="00F24F0E">
        <w:rPr>
          <w:rFonts w:ascii="Calibri" w:hAnsi="Calibri"/>
          <w:sz w:val="21"/>
        </w:rPr>
        <w:t xml:space="preserve">, </w:t>
      </w:r>
      <w:r>
        <w:rPr>
          <w:rFonts w:ascii="Calibri" w:hAnsi="Calibri"/>
          <w:sz w:val="21"/>
        </w:rPr>
        <w:t>accessed 8 February 2024).</w:t>
      </w:r>
    </w:p>
    <w:sectPr w:rsidR="00186795" w:rsidRPr="00F24F0E">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6FC2B" w14:textId="77777777" w:rsidR="009602EF" w:rsidRDefault="009602EF" w:rsidP="00573C0B">
      <w:pPr>
        <w:spacing w:after="0" w:line="240" w:lineRule="auto"/>
      </w:pPr>
      <w:r>
        <w:separator/>
      </w:r>
    </w:p>
  </w:endnote>
  <w:endnote w:type="continuationSeparator" w:id="0">
    <w:p w14:paraId="523F8724" w14:textId="77777777" w:rsidR="009602EF" w:rsidRDefault="009602EF" w:rsidP="00573C0B">
      <w:pPr>
        <w:spacing w:after="0" w:line="240" w:lineRule="auto"/>
      </w:pPr>
      <w:r>
        <w:continuationSeparator/>
      </w:r>
    </w:p>
  </w:endnote>
  <w:endnote w:type="continuationNotice" w:id="1">
    <w:p w14:paraId="5A204793" w14:textId="77777777" w:rsidR="009602EF" w:rsidRDefault="009602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ECAD149" w14:paraId="26DC8119" w14:textId="77777777" w:rsidTr="00CD31C9">
      <w:tc>
        <w:tcPr>
          <w:tcW w:w="3005" w:type="dxa"/>
        </w:tcPr>
        <w:p w14:paraId="2DB3E9B2" w14:textId="4BFC0D81" w:rsidR="3ECAD149" w:rsidRDefault="3ECAD149" w:rsidP="00CD31C9">
          <w:pPr>
            <w:pStyle w:val="Header"/>
            <w:ind w:left="-115"/>
          </w:pPr>
        </w:p>
      </w:tc>
      <w:tc>
        <w:tcPr>
          <w:tcW w:w="3005" w:type="dxa"/>
        </w:tcPr>
        <w:p w14:paraId="21C5E083" w14:textId="6DE70BCF" w:rsidR="3ECAD149" w:rsidRDefault="3ECAD149" w:rsidP="00CD31C9">
          <w:pPr>
            <w:pStyle w:val="Header"/>
            <w:jc w:val="center"/>
          </w:pPr>
        </w:p>
      </w:tc>
      <w:tc>
        <w:tcPr>
          <w:tcW w:w="3005" w:type="dxa"/>
        </w:tcPr>
        <w:p w14:paraId="63232060" w14:textId="3996F2C9" w:rsidR="3ECAD149" w:rsidRDefault="3ECAD149" w:rsidP="00CD31C9">
          <w:pPr>
            <w:pStyle w:val="Header"/>
            <w:ind w:right="-115"/>
            <w:jc w:val="right"/>
          </w:pPr>
        </w:p>
      </w:tc>
    </w:tr>
  </w:tbl>
  <w:p w14:paraId="518D5AAD" w14:textId="1D94D0E5" w:rsidR="3ECAD149" w:rsidRDefault="3ECAD149" w:rsidP="00CD3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05813" w14:textId="77777777" w:rsidR="009602EF" w:rsidRDefault="009602EF" w:rsidP="00573C0B">
      <w:pPr>
        <w:spacing w:after="0" w:line="240" w:lineRule="auto"/>
      </w:pPr>
      <w:r>
        <w:separator/>
      </w:r>
    </w:p>
  </w:footnote>
  <w:footnote w:type="continuationSeparator" w:id="0">
    <w:p w14:paraId="790343D3" w14:textId="77777777" w:rsidR="009602EF" w:rsidRDefault="009602EF" w:rsidP="00573C0B">
      <w:pPr>
        <w:spacing w:after="0" w:line="240" w:lineRule="auto"/>
      </w:pPr>
      <w:r>
        <w:continuationSeparator/>
      </w:r>
    </w:p>
  </w:footnote>
  <w:footnote w:type="continuationNotice" w:id="1">
    <w:p w14:paraId="020EAD9F" w14:textId="77777777" w:rsidR="009602EF" w:rsidRDefault="009602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04B1F52C"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971FDB">
      <w:rPr>
        <w:color w:val="404040" w:themeColor="text1" w:themeTint="BF"/>
        <w:sz w:val="18"/>
        <w:szCs w:val="18"/>
      </w:rPr>
      <w:t>2024-03-28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D15E3"/>
    <w:multiLevelType w:val="hybridMultilevel"/>
    <w:tmpl w:val="A5A2C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E93280"/>
    <w:multiLevelType w:val="hybridMultilevel"/>
    <w:tmpl w:val="1F3EDB34"/>
    <w:lvl w:ilvl="0" w:tplc="37A2B3C6">
      <w:start w:val="1"/>
      <w:numFmt w:val="bullet"/>
      <w:lvlText w:val=""/>
      <w:lvlJc w:val="left"/>
      <w:pPr>
        <w:tabs>
          <w:tab w:val="num" w:pos="720"/>
        </w:tabs>
        <w:ind w:left="720" w:hanging="360"/>
      </w:pPr>
      <w:rPr>
        <w:rFonts w:ascii="Symbol" w:hAnsi="Symbol" w:hint="default"/>
        <w:sz w:val="20"/>
      </w:rPr>
    </w:lvl>
    <w:lvl w:ilvl="1" w:tplc="586EE656" w:tentative="1">
      <w:start w:val="1"/>
      <w:numFmt w:val="bullet"/>
      <w:lvlText w:val=""/>
      <w:lvlJc w:val="left"/>
      <w:pPr>
        <w:tabs>
          <w:tab w:val="num" w:pos="1440"/>
        </w:tabs>
        <w:ind w:left="1440" w:hanging="360"/>
      </w:pPr>
      <w:rPr>
        <w:rFonts w:ascii="Symbol" w:hAnsi="Symbol" w:hint="default"/>
        <w:sz w:val="20"/>
      </w:rPr>
    </w:lvl>
    <w:lvl w:ilvl="2" w:tplc="F71A2DFC" w:tentative="1">
      <w:start w:val="1"/>
      <w:numFmt w:val="bullet"/>
      <w:lvlText w:val=""/>
      <w:lvlJc w:val="left"/>
      <w:pPr>
        <w:tabs>
          <w:tab w:val="num" w:pos="2160"/>
        </w:tabs>
        <w:ind w:left="2160" w:hanging="360"/>
      </w:pPr>
      <w:rPr>
        <w:rFonts w:ascii="Symbol" w:hAnsi="Symbol" w:hint="default"/>
        <w:sz w:val="20"/>
      </w:rPr>
    </w:lvl>
    <w:lvl w:ilvl="3" w:tplc="75F0D316" w:tentative="1">
      <w:start w:val="1"/>
      <w:numFmt w:val="bullet"/>
      <w:lvlText w:val=""/>
      <w:lvlJc w:val="left"/>
      <w:pPr>
        <w:tabs>
          <w:tab w:val="num" w:pos="2880"/>
        </w:tabs>
        <w:ind w:left="2880" w:hanging="360"/>
      </w:pPr>
      <w:rPr>
        <w:rFonts w:ascii="Symbol" w:hAnsi="Symbol" w:hint="default"/>
        <w:sz w:val="20"/>
      </w:rPr>
    </w:lvl>
    <w:lvl w:ilvl="4" w:tplc="731093B2" w:tentative="1">
      <w:start w:val="1"/>
      <w:numFmt w:val="bullet"/>
      <w:lvlText w:val=""/>
      <w:lvlJc w:val="left"/>
      <w:pPr>
        <w:tabs>
          <w:tab w:val="num" w:pos="3600"/>
        </w:tabs>
        <w:ind w:left="3600" w:hanging="360"/>
      </w:pPr>
      <w:rPr>
        <w:rFonts w:ascii="Symbol" w:hAnsi="Symbol" w:hint="default"/>
        <w:sz w:val="20"/>
      </w:rPr>
    </w:lvl>
    <w:lvl w:ilvl="5" w:tplc="99AE572A" w:tentative="1">
      <w:start w:val="1"/>
      <w:numFmt w:val="bullet"/>
      <w:lvlText w:val=""/>
      <w:lvlJc w:val="left"/>
      <w:pPr>
        <w:tabs>
          <w:tab w:val="num" w:pos="4320"/>
        </w:tabs>
        <w:ind w:left="4320" w:hanging="360"/>
      </w:pPr>
      <w:rPr>
        <w:rFonts w:ascii="Symbol" w:hAnsi="Symbol" w:hint="default"/>
        <w:sz w:val="20"/>
      </w:rPr>
    </w:lvl>
    <w:lvl w:ilvl="6" w:tplc="51268524" w:tentative="1">
      <w:start w:val="1"/>
      <w:numFmt w:val="bullet"/>
      <w:lvlText w:val=""/>
      <w:lvlJc w:val="left"/>
      <w:pPr>
        <w:tabs>
          <w:tab w:val="num" w:pos="5040"/>
        </w:tabs>
        <w:ind w:left="5040" w:hanging="360"/>
      </w:pPr>
      <w:rPr>
        <w:rFonts w:ascii="Symbol" w:hAnsi="Symbol" w:hint="default"/>
        <w:sz w:val="20"/>
      </w:rPr>
    </w:lvl>
    <w:lvl w:ilvl="7" w:tplc="23FCD232" w:tentative="1">
      <w:start w:val="1"/>
      <w:numFmt w:val="bullet"/>
      <w:lvlText w:val=""/>
      <w:lvlJc w:val="left"/>
      <w:pPr>
        <w:tabs>
          <w:tab w:val="num" w:pos="5760"/>
        </w:tabs>
        <w:ind w:left="5760" w:hanging="360"/>
      </w:pPr>
      <w:rPr>
        <w:rFonts w:ascii="Symbol" w:hAnsi="Symbol" w:hint="default"/>
        <w:sz w:val="20"/>
      </w:rPr>
    </w:lvl>
    <w:lvl w:ilvl="8" w:tplc="76FC058C"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160644"/>
    <w:multiLevelType w:val="hybridMultilevel"/>
    <w:tmpl w:val="13A89648"/>
    <w:lvl w:ilvl="0" w:tplc="05B8A03E">
      <w:start w:val="1"/>
      <w:numFmt w:val="bullet"/>
      <w:lvlText w:val=""/>
      <w:lvlJc w:val="left"/>
      <w:pPr>
        <w:tabs>
          <w:tab w:val="num" w:pos="720"/>
        </w:tabs>
        <w:ind w:left="720" w:hanging="360"/>
      </w:pPr>
      <w:rPr>
        <w:rFonts w:ascii="Symbol" w:hAnsi="Symbol" w:hint="default"/>
        <w:sz w:val="20"/>
      </w:rPr>
    </w:lvl>
    <w:lvl w:ilvl="1" w:tplc="0C6E4A52" w:tentative="1">
      <w:start w:val="1"/>
      <w:numFmt w:val="bullet"/>
      <w:lvlText w:val=""/>
      <w:lvlJc w:val="left"/>
      <w:pPr>
        <w:tabs>
          <w:tab w:val="num" w:pos="1440"/>
        </w:tabs>
        <w:ind w:left="1440" w:hanging="360"/>
      </w:pPr>
      <w:rPr>
        <w:rFonts w:ascii="Symbol" w:hAnsi="Symbol" w:hint="default"/>
        <w:sz w:val="20"/>
      </w:rPr>
    </w:lvl>
    <w:lvl w:ilvl="2" w:tplc="989294A2" w:tentative="1">
      <w:start w:val="1"/>
      <w:numFmt w:val="bullet"/>
      <w:lvlText w:val=""/>
      <w:lvlJc w:val="left"/>
      <w:pPr>
        <w:tabs>
          <w:tab w:val="num" w:pos="2160"/>
        </w:tabs>
        <w:ind w:left="2160" w:hanging="360"/>
      </w:pPr>
      <w:rPr>
        <w:rFonts w:ascii="Symbol" w:hAnsi="Symbol" w:hint="default"/>
        <w:sz w:val="20"/>
      </w:rPr>
    </w:lvl>
    <w:lvl w:ilvl="3" w:tplc="9224ECC2" w:tentative="1">
      <w:start w:val="1"/>
      <w:numFmt w:val="bullet"/>
      <w:lvlText w:val=""/>
      <w:lvlJc w:val="left"/>
      <w:pPr>
        <w:tabs>
          <w:tab w:val="num" w:pos="2880"/>
        </w:tabs>
        <w:ind w:left="2880" w:hanging="360"/>
      </w:pPr>
      <w:rPr>
        <w:rFonts w:ascii="Symbol" w:hAnsi="Symbol" w:hint="default"/>
        <w:sz w:val="20"/>
      </w:rPr>
    </w:lvl>
    <w:lvl w:ilvl="4" w:tplc="7486C708" w:tentative="1">
      <w:start w:val="1"/>
      <w:numFmt w:val="bullet"/>
      <w:lvlText w:val=""/>
      <w:lvlJc w:val="left"/>
      <w:pPr>
        <w:tabs>
          <w:tab w:val="num" w:pos="3600"/>
        </w:tabs>
        <w:ind w:left="3600" w:hanging="360"/>
      </w:pPr>
      <w:rPr>
        <w:rFonts w:ascii="Symbol" w:hAnsi="Symbol" w:hint="default"/>
        <w:sz w:val="20"/>
      </w:rPr>
    </w:lvl>
    <w:lvl w:ilvl="5" w:tplc="2E1066F0" w:tentative="1">
      <w:start w:val="1"/>
      <w:numFmt w:val="bullet"/>
      <w:lvlText w:val=""/>
      <w:lvlJc w:val="left"/>
      <w:pPr>
        <w:tabs>
          <w:tab w:val="num" w:pos="4320"/>
        </w:tabs>
        <w:ind w:left="4320" w:hanging="360"/>
      </w:pPr>
      <w:rPr>
        <w:rFonts w:ascii="Symbol" w:hAnsi="Symbol" w:hint="default"/>
        <w:sz w:val="20"/>
      </w:rPr>
    </w:lvl>
    <w:lvl w:ilvl="6" w:tplc="77E61660" w:tentative="1">
      <w:start w:val="1"/>
      <w:numFmt w:val="bullet"/>
      <w:lvlText w:val=""/>
      <w:lvlJc w:val="left"/>
      <w:pPr>
        <w:tabs>
          <w:tab w:val="num" w:pos="5040"/>
        </w:tabs>
        <w:ind w:left="5040" w:hanging="360"/>
      </w:pPr>
      <w:rPr>
        <w:rFonts w:ascii="Symbol" w:hAnsi="Symbol" w:hint="default"/>
        <w:sz w:val="20"/>
      </w:rPr>
    </w:lvl>
    <w:lvl w:ilvl="7" w:tplc="DEE8FDFA" w:tentative="1">
      <w:start w:val="1"/>
      <w:numFmt w:val="bullet"/>
      <w:lvlText w:val=""/>
      <w:lvlJc w:val="left"/>
      <w:pPr>
        <w:tabs>
          <w:tab w:val="num" w:pos="5760"/>
        </w:tabs>
        <w:ind w:left="5760" w:hanging="360"/>
      </w:pPr>
      <w:rPr>
        <w:rFonts w:ascii="Symbol" w:hAnsi="Symbol" w:hint="default"/>
        <w:sz w:val="20"/>
      </w:rPr>
    </w:lvl>
    <w:lvl w:ilvl="8" w:tplc="1400BB8A"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5344F4"/>
    <w:multiLevelType w:val="hybridMultilevel"/>
    <w:tmpl w:val="2AF8BEBC"/>
    <w:lvl w:ilvl="0" w:tplc="7E004A6E">
      <w:start w:val="1"/>
      <w:numFmt w:val="bullet"/>
      <w:lvlText w:val=""/>
      <w:lvlJc w:val="left"/>
      <w:pPr>
        <w:tabs>
          <w:tab w:val="num" w:pos="720"/>
        </w:tabs>
        <w:ind w:left="720" w:hanging="360"/>
      </w:pPr>
      <w:rPr>
        <w:rFonts w:ascii="Symbol" w:hAnsi="Symbol" w:hint="default"/>
        <w:sz w:val="20"/>
      </w:rPr>
    </w:lvl>
    <w:lvl w:ilvl="1" w:tplc="AEFED6BC" w:tentative="1">
      <w:start w:val="1"/>
      <w:numFmt w:val="bullet"/>
      <w:lvlText w:val="o"/>
      <w:lvlJc w:val="left"/>
      <w:pPr>
        <w:tabs>
          <w:tab w:val="num" w:pos="1440"/>
        </w:tabs>
        <w:ind w:left="1440" w:hanging="360"/>
      </w:pPr>
      <w:rPr>
        <w:rFonts w:ascii="Courier New" w:hAnsi="Courier New" w:hint="default"/>
        <w:sz w:val="20"/>
      </w:rPr>
    </w:lvl>
    <w:lvl w:ilvl="2" w:tplc="A2C04E30" w:tentative="1">
      <w:start w:val="1"/>
      <w:numFmt w:val="bullet"/>
      <w:lvlText w:val=""/>
      <w:lvlJc w:val="left"/>
      <w:pPr>
        <w:tabs>
          <w:tab w:val="num" w:pos="2160"/>
        </w:tabs>
        <w:ind w:left="2160" w:hanging="360"/>
      </w:pPr>
      <w:rPr>
        <w:rFonts w:ascii="Wingdings" w:hAnsi="Wingdings" w:hint="default"/>
        <w:sz w:val="20"/>
      </w:rPr>
    </w:lvl>
    <w:lvl w:ilvl="3" w:tplc="0E02D5F2" w:tentative="1">
      <w:start w:val="1"/>
      <w:numFmt w:val="bullet"/>
      <w:lvlText w:val=""/>
      <w:lvlJc w:val="left"/>
      <w:pPr>
        <w:tabs>
          <w:tab w:val="num" w:pos="2880"/>
        </w:tabs>
        <w:ind w:left="2880" w:hanging="360"/>
      </w:pPr>
      <w:rPr>
        <w:rFonts w:ascii="Wingdings" w:hAnsi="Wingdings" w:hint="default"/>
        <w:sz w:val="20"/>
      </w:rPr>
    </w:lvl>
    <w:lvl w:ilvl="4" w:tplc="569E5124" w:tentative="1">
      <w:start w:val="1"/>
      <w:numFmt w:val="bullet"/>
      <w:lvlText w:val=""/>
      <w:lvlJc w:val="left"/>
      <w:pPr>
        <w:tabs>
          <w:tab w:val="num" w:pos="3600"/>
        </w:tabs>
        <w:ind w:left="3600" w:hanging="360"/>
      </w:pPr>
      <w:rPr>
        <w:rFonts w:ascii="Wingdings" w:hAnsi="Wingdings" w:hint="default"/>
        <w:sz w:val="20"/>
      </w:rPr>
    </w:lvl>
    <w:lvl w:ilvl="5" w:tplc="2A4293D4" w:tentative="1">
      <w:start w:val="1"/>
      <w:numFmt w:val="bullet"/>
      <w:lvlText w:val=""/>
      <w:lvlJc w:val="left"/>
      <w:pPr>
        <w:tabs>
          <w:tab w:val="num" w:pos="4320"/>
        </w:tabs>
        <w:ind w:left="4320" w:hanging="360"/>
      </w:pPr>
      <w:rPr>
        <w:rFonts w:ascii="Wingdings" w:hAnsi="Wingdings" w:hint="default"/>
        <w:sz w:val="20"/>
      </w:rPr>
    </w:lvl>
    <w:lvl w:ilvl="6" w:tplc="BD90EE64" w:tentative="1">
      <w:start w:val="1"/>
      <w:numFmt w:val="bullet"/>
      <w:lvlText w:val=""/>
      <w:lvlJc w:val="left"/>
      <w:pPr>
        <w:tabs>
          <w:tab w:val="num" w:pos="5040"/>
        </w:tabs>
        <w:ind w:left="5040" w:hanging="360"/>
      </w:pPr>
      <w:rPr>
        <w:rFonts w:ascii="Wingdings" w:hAnsi="Wingdings" w:hint="default"/>
        <w:sz w:val="20"/>
      </w:rPr>
    </w:lvl>
    <w:lvl w:ilvl="7" w:tplc="17602B94" w:tentative="1">
      <w:start w:val="1"/>
      <w:numFmt w:val="bullet"/>
      <w:lvlText w:val=""/>
      <w:lvlJc w:val="left"/>
      <w:pPr>
        <w:tabs>
          <w:tab w:val="num" w:pos="5760"/>
        </w:tabs>
        <w:ind w:left="5760" w:hanging="360"/>
      </w:pPr>
      <w:rPr>
        <w:rFonts w:ascii="Wingdings" w:hAnsi="Wingdings" w:hint="default"/>
        <w:sz w:val="20"/>
      </w:rPr>
    </w:lvl>
    <w:lvl w:ilvl="8" w:tplc="330E05C4"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4392634">
    <w:abstractNumId w:val="5"/>
  </w:num>
  <w:num w:numId="2" w16cid:durableId="1117600736">
    <w:abstractNumId w:val="1"/>
  </w:num>
  <w:num w:numId="3" w16cid:durableId="1584871915">
    <w:abstractNumId w:val="6"/>
  </w:num>
  <w:num w:numId="4" w16cid:durableId="770315800">
    <w:abstractNumId w:val="3"/>
  </w:num>
  <w:num w:numId="5" w16cid:durableId="956988213">
    <w:abstractNumId w:val="2"/>
  </w:num>
  <w:num w:numId="6" w16cid:durableId="775321339">
    <w:abstractNumId w:val="4"/>
  </w:num>
  <w:num w:numId="7" w16cid:durableId="1113522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2D6D"/>
    <w:rsid w:val="000173F9"/>
    <w:rsid w:val="000412A0"/>
    <w:rsid w:val="00047DDA"/>
    <w:rsid w:val="00051649"/>
    <w:rsid w:val="00052E54"/>
    <w:rsid w:val="0005455A"/>
    <w:rsid w:val="0006040A"/>
    <w:rsid w:val="00066C2E"/>
    <w:rsid w:val="00071F07"/>
    <w:rsid w:val="0007759D"/>
    <w:rsid w:val="000777AB"/>
    <w:rsid w:val="00077F46"/>
    <w:rsid w:val="00090FB1"/>
    <w:rsid w:val="00093CD3"/>
    <w:rsid w:val="00096186"/>
    <w:rsid w:val="000A72E4"/>
    <w:rsid w:val="000B0E2F"/>
    <w:rsid w:val="000B2430"/>
    <w:rsid w:val="000C56FA"/>
    <w:rsid w:val="000D0B30"/>
    <w:rsid w:val="000E21F1"/>
    <w:rsid w:val="000F703E"/>
    <w:rsid w:val="00120E86"/>
    <w:rsid w:val="00125DE9"/>
    <w:rsid w:val="001332E0"/>
    <w:rsid w:val="00134DE7"/>
    <w:rsid w:val="00140A47"/>
    <w:rsid w:val="00143587"/>
    <w:rsid w:val="0018106B"/>
    <w:rsid w:val="00181441"/>
    <w:rsid w:val="00185354"/>
    <w:rsid w:val="001854DC"/>
    <w:rsid w:val="00186795"/>
    <w:rsid w:val="00190290"/>
    <w:rsid w:val="00194D09"/>
    <w:rsid w:val="001960CA"/>
    <w:rsid w:val="001A7D5C"/>
    <w:rsid w:val="001B60AA"/>
    <w:rsid w:val="001B63C8"/>
    <w:rsid w:val="001C1972"/>
    <w:rsid w:val="001C421F"/>
    <w:rsid w:val="001D360D"/>
    <w:rsid w:val="001D658D"/>
    <w:rsid w:val="002307C5"/>
    <w:rsid w:val="002334E6"/>
    <w:rsid w:val="00237B3C"/>
    <w:rsid w:val="00241CAD"/>
    <w:rsid w:val="00251985"/>
    <w:rsid w:val="00261A8D"/>
    <w:rsid w:val="002826CA"/>
    <w:rsid w:val="00283C1C"/>
    <w:rsid w:val="00291A00"/>
    <w:rsid w:val="00291A11"/>
    <w:rsid w:val="00296003"/>
    <w:rsid w:val="002A0729"/>
    <w:rsid w:val="002A315C"/>
    <w:rsid w:val="002A3342"/>
    <w:rsid w:val="002A64BA"/>
    <w:rsid w:val="002B4989"/>
    <w:rsid w:val="002B63C9"/>
    <w:rsid w:val="002C2510"/>
    <w:rsid w:val="002C62C0"/>
    <w:rsid w:val="002D714E"/>
    <w:rsid w:val="002E53C3"/>
    <w:rsid w:val="002F1468"/>
    <w:rsid w:val="002F5F0C"/>
    <w:rsid w:val="002F6FC9"/>
    <w:rsid w:val="00302058"/>
    <w:rsid w:val="003265EB"/>
    <w:rsid w:val="0034329E"/>
    <w:rsid w:val="00343FAA"/>
    <w:rsid w:val="00347F5E"/>
    <w:rsid w:val="00353C98"/>
    <w:rsid w:val="00371A20"/>
    <w:rsid w:val="003821B4"/>
    <w:rsid w:val="0038225E"/>
    <w:rsid w:val="00382CF3"/>
    <w:rsid w:val="00387D52"/>
    <w:rsid w:val="003A7CEA"/>
    <w:rsid w:val="003D099F"/>
    <w:rsid w:val="003F0BD3"/>
    <w:rsid w:val="003F278A"/>
    <w:rsid w:val="003F7A02"/>
    <w:rsid w:val="00406F84"/>
    <w:rsid w:val="00422EA5"/>
    <w:rsid w:val="00422EFA"/>
    <w:rsid w:val="0042791F"/>
    <w:rsid w:val="00443184"/>
    <w:rsid w:val="004456ED"/>
    <w:rsid w:val="0044642B"/>
    <w:rsid w:val="00457E56"/>
    <w:rsid w:val="00462956"/>
    <w:rsid w:val="004645FA"/>
    <w:rsid w:val="00472C8F"/>
    <w:rsid w:val="0048045A"/>
    <w:rsid w:val="004841B8"/>
    <w:rsid w:val="004930F2"/>
    <w:rsid w:val="004A798E"/>
    <w:rsid w:val="004B0F1C"/>
    <w:rsid w:val="004E1164"/>
    <w:rsid w:val="004F1F9D"/>
    <w:rsid w:val="004F2EE6"/>
    <w:rsid w:val="00502DBA"/>
    <w:rsid w:val="005040C4"/>
    <w:rsid w:val="00507637"/>
    <w:rsid w:val="00507852"/>
    <w:rsid w:val="00514DBF"/>
    <w:rsid w:val="00550921"/>
    <w:rsid w:val="0056135B"/>
    <w:rsid w:val="00563712"/>
    <w:rsid w:val="00564D2E"/>
    <w:rsid w:val="00565DBB"/>
    <w:rsid w:val="00566F77"/>
    <w:rsid w:val="00573631"/>
    <w:rsid w:val="00573C0B"/>
    <w:rsid w:val="005768D7"/>
    <w:rsid w:val="00576CFA"/>
    <w:rsid w:val="00577B60"/>
    <w:rsid w:val="005832DB"/>
    <w:rsid w:val="0058556D"/>
    <w:rsid w:val="00592AF2"/>
    <w:rsid w:val="00592DD2"/>
    <w:rsid w:val="005947AD"/>
    <w:rsid w:val="00597748"/>
    <w:rsid w:val="005979E8"/>
    <w:rsid w:val="005B5DF5"/>
    <w:rsid w:val="005D0AF4"/>
    <w:rsid w:val="005D2ADE"/>
    <w:rsid w:val="005E44A6"/>
    <w:rsid w:val="005E54BD"/>
    <w:rsid w:val="005F2EB2"/>
    <w:rsid w:val="005F6CCA"/>
    <w:rsid w:val="006104AF"/>
    <w:rsid w:val="00621893"/>
    <w:rsid w:val="006351E1"/>
    <w:rsid w:val="006447B1"/>
    <w:rsid w:val="00662775"/>
    <w:rsid w:val="00670DDC"/>
    <w:rsid w:val="006852FC"/>
    <w:rsid w:val="00695220"/>
    <w:rsid w:val="006B40AB"/>
    <w:rsid w:val="006B5DC5"/>
    <w:rsid w:val="006C4BFD"/>
    <w:rsid w:val="006C7D30"/>
    <w:rsid w:val="006E3C08"/>
    <w:rsid w:val="00700ACF"/>
    <w:rsid w:val="00703742"/>
    <w:rsid w:val="00712487"/>
    <w:rsid w:val="00720428"/>
    <w:rsid w:val="0072214E"/>
    <w:rsid w:val="007222C1"/>
    <w:rsid w:val="007530CA"/>
    <w:rsid w:val="00756D68"/>
    <w:rsid w:val="007578D9"/>
    <w:rsid w:val="00757E8A"/>
    <w:rsid w:val="00763E43"/>
    <w:rsid w:val="00764EB5"/>
    <w:rsid w:val="00777A95"/>
    <w:rsid w:val="00782416"/>
    <w:rsid w:val="007825D4"/>
    <w:rsid w:val="00784751"/>
    <w:rsid w:val="007B0364"/>
    <w:rsid w:val="007D0981"/>
    <w:rsid w:val="007D1929"/>
    <w:rsid w:val="00803CF1"/>
    <w:rsid w:val="008104BB"/>
    <w:rsid w:val="008249C5"/>
    <w:rsid w:val="00832F5F"/>
    <w:rsid w:val="008526F9"/>
    <w:rsid w:val="0085285E"/>
    <w:rsid w:val="00853023"/>
    <w:rsid w:val="008534D4"/>
    <w:rsid w:val="00864D10"/>
    <w:rsid w:val="00871185"/>
    <w:rsid w:val="008736A3"/>
    <w:rsid w:val="00881E28"/>
    <w:rsid w:val="00894C4B"/>
    <w:rsid w:val="008A12E3"/>
    <w:rsid w:val="008A42FA"/>
    <w:rsid w:val="008B0AC7"/>
    <w:rsid w:val="008B322F"/>
    <w:rsid w:val="008C2335"/>
    <w:rsid w:val="008C67C1"/>
    <w:rsid w:val="008D08C6"/>
    <w:rsid w:val="008D0EAF"/>
    <w:rsid w:val="008D1D39"/>
    <w:rsid w:val="008E0648"/>
    <w:rsid w:val="008E4F19"/>
    <w:rsid w:val="008F07D2"/>
    <w:rsid w:val="008F07DF"/>
    <w:rsid w:val="00903E15"/>
    <w:rsid w:val="00917851"/>
    <w:rsid w:val="00917F65"/>
    <w:rsid w:val="00922FF6"/>
    <w:rsid w:val="009311E7"/>
    <w:rsid w:val="00942694"/>
    <w:rsid w:val="00952341"/>
    <w:rsid w:val="00956D34"/>
    <w:rsid w:val="009602EF"/>
    <w:rsid w:val="00971FDB"/>
    <w:rsid w:val="00976F32"/>
    <w:rsid w:val="009A1456"/>
    <w:rsid w:val="009A7E3A"/>
    <w:rsid w:val="009B1265"/>
    <w:rsid w:val="009B4A15"/>
    <w:rsid w:val="009B5693"/>
    <w:rsid w:val="009C3ED5"/>
    <w:rsid w:val="009C61A2"/>
    <w:rsid w:val="009C78E4"/>
    <w:rsid w:val="009D687E"/>
    <w:rsid w:val="009F6DE7"/>
    <w:rsid w:val="009F6EE9"/>
    <w:rsid w:val="00A10583"/>
    <w:rsid w:val="00A37FCB"/>
    <w:rsid w:val="00A51786"/>
    <w:rsid w:val="00A54863"/>
    <w:rsid w:val="00A61D74"/>
    <w:rsid w:val="00A819EE"/>
    <w:rsid w:val="00A8688B"/>
    <w:rsid w:val="00A91163"/>
    <w:rsid w:val="00A9286F"/>
    <w:rsid w:val="00A95D46"/>
    <w:rsid w:val="00A96255"/>
    <w:rsid w:val="00A96C20"/>
    <w:rsid w:val="00AA52B5"/>
    <w:rsid w:val="00AB285B"/>
    <w:rsid w:val="00AF5552"/>
    <w:rsid w:val="00AF5CB4"/>
    <w:rsid w:val="00AF5ED1"/>
    <w:rsid w:val="00AF71D6"/>
    <w:rsid w:val="00B047C2"/>
    <w:rsid w:val="00B16284"/>
    <w:rsid w:val="00B216EE"/>
    <w:rsid w:val="00B3175F"/>
    <w:rsid w:val="00B31E2C"/>
    <w:rsid w:val="00B329B0"/>
    <w:rsid w:val="00B402D8"/>
    <w:rsid w:val="00B4237C"/>
    <w:rsid w:val="00B42FE8"/>
    <w:rsid w:val="00B5009B"/>
    <w:rsid w:val="00B52AFD"/>
    <w:rsid w:val="00B54077"/>
    <w:rsid w:val="00B8087E"/>
    <w:rsid w:val="00B828EE"/>
    <w:rsid w:val="00BB1748"/>
    <w:rsid w:val="00BB646E"/>
    <w:rsid w:val="00BC20CD"/>
    <w:rsid w:val="00BD1BA1"/>
    <w:rsid w:val="00BF2E70"/>
    <w:rsid w:val="00BF6B63"/>
    <w:rsid w:val="00C019E5"/>
    <w:rsid w:val="00C123CC"/>
    <w:rsid w:val="00C240D0"/>
    <w:rsid w:val="00C24BD7"/>
    <w:rsid w:val="00C26200"/>
    <w:rsid w:val="00C35BC4"/>
    <w:rsid w:val="00C43F5B"/>
    <w:rsid w:val="00C56F33"/>
    <w:rsid w:val="00C977C3"/>
    <w:rsid w:val="00CB4371"/>
    <w:rsid w:val="00CC516D"/>
    <w:rsid w:val="00CD31C9"/>
    <w:rsid w:val="00CD443D"/>
    <w:rsid w:val="00D24330"/>
    <w:rsid w:val="00D40056"/>
    <w:rsid w:val="00D51E7C"/>
    <w:rsid w:val="00D54F29"/>
    <w:rsid w:val="00D55F13"/>
    <w:rsid w:val="00D7020C"/>
    <w:rsid w:val="00D70AD9"/>
    <w:rsid w:val="00D72152"/>
    <w:rsid w:val="00D94BA5"/>
    <w:rsid w:val="00D9510F"/>
    <w:rsid w:val="00DA615C"/>
    <w:rsid w:val="00DD1BC6"/>
    <w:rsid w:val="00DD54FA"/>
    <w:rsid w:val="00DE5DC3"/>
    <w:rsid w:val="00DF7DD1"/>
    <w:rsid w:val="00E00D29"/>
    <w:rsid w:val="00E00D8A"/>
    <w:rsid w:val="00E06267"/>
    <w:rsid w:val="00E1050F"/>
    <w:rsid w:val="00E11604"/>
    <w:rsid w:val="00E11D92"/>
    <w:rsid w:val="00E130A0"/>
    <w:rsid w:val="00E210C4"/>
    <w:rsid w:val="00E23DB7"/>
    <w:rsid w:val="00E370BE"/>
    <w:rsid w:val="00E4235B"/>
    <w:rsid w:val="00E46D96"/>
    <w:rsid w:val="00E52CCA"/>
    <w:rsid w:val="00E66409"/>
    <w:rsid w:val="00E81D5B"/>
    <w:rsid w:val="00E976B9"/>
    <w:rsid w:val="00EA05D3"/>
    <w:rsid w:val="00EB19AD"/>
    <w:rsid w:val="00EB2F31"/>
    <w:rsid w:val="00EB6493"/>
    <w:rsid w:val="00EC2915"/>
    <w:rsid w:val="00EC56A0"/>
    <w:rsid w:val="00ED05A9"/>
    <w:rsid w:val="00ED1BA0"/>
    <w:rsid w:val="00EE2B86"/>
    <w:rsid w:val="00EF71EC"/>
    <w:rsid w:val="00EF7EA5"/>
    <w:rsid w:val="00F15D18"/>
    <w:rsid w:val="00F17257"/>
    <w:rsid w:val="00F210FD"/>
    <w:rsid w:val="00F24F0E"/>
    <w:rsid w:val="00F34D24"/>
    <w:rsid w:val="00F4130B"/>
    <w:rsid w:val="00F4217D"/>
    <w:rsid w:val="00F544EC"/>
    <w:rsid w:val="00F556A2"/>
    <w:rsid w:val="00F719A8"/>
    <w:rsid w:val="00F878B9"/>
    <w:rsid w:val="00F9055C"/>
    <w:rsid w:val="00FA1915"/>
    <w:rsid w:val="00FB24E8"/>
    <w:rsid w:val="00FB3B2B"/>
    <w:rsid w:val="00FC18DA"/>
    <w:rsid w:val="00FC3917"/>
    <w:rsid w:val="00FD60DA"/>
    <w:rsid w:val="00FE6D4D"/>
    <w:rsid w:val="00FF07B4"/>
    <w:rsid w:val="00FF3FFB"/>
    <w:rsid w:val="01B48BD6"/>
    <w:rsid w:val="03657895"/>
    <w:rsid w:val="0425659A"/>
    <w:rsid w:val="057ABFC0"/>
    <w:rsid w:val="05D51ED8"/>
    <w:rsid w:val="096BD46D"/>
    <w:rsid w:val="0A2FAAA5"/>
    <w:rsid w:val="0B2BDC95"/>
    <w:rsid w:val="0C7804E1"/>
    <w:rsid w:val="0F91175D"/>
    <w:rsid w:val="0FB316BC"/>
    <w:rsid w:val="1070A692"/>
    <w:rsid w:val="10B96C98"/>
    <w:rsid w:val="10E89DDD"/>
    <w:rsid w:val="1158856B"/>
    <w:rsid w:val="11E408BA"/>
    <w:rsid w:val="1345CC30"/>
    <w:rsid w:val="1537F925"/>
    <w:rsid w:val="1AAA7980"/>
    <w:rsid w:val="1B758F95"/>
    <w:rsid w:val="1D7AFDF6"/>
    <w:rsid w:val="1D8D407F"/>
    <w:rsid w:val="1DFFB2C2"/>
    <w:rsid w:val="1E56336C"/>
    <w:rsid w:val="1E6C5C9D"/>
    <w:rsid w:val="214426BB"/>
    <w:rsid w:val="22989E71"/>
    <w:rsid w:val="2424957D"/>
    <w:rsid w:val="268E805A"/>
    <w:rsid w:val="269F7CFF"/>
    <w:rsid w:val="2812FFF2"/>
    <w:rsid w:val="283EDA17"/>
    <w:rsid w:val="2974CA20"/>
    <w:rsid w:val="2A9E80B0"/>
    <w:rsid w:val="2B56C6B7"/>
    <w:rsid w:val="2C225381"/>
    <w:rsid w:val="2C4AAA2E"/>
    <w:rsid w:val="2F6EBA71"/>
    <w:rsid w:val="30D32BDB"/>
    <w:rsid w:val="32A3C6AB"/>
    <w:rsid w:val="3352B362"/>
    <w:rsid w:val="379E56E5"/>
    <w:rsid w:val="38065B22"/>
    <w:rsid w:val="395BDD62"/>
    <w:rsid w:val="3A6FFEF0"/>
    <w:rsid w:val="3AF6AB85"/>
    <w:rsid w:val="3B37EF83"/>
    <w:rsid w:val="3CB32B2C"/>
    <w:rsid w:val="3D70769A"/>
    <w:rsid w:val="3ECAD149"/>
    <w:rsid w:val="3F7695EC"/>
    <w:rsid w:val="408E2F33"/>
    <w:rsid w:val="413D9421"/>
    <w:rsid w:val="41723A4A"/>
    <w:rsid w:val="4200DE74"/>
    <w:rsid w:val="426A47C8"/>
    <w:rsid w:val="42C94214"/>
    <w:rsid w:val="43F6829B"/>
    <w:rsid w:val="4492BAA0"/>
    <w:rsid w:val="4493492D"/>
    <w:rsid w:val="4514B35A"/>
    <w:rsid w:val="46975B5E"/>
    <w:rsid w:val="472DB79C"/>
    <w:rsid w:val="4790C383"/>
    <w:rsid w:val="47B80EFE"/>
    <w:rsid w:val="47E923AE"/>
    <w:rsid w:val="4B0649A9"/>
    <w:rsid w:val="4B1E387E"/>
    <w:rsid w:val="4B6ACC81"/>
    <w:rsid w:val="4C214188"/>
    <w:rsid w:val="4CDE8CF6"/>
    <w:rsid w:val="4E23C830"/>
    <w:rsid w:val="4E65ED4C"/>
    <w:rsid w:val="4E6827FC"/>
    <w:rsid w:val="4E985E12"/>
    <w:rsid w:val="4EA7FA52"/>
    <w:rsid w:val="4EFE197F"/>
    <w:rsid w:val="4EFFB7AE"/>
    <w:rsid w:val="4F526837"/>
    <w:rsid w:val="4F69A453"/>
    <w:rsid w:val="51CFFED4"/>
    <w:rsid w:val="52329DAB"/>
    <w:rsid w:val="524CF3DA"/>
    <w:rsid w:val="538C0F07"/>
    <w:rsid w:val="5425D95A"/>
    <w:rsid w:val="5463D61F"/>
    <w:rsid w:val="55E7200B"/>
    <w:rsid w:val="579E26A0"/>
    <w:rsid w:val="590AA276"/>
    <w:rsid w:val="5A9D7AA4"/>
    <w:rsid w:val="5B0DAD4C"/>
    <w:rsid w:val="5D60E2BA"/>
    <w:rsid w:val="5F455473"/>
    <w:rsid w:val="6031D76A"/>
    <w:rsid w:val="61EBFB27"/>
    <w:rsid w:val="65FBB7C6"/>
    <w:rsid w:val="67FA97CD"/>
    <w:rsid w:val="688FCEF7"/>
    <w:rsid w:val="6CA62B80"/>
    <w:rsid w:val="6E4EDAEE"/>
    <w:rsid w:val="6FFAAA24"/>
    <w:rsid w:val="72460C83"/>
    <w:rsid w:val="73B2F005"/>
    <w:rsid w:val="73EE358E"/>
    <w:rsid w:val="76126496"/>
    <w:rsid w:val="770244B3"/>
    <w:rsid w:val="77943EEC"/>
    <w:rsid w:val="77C355CB"/>
    <w:rsid w:val="77DD5952"/>
    <w:rsid w:val="780C9E89"/>
    <w:rsid w:val="785AFA9F"/>
    <w:rsid w:val="78B5B6FD"/>
    <w:rsid w:val="79297514"/>
    <w:rsid w:val="79A8F4F1"/>
    <w:rsid w:val="7A396900"/>
    <w:rsid w:val="7A9D4E79"/>
    <w:rsid w:val="7AA6E19E"/>
    <w:rsid w:val="7BDE80E7"/>
    <w:rsid w:val="7C6F37F3"/>
    <w:rsid w:val="7C8FBFFB"/>
    <w:rsid w:val="7CC48A6A"/>
    <w:rsid w:val="7D9C67A7"/>
    <w:rsid w:val="7DCA9A31"/>
    <w:rsid w:val="7F1D925B"/>
    <w:rsid w:val="7F1FC2EA"/>
    <w:rsid w:val="7F77B8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72214E"/>
  </w:style>
  <w:style w:type="character" w:customStyle="1" w:styleId="eop">
    <w:name w:val="eop"/>
    <w:basedOn w:val="DefaultParagraphFont"/>
    <w:rsid w:val="0072214E"/>
  </w:style>
  <w:style w:type="paragraph" w:customStyle="1" w:styleId="paragraph">
    <w:name w:val="paragraph"/>
    <w:basedOn w:val="Normal"/>
    <w:rsid w:val="0072214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Mention">
    <w:name w:val="Mention"/>
    <w:basedOn w:val="DefaultParagraphFont"/>
    <w:uiPriority w:val="99"/>
    <w:unhideWhenUsed/>
    <w:rPr>
      <w:color w:val="2B579A"/>
      <w:shd w:val="clear" w:color="auto" w:fill="E6E6E6"/>
    </w:rPr>
  </w:style>
  <w:style w:type="paragraph" w:styleId="NoSpacing">
    <w:name w:val="No Spacing"/>
    <w:uiPriority w:val="1"/>
    <w:qFormat/>
    <w:rsid w:val="00AA52B5"/>
    <w:pPr>
      <w:spacing w:after="0" w:line="240" w:lineRule="auto"/>
    </w:pPr>
  </w:style>
  <w:style w:type="character" w:styleId="FollowedHyperlink">
    <w:name w:val="FollowedHyperlink"/>
    <w:basedOn w:val="DefaultParagraphFont"/>
    <w:uiPriority w:val="99"/>
    <w:semiHidden/>
    <w:unhideWhenUsed/>
    <w:rsid w:val="00592DD2"/>
    <w:rPr>
      <w:color w:val="800080" w:themeColor="followedHyperlink"/>
      <w:u w:val="single"/>
    </w:rPr>
  </w:style>
  <w:style w:type="paragraph" w:styleId="Revision">
    <w:name w:val="Revision"/>
    <w:hidden/>
    <w:uiPriority w:val="99"/>
    <w:semiHidden/>
    <w:rsid w:val="00B047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5273">
      <w:bodyDiv w:val="1"/>
      <w:marLeft w:val="0"/>
      <w:marRight w:val="0"/>
      <w:marTop w:val="0"/>
      <w:marBottom w:val="0"/>
      <w:divBdr>
        <w:top w:val="none" w:sz="0" w:space="0" w:color="auto"/>
        <w:left w:val="none" w:sz="0" w:space="0" w:color="auto"/>
        <w:bottom w:val="none" w:sz="0" w:space="0" w:color="auto"/>
        <w:right w:val="none" w:sz="0" w:space="0" w:color="auto"/>
      </w:divBdr>
      <w:divsChild>
        <w:div w:id="1256750544">
          <w:marLeft w:val="0"/>
          <w:marRight w:val="0"/>
          <w:marTop w:val="0"/>
          <w:marBottom w:val="0"/>
          <w:divBdr>
            <w:top w:val="none" w:sz="0" w:space="0" w:color="auto"/>
            <w:left w:val="none" w:sz="0" w:space="0" w:color="auto"/>
            <w:bottom w:val="none" w:sz="0" w:space="0" w:color="auto"/>
            <w:right w:val="none" w:sz="0" w:space="0" w:color="auto"/>
          </w:divBdr>
        </w:div>
        <w:div w:id="1382317239">
          <w:marLeft w:val="0"/>
          <w:marRight w:val="0"/>
          <w:marTop w:val="0"/>
          <w:marBottom w:val="0"/>
          <w:divBdr>
            <w:top w:val="none" w:sz="0" w:space="0" w:color="auto"/>
            <w:left w:val="none" w:sz="0" w:space="0" w:color="auto"/>
            <w:bottom w:val="none" w:sz="0" w:space="0" w:color="auto"/>
            <w:right w:val="none" w:sz="0" w:space="0" w:color="auto"/>
          </w:divBdr>
        </w:div>
        <w:div w:id="792094300">
          <w:marLeft w:val="0"/>
          <w:marRight w:val="0"/>
          <w:marTop w:val="0"/>
          <w:marBottom w:val="0"/>
          <w:divBdr>
            <w:top w:val="none" w:sz="0" w:space="0" w:color="auto"/>
            <w:left w:val="none" w:sz="0" w:space="0" w:color="auto"/>
            <w:bottom w:val="none" w:sz="0" w:space="0" w:color="auto"/>
            <w:right w:val="none" w:sz="0" w:space="0" w:color="auto"/>
          </w:divBdr>
        </w:div>
        <w:div w:id="7800933">
          <w:marLeft w:val="0"/>
          <w:marRight w:val="0"/>
          <w:marTop w:val="0"/>
          <w:marBottom w:val="0"/>
          <w:divBdr>
            <w:top w:val="none" w:sz="0" w:space="0" w:color="auto"/>
            <w:left w:val="none" w:sz="0" w:space="0" w:color="auto"/>
            <w:bottom w:val="none" w:sz="0" w:space="0" w:color="auto"/>
            <w:right w:val="none" w:sz="0" w:space="0" w:color="auto"/>
          </w:divBdr>
        </w:div>
      </w:divsChild>
    </w:div>
    <w:div w:id="349071332">
      <w:bodyDiv w:val="1"/>
      <w:marLeft w:val="0"/>
      <w:marRight w:val="0"/>
      <w:marTop w:val="0"/>
      <w:marBottom w:val="0"/>
      <w:divBdr>
        <w:top w:val="none" w:sz="0" w:space="0" w:color="auto"/>
        <w:left w:val="none" w:sz="0" w:space="0" w:color="auto"/>
        <w:bottom w:val="none" w:sz="0" w:space="0" w:color="auto"/>
        <w:right w:val="none" w:sz="0" w:space="0" w:color="auto"/>
      </w:divBdr>
      <w:divsChild>
        <w:div w:id="1330719348">
          <w:marLeft w:val="0"/>
          <w:marRight w:val="0"/>
          <w:marTop w:val="0"/>
          <w:marBottom w:val="0"/>
          <w:divBdr>
            <w:top w:val="none" w:sz="0" w:space="0" w:color="auto"/>
            <w:left w:val="none" w:sz="0" w:space="0" w:color="auto"/>
            <w:bottom w:val="none" w:sz="0" w:space="0" w:color="auto"/>
            <w:right w:val="none" w:sz="0" w:space="0" w:color="auto"/>
          </w:divBdr>
        </w:div>
        <w:div w:id="1273050123">
          <w:marLeft w:val="0"/>
          <w:marRight w:val="0"/>
          <w:marTop w:val="0"/>
          <w:marBottom w:val="0"/>
          <w:divBdr>
            <w:top w:val="none" w:sz="0" w:space="0" w:color="auto"/>
            <w:left w:val="none" w:sz="0" w:space="0" w:color="auto"/>
            <w:bottom w:val="none" w:sz="0" w:space="0" w:color="auto"/>
            <w:right w:val="none" w:sz="0" w:space="0" w:color="auto"/>
          </w:divBdr>
        </w:div>
        <w:div w:id="807475529">
          <w:marLeft w:val="0"/>
          <w:marRight w:val="0"/>
          <w:marTop w:val="0"/>
          <w:marBottom w:val="0"/>
          <w:divBdr>
            <w:top w:val="none" w:sz="0" w:space="0" w:color="auto"/>
            <w:left w:val="none" w:sz="0" w:space="0" w:color="auto"/>
            <w:bottom w:val="none" w:sz="0" w:space="0" w:color="auto"/>
            <w:right w:val="none" w:sz="0" w:space="0" w:color="auto"/>
          </w:divBdr>
        </w:div>
      </w:divsChild>
    </w:div>
    <w:div w:id="422335517">
      <w:bodyDiv w:val="1"/>
      <w:marLeft w:val="0"/>
      <w:marRight w:val="0"/>
      <w:marTop w:val="0"/>
      <w:marBottom w:val="0"/>
      <w:divBdr>
        <w:top w:val="none" w:sz="0" w:space="0" w:color="auto"/>
        <w:left w:val="none" w:sz="0" w:space="0" w:color="auto"/>
        <w:bottom w:val="none" w:sz="0" w:space="0" w:color="auto"/>
        <w:right w:val="none" w:sz="0" w:space="0" w:color="auto"/>
      </w:divBdr>
      <w:divsChild>
        <w:div w:id="1594700310">
          <w:marLeft w:val="0"/>
          <w:marRight w:val="0"/>
          <w:marTop w:val="0"/>
          <w:marBottom w:val="0"/>
          <w:divBdr>
            <w:top w:val="none" w:sz="0" w:space="0" w:color="auto"/>
            <w:left w:val="none" w:sz="0" w:space="0" w:color="auto"/>
            <w:bottom w:val="none" w:sz="0" w:space="0" w:color="auto"/>
            <w:right w:val="none" w:sz="0" w:space="0" w:color="auto"/>
          </w:divBdr>
        </w:div>
        <w:div w:id="82262836">
          <w:marLeft w:val="0"/>
          <w:marRight w:val="0"/>
          <w:marTop w:val="0"/>
          <w:marBottom w:val="0"/>
          <w:divBdr>
            <w:top w:val="none" w:sz="0" w:space="0" w:color="auto"/>
            <w:left w:val="none" w:sz="0" w:space="0" w:color="auto"/>
            <w:bottom w:val="none" w:sz="0" w:space="0" w:color="auto"/>
            <w:right w:val="none" w:sz="0" w:space="0" w:color="auto"/>
          </w:divBdr>
        </w:div>
        <w:div w:id="1097409226">
          <w:marLeft w:val="0"/>
          <w:marRight w:val="0"/>
          <w:marTop w:val="0"/>
          <w:marBottom w:val="0"/>
          <w:divBdr>
            <w:top w:val="none" w:sz="0" w:space="0" w:color="auto"/>
            <w:left w:val="none" w:sz="0" w:space="0" w:color="auto"/>
            <w:bottom w:val="none" w:sz="0" w:space="0" w:color="auto"/>
            <w:right w:val="none" w:sz="0" w:space="0" w:color="auto"/>
          </w:divBdr>
        </w:div>
        <w:div w:id="573708998">
          <w:marLeft w:val="0"/>
          <w:marRight w:val="0"/>
          <w:marTop w:val="0"/>
          <w:marBottom w:val="0"/>
          <w:divBdr>
            <w:top w:val="none" w:sz="0" w:space="0" w:color="auto"/>
            <w:left w:val="none" w:sz="0" w:space="0" w:color="auto"/>
            <w:bottom w:val="none" w:sz="0" w:space="0" w:color="auto"/>
            <w:right w:val="none" w:sz="0" w:space="0" w:color="auto"/>
          </w:divBdr>
        </w:div>
        <w:div w:id="479152046">
          <w:marLeft w:val="0"/>
          <w:marRight w:val="0"/>
          <w:marTop w:val="0"/>
          <w:marBottom w:val="0"/>
          <w:divBdr>
            <w:top w:val="none" w:sz="0" w:space="0" w:color="auto"/>
            <w:left w:val="none" w:sz="0" w:space="0" w:color="auto"/>
            <w:bottom w:val="none" w:sz="0" w:space="0" w:color="auto"/>
            <w:right w:val="none" w:sz="0" w:space="0" w:color="auto"/>
          </w:divBdr>
        </w:div>
        <w:div w:id="201867108">
          <w:marLeft w:val="0"/>
          <w:marRight w:val="0"/>
          <w:marTop w:val="0"/>
          <w:marBottom w:val="0"/>
          <w:divBdr>
            <w:top w:val="none" w:sz="0" w:space="0" w:color="auto"/>
            <w:left w:val="none" w:sz="0" w:space="0" w:color="auto"/>
            <w:bottom w:val="none" w:sz="0" w:space="0" w:color="auto"/>
            <w:right w:val="none" w:sz="0" w:space="0" w:color="auto"/>
          </w:divBdr>
        </w:div>
        <w:div w:id="141239956">
          <w:marLeft w:val="0"/>
          <w:marRight w:val="0"/>
          <w:marTop w:val="0"/>
          <w:marBottom w:val="0"/>
          <w:divBdr>
            <w:top w:val="none" w:sz="0" w:space="0" w:color="auto"/>
            <w:left w:val="none" w:sz="0" w:space="0" w:color="auto"/>
            <w:bottom w:val="none" w:sz="0" w:space="0" w:color="auto"/>
            <w:right w:val="none" w:sz="0" w:space="0" w:color="auto"/>
          </w:divBdr>
        </w:div>
      </w:divsChild>
    </w:div>
    <w:div w:id="695546243">
      <w:bodyDiv w:val="1"/>
      <w:marLeft w:val="0"/>
      <w:marRight w:val="0"/>
      <w:marTop w:val="0"/>
      <w:marBottom w:val="0"/>
      <w:divBdr>
        <w:top w:val="none" w:sz="0" w:space="0" w:color="auto"/>
        <w:left w:val="none" w:sz="0" w:space="0" w:color="auto"/>
        <w:bottom w:val="none" w:sz="0" w:space="0" w:color="auto"/>
        <w:right w:val="none" w:sz="0" w:space="0" w:color="auto"/>
      </w:divBdr>
      <w:divsChild>
        <w:div w:id="832834859">
          <w:marLeft w:val="0"/>
          <w:marRight w:val="0"/>
          <w:marTop w:val="0"/>
          <w:marBottom w:val="0"/>
          <w:divBdr>
            <w:top w:val="none" w:sz="0" w:space="0" w:color="auto"/>
            <w:left w:val="none" w:sz="0" w:space="0" w:color="auto"/>
            <w:bottom w:val="none" w:sz="0" w:space="0" w:color="auto"/>
            <w:right w:val="none" w:sz="0" w:space="0" w:color="auto"/>
          </w:divBdr>
        </w:div>
        <w:div w:id="1233084580">
          <w:marLeft w:val="0"/>
          <w:marRight w:val="0"/>
          <w:marTop w:val="0"/>
          <w:marBottom w:val="0"/>
          <w:divBdr>
            <w:top w:val="none" w:sz="0" w:space="0" w:color="auto"/>
            <w:left w:val="none" w:sz="0" w:space="0" w:color="auto"/>
            <w:bottom w:val="none" w:sz="0" w:space="0" w:color="auto"/>
            <w:right w:val="none" w:sz="0" w:space="0" w:color="auto"/>
          </w:divBdr>
        </w:div>
        <w:div w:id="694963932">
          <w:marLeft w:val="0"/>
          <w:marRight w:val="0"/>
          <w:marTop w:val="0"/>
          <w:marBottom w:val="0"/>
          <w:divBdr>
            <w:top w:val="none" w:sz="0" w:space="0" w:color="auto"/>
            <w:left w:val="none" w:sz="0" w:space="0" w:color="auto"/>
            <w:bottom w:val="none" w:sz="0" w:space="0" w:color="auto"/>
            <w:right w:val="none" w:sz="0" w:space="0" w:color="auto"/>
          </w:divBdr>
        </w:div>
        <w:div w:id="1577977250">
          <w:marLeft w:val="0"/>
          <w:marRight w:val="0"/>
          <w:marTop w:val="0"/>
          <w:marBottom w:val="0"/>
          <w:divBdr>
            <w:top w:val="none" w:sz="0" w:space="0" w:color="auto"/>
            <w:left w:val="none" w:sz="0" w:space="0" w:color="auto"/>
            <w:bottom w:val="none" w:sz="0" w:space="0" w:color="auto"/>
            <w:right w:val="none" w:sz="0" w:space="0" w:color="auto"/>
          </w:divBdr>
        </w:div>
        <w:div w:id="653073137">
          <w:marLeft w:val="0"/>
          <w:marRight w:val="0"/>
          <w:marTop w:val="0"/>
          <w:marBottom w:val="0"/>
          <w:divBdr>
            <w:top w:val="none" w:sz="0" w:space="0" w:color="auto"/>
            <w:left w:val="none" w:sz="0" w:space="0" w:color="auto"/>
            <w:bottom w:val="none" w:sz="0" w:space="0" w:color="auto"/>
            <w:right w:val="none" w:sz="0" w:space="0" w:color="auto"/>
          </w:divBdr>
        </w:div>
        <w:div w:id="765728339">
          <w:marLeft w:val="0"/>
          <w:marRight w:val="0"/>
          <w:marTop w:val="0"/>
          <w:marBottom w:val="0"/>
          <w:divBdr>
            <w:top w:val="none" w:sz="0" w:space="0" w:color="auto"/>
            <w:left w:val="none" w:sz="0" w:space="0" w:color="auto"/>
            <w:bottom w:val="none" w:sz="0" w:space="0" w:color="auto"/>
            <w:right w:val="none" w:sz="0" w:space="0" w:color="auto"/>
          </w:divBdr>
        </w:div>
        <w:div w:id="1981575015">
          <w:marLeft w:val="0"/>
          <w:marRight w:val="0"/>
          <w:marTop w:val="0"/>
          <w:marBottom w:val="0"/>
          <w:divBdr>
            <w:top w:val="none" w:sz="0" w:space="0" w:color="auto"/>
            <w:left w:val="none" w:sz="0" w:space="0" w:color="auto"/>
            <w:bottom w:val="none" w:sz="0" w:space="0" w:color="auto"/>
            <w:right w:val="none" w:sz="0" w:space="0" w:color="auto"/>
          </w:divBdr>
        </w:div>
        <w:div w:id="1783963014">
          <w:marLeft w:val="0"/>
          <w:marRight w:val="0"/>
          <w:marTop w:val="0"/>
          <w:marBottom w:val="0"/>
          <w:divBdr>
            <w:top w:val="none" w:sz="0" w:space="0" w:color="auto"/>
            <w:left w:val="none" w:sz="0" w:space="0" w:color="auto"/>
            <w:bottom w:val="none" w:sz="0" w:space="0" w:color="auto"/>
            <w:right w:val="none" w:sz="0" w:space="0" w:color="auto"/>
          </w:divBdr>
        </w:div>
        <w:div w:id="706877388">
          <w:marLeft w:val="0"/>
          <w:marRight w:val="0"/>
          <w:marTop w:val="0"/>
          <w:marBottom w:val="0"/>
          <w:divBdr>
            <w:top w:val="none" w:sz="0" w:space="0" w:color="auto"/>
            <w:left w:val="none" w:sz="0" w:space="0" w:color="auto"/>
            <w:bottom w:val="none" w:sz="0" w:space="0" w:color="auto"/>
            <w:right w:val="none" w:sz="0" w:space="0" w:color="auto"/>
          </w:divBdr>
        </w:div>
        <w:div w:id="127206343">
          <w:marLeft w:val="0"/>
          <w:marRight w:val="0"/>
          <w:marTop w:val="0"/>
          <w:marBottom w:val="0"/>
          <w:divBdr>
            <w:top w:val="none" w:sz="0" w:space="0" w:color="auto"/>
            <w:left w:val="none" w:sz="0" w:space="0" w:color="auto"/>
            <w:bottom w:val="none" w:sz="0" w:space="0" w:color="auto"/>
            <w:right w:val="none" w:sz="0" w:space="0" w:color="auto"/>
          </w:divBdr>
        </w:div>
        <w:div w:id="1739858236">
          <w:marLeft w:val="0"/>
          <w:marRight w:val="0"/>
          <w:marTop w:val="0"/>
          <w:marBottom w:val="0"/>
          <w:divBdr>
            <w:top w:val="none" w:sz="0" w:space="0" w:color="auto"/>
            <w:left w:val="none" w:sz="0" w:space="0" w:color="auto"/>
            <w:bottom w:val="none" w:sz="0" w:space="0" w:color="auto"/>
            <w:right w:val="none" w:sz="0" w:space="0" w:color="auto"/>
          </w:divBdr>
        </w:div>
        <w:div w:id="22365749">
          <w:marLeft w:val="0"/>
          <w:marRight w:val="0"/>
          <w:marTop w:val="0"/>
          <w:marBottom w:val="0"/>
          <w:divBdr>
            <w:top w:val="none" w:sz="0" w:space="0" w:color="auto"/>
            <w:left w:val="none" w:sz="0" w:space="0" w:color="auto"/>
            <w:bottom w:val="none" w:sz="0" w:space="0" w:color="auto"/>
            <w:right w:val="none" w:sz="0" w:space="0" w:color="auto"/>
          </w:divBdr>
        </w:div>
        <w:div w:id="1979794680">
          <w:marLeft w:val="0"/>
          <w:marRight w:val="0"/>
          <w:marTop w:val="0"/>
          <w:marBottom w:val="0"/>
          <w:divBdr>
            <w:top w:val="none" w:sz="0" w:space="0" w:color="auto"/>
            <w:left w:val="none" w:sz="0" w:space="0" w:color="auto"/>
            <w:bottom w:val="none" w:sz="0" w:space="0" w:color="auto"/>
            <w:right w:val="none" w:sz="0" w:space="0" w:color="auto"/>
          </w:divBdr>
        </w:div>
        <w:div w:id="2137869481">
          <w:marLeft w:val="0"/>
          <w:marRight w:val="0"/>
          <w:marTop w:val="0"/>
          <w:marBottom w:val="0"/>
          <w:divBdr>
            <w:top w:val="none" w:sz="0" w:space="0" w:color="auto"/>
            <w:left w:val="none" w:sz="0" w:space="0" w:color="auto"/>
            <w:bottom w:val="none" w:sz="0" w:space="0" w:color="auto"/>
            <w:right w:val="none" w:sz="0" w:space="0" w:color="auto"/>
          </w:divBdr>
        </w:div>
        <w:div w:id="2095710896">
          <w:marLeft w:val="0"/>
          <w:marRight w:val="0"/>
          <w:marTop w:val="0"/>
          <w:marBottom w:val="0"/>
          <w:divBdr>
            <w:top w:val="none" w:sz="0" w:space="0" w:color="auto"/>
            <w:left w:val="none" w:sz="0" w:space="0" w:color="auto"/>
            <w:bottom w:val="none" w:sz="0" w:space="0" w:color="auto"/>
            <w:right w:val="none" w:sz="0" w:space="0" w:color="auto"/>
          </w:divBdr>
        </w:div>
        <w:div w:id="633491391">
          <w:marLeft w:val="0"/>
          <w:marRight w:val="0"/>
          <w:marTop w:val="0"/>
          <w:marBottom w:val="0"/>
          <w:divBdr>
            <w:top w:val="none" w:sz="0" w:space="0" w:color="auto"/>
            <w:left w:val="none" w:sz="0" w:space="0" w:color="auto"/>
            <w:bottom w:val="none" w:sz="0" w:space="0" w:color="auto"/>
            <w:right w:val="none" w:sz="0" w:space="0" w:color="auto"/>
          </w:divBdr>
        </w:div>
        <w:div w:id="1870876824">
          <w:marLeft w:val="0"/>
          <w:marRight w:val="0"/>
          <w:marTop w:val="0"/>
          <w:marBottom w:val="0"/>
          <w:divBdr>
            <w:top w:val="none" w:sz="0" w:space="0" w:color="auto"/>
            <w:left w:val="none" w:sz="0" w:space="0" w:color="auto"/>
            <w:bottom w:val="none" w:sz="0" w:space="0" w:color="auto"/>
            <w:right w:val="none" w:sz="0" w:space="0" w:color="auto"/>
          </w:divBdr>
        </w:div>
        <w:div w:id="131364431">
          <w:marLeft w:val="0"/>
          <w:marRight w:val="0"/>
          <w:marTop w:val="0"/>
          <w:marBottom w:val="0"/>
          <w:divBdr>
            <w:top w:val="none" w:sz="0" w:space="0" w:color="auto"/>
            <w:left w:val="none" w:sz="0" w:space="0" w:color="auto"/>
            <w:bottom w:val="none" w:sz="0" w:space="0" w:color="auto"/>
            <w:right w:val="none" w:sz="0" w:space="0" w:color="auto"/>
          </w:divBdr>
        </w:div>
        <w:div w:id="1556043251">
          <w:marLeft w:val="0"/>
          <w:marRight w:val="0"/>
          <w:marTop w:val="0"/>
          <w:marBottom w:val="0"/>
          <w:divBdr>
            <w:top w:val="none" w:sz="0" w:space="0" w:color="auto"/>
            <w:left w:val="none" w:sz="0" w:space="0" w:color="auto"/>
            <w:bottom w:val="none" w:sz="0" w:space="0" w:color="auto"/>
            <w:right w:val="none" w:sz="0" w:space="0" w:color="auto"/>
          </w:divBdr>
        </w:div>
        <w:div w:id="1613240973">
          <w:marLeft w:val="0"/>
          <w:marRight w:val="0"/>
          <w:marTop w:val="0"/>
          <w:marBottom w:val="0"/>
          <w:divBdr>
            <w:top w:val="none" w:sz="0" w:space="0" w:color="auto"/>
            <w:left w:val="none" w:sz="0" w:space="0" w:color="auto"/>
            <w:bottom w:val="none" w:sz="0" w:space="0" w:color="auto"/>
            <w:right w:val="none" w:sz="0" w:space="0" w:color="auto"/>
          </w:divBdr>
        </w:div>
        <w:div w:id="825977058">
          <w:marLeft w:val="0"/>
          <w:marRight w:val="0"/>
          <w:marTop w:val="0"/>
          <w:marBottom w:val="0"/>
          <w:divBdr>
            <w:top w:val="none" w:sz="0" w:space="0" w:color="auto"/>
            <w:left w:val="none" w:sz="0" w:space="0" w:color="auto"/>
            <w:bottom w:val="none" w:sz="0" w:space="0" w:color="auto"/>
            <w:right w:val="none" w:sz="0" w:space="0" w:color="auto"/>
          </w:divBdr>
        </w:div>
        <w:div w:id="1605840038">
          <w:marLeft w:val="0"/>
          <w:marRight w:val="0"/>
          <w:marTop w:val="0"/>
          <w:marBottom w:val="0"/>
          <w:divBdr>
            <w:top w:val="none" w:sz="0" w:space="0" w:color="auto"/>
            <w:left w:val="none" w:sz="0" w:space="0" w:color="auto"/>
            <w:bottom w:val="none" w:sz="0" w:space="0" w:color="auto"/>
            <w:right w:val="none" w:sz="0" w:space="0" w:color="auto"/>
          </w:divBdr>
        </w:div>
        <w:div w:id="25838929">
          <w:marLeft w:val="0"/>
          <w:marRight w:val="0"/>
          <w:marTop w:val="0"/>
          <w:marBottom w:val="0"/>
          <w:divBdr>
            <w:top w:val="none" w:sz="0" w:space="0" w:color="auto"/>
            <w:left w:val="none" w:sz="0" w:space="0" w:color="auto"/>
            <w:bottom w:val="none" w:sz="0" w:space="0" w:color="auto"/>
            <w:right w:val="none" w:sz="0" w:space="0" w:color="auto"/>
          </w:divBdr>
        </w:div>
        <w:div w:id="1119302053">
          <w:marLeft w:val="0"/>
          <w:marRight w:val="0"/>
          <w:marTop w:val="0"/>
          <w:marBottom w:val="0"/>
          <w:divBdr>
            <w:top w:val="none" w:sz="0" w:space="0" w:color="auto"/>
            <w:left w:val="none" w:sz="0" w:space="0" w:color="auto"/>
            <w:bottom w:val="none" w:sz="0" w:space="0" w:color="auto"/>
            <w:right w:val="none" w:sz="0" w:space="0" w:color="auto"/>
          </w:divBdr>
        </w:div>
      </w:divsChild>
    </w:div>
    <w:div w:id="713190696">
      <w:bodyDiv w:val="1"/>
      <w:marLeft w:val="0"/>
      <w:marRight w:val="0"/>
      <w:marTop w:val="0"/>
      <w:marBottom w:val="0"/>
      <w:divBdr>
        <w:top w:val="none" w:sz="0" w:space="0" w:color="auto"/>
        <w:left w:val="none" w:sz="0" w:space="0" w:color="auto"/>
        <w:bottom w:val="none" w:sz="0" w:space="0" w:color="auto"/>
        <w:right w:val="none" w:sz="0" w:space="0" w:color="auto"/>
      </w:divBdr>
      <w:divsChild>
        <w:div w:id="1137181857">
          <w:marLeft w:val="0"/>
          <w:marRight w:val="0"/>
          <w:marTop w:val="0"/>
          <w:marBottom w:val="0"/>
          <w:divBdr>
            <w:top w:val="none" w:sz="0" w:space="0" w:color="auto"/>
            <w:left w:val="none" w:sz="0" w:space="0" w:color="auto"/>
            <w:bottom w:val="none" w:sz="0" w:space="0" w:color="auto"/>
            <w:right w:val="none" w:sz="0" w:space="0" w:color="auto"/>
          </w:divBdr>
        </w:div>
        <w:div w:id="328603155">
          <w:marLeft w:val="0"/>
          <w:marRight w:val="0"/>
          <w:marTop w:val="0"/>
          <w:marBottom w:val="0"/>
          <w:divBdr>
            <w:top w:val="none" w:sz="0" w:space="0" w:color="auto"/>
            <w:left w:val="none" w:sz="0" w:space="0" w:color="auto"/>
            <w:bottom w:val="none" w:sz="0" w:space="0" w:color="auto"/>
            <w:right w:val="none" w:sz="0" w:space="0" w:color="auto"/>
          </w:divBdr>
        </w:div>
        <w:div w:id="1790584358">
          <w:marLeft w:val="0"/>
          <w:marRight w:val="0"/>
          <w:marTop w:val="0"/>
          <w:marBottom w:val="0"/>
          <w:divBdr>
            <w:top w:val="none" w:sz="0" w:space="0" w:color="auto"/>
            <w:left w:val="none" w:sz="0" w:space="0" w:color="auto"/>
            <w:bottom w:val="none" w:sz="0" w:space="0" w:color="auto"/>
            <w:right w:val="none" w:sz="0" w:space="0" w:color="auto"/>
          </w:divBdr>
        </w:div>
        <w:div w:id="264466275">
          <w:marLeft w:val="0"/>
          <w:marRight w:val="0"/>
          <w:marTop w:val="0"/>
          <w:marBottom w:val="0"/>
          <w:divBdr>
            <w:top w:val="none" w:sz="0" w:space="0" w:color="auto"/>
            <w:left w:val="none" w:sz="0" w:space="0" w:color="auto"/>
            <w:bottom w:val="none" w:sz="0" w:space="0" w:color="auto"/>
            <w:right w:val="none" w:sz="0" w:space="0" w:color="auto"/>
          </w:divBdr>
        </w:div>
        <w:div w:id="1297183479">
          <w:marLeft w:val="0"/>
          <w:marRight w:val="0"/>
          <w:marTop w:val="0"/>
          <w:marBottom w:val="0"/>
          <w:divBdr>
            <w:top w:val="none" w:sz="0" w:space="0" w:color="auto"/>
            <w:left w:val="none" w:sz="0" w:space="0" w:color="auto"/>
            <w:bottom w:val="none" w:sz="0" w:space="0" w:color="auto"/>
            <w:right w:val="none" w:sz="0" w:space="0" w:color="auto"/>
          </w:divBdr>
        </w:div>
        <w:div w:id="608467548">
          <w:marLeft w:val="0"/>
          <w:marRight w:val="0"/>
          <w:marTop w:val="0"/>
          <w:marBottom w:val="0"/>
          <w:divBdr>
            <w:top w:val="none" w:sz="0" w:space="0" w:color="auto"/>
            <w:left w:val="none" w:sz="0" w:space="0" w:color="auto"/>
            <w:bottom w:val="none" w:sz="0" w:space="0" w:color="auto"/>
            <w:right w:val="none" w:sz="0" w:space="0" w:color="auto"/>
          </w:divBdr>
        </w:div>
        <w:div w:id="1195966683">
          <w:marLeft w:val="0"/>
          <w:marRight w:val="0"/>
          <w:marTop w:val="0"/>
          <w:marBottom w:val="0"/>
          <w:divBdr>
            <w:top w:val="none" w:sz="0" w:space="0" w:color="auto"/>
            <w:left w:val="none" w:sz="0" w:space="0" w:color="auto"/>
            <w:bottom w:val="none" w:sz="0" w:space="0" w:color="auto"/>
            <w:right w:val="none" w:sz="0" w:space="0" w:color="auto"/>
          </w:divBdr>
        </w:div>
        <w:div w:id="1598320121">
          <w:marLeft w:val="0"/>
          <w:marRight w:val="0"/>
          <w:marTop w:val="0"/>
          <w:marBottom w:val="0"/>
          <w:divBdr>
            <w:top w:val="none" w:sz="0" w:space="0" w:color="auto"/>
            <w:left w:val="none" w:sz="0" w:space="0" w:color="auto"/>
            <w:bottom w:val="none" w:sz="0" w:space="0" w:color="auto"/>
            <w:right w:val="none" w:sz="0" w:space="0" w:color="auto"/>
          </w:divBdr>
        </w:div>
        <w:div w:id="290130975">
          <w:marLeft w:val="0"/>
          <w:marRight w:val="0"/>
          <w:marTop w:val="0"/>
          <w:marBottom w:val="0"/>
          <w:divBdr>
            <w:top w:val="none" w:sz="0" w:space="0" w:color="auto"/>
            <w:left w:val="none" w:sz="0" w:space="0" w:color="auto"/>
            <w:bottom w:val="none" w:sz="0" w:space="0" w:color="auto"/>
            <w:right w:val="none" w:sz="0" w:space="0" w:color="auto"/>
          </w:divBdr>
        </w:div>
        <w:div w:id="393550847">
          <w:marLeft w:val="0"/>
          <w:marRight w:val="0"/>
          <w:marTop w:val="0"/>
          <w:marBottom w:val="0"/>
          <w:divBdr>
            <w:top w:val="none" w:sz="0" w:space="0" w:color="auto"/>
            <w:left w:val="none" w:sz="0" w:space="0" w:color="auto"/>
            <w:bottom w:val="none" w:sz="0" w:space="0" w:color="auto"/>
            <w:right w:val="none" w:sz="0" w:space="0" w:color="auto"/>
          </w:divBdr>
        </w:div>
        <w:div w:id="275213919">
          <w:marLeft w:val="0"/>
          <w:marRight w:val="0"/>
          <w:marTop w:val="0"/>
          <w:marBottom w:val="0"/>
          <w:divBdr>
            <w:top w:val="none" w:sz="0" w:space="0" w:color="auto"/>
            <w:left w:val="none" w:sz="0" w:space="0" w:color="auto"/>
            <w:bottom w:val="none" w:sz="0" w:space="0" w:color="auto"/>
            <w:right w:val="none" w:sz="0" w:space="0" w:color="auto"/>
          </w:divBdr>
        </w:div>
        <w:div w:id="1312102281">
          <w:marLeft w:val="0"/>
          <w:marRight w:val="0"/>
          <w:marTop w:val="0"/>
          <w:marBottom w:val="0"/>
          <w:divBdr>
            <w:top w:val="none" w:sz="0" w:space="0" w:color="auto"/>
            <w:left w:val="none" w:sz="0" w:space="0" w:color="auto"/>
            <w:bottom w:val="none" w:sz="0" w:space="0" w:color="auto"/>
            <w:right w:val="none" w:sz="0" w:space="0" w:color="auto"/>
          </w:divBdr>
        </w:div>
        <w:div w:id="1984578129">
          <w:marLeft w:val="0"/>
          <w:marRight w:val="0"/>
          <w:marTop w:val="0"/>
          <w:marBottom w:val="0"/>
          <w:divBdr>
            <w:top w:val="none" w:sz="0" w:space="0" w:color="auto"/>
            <w:left w:val="none" w:sz="0" w:space="0" w:color="auto"/>
            <w:bottom w:val="none" w:sz="0" w:space="0" w:color="auto"/>
            <w:right w:val="none" w:sz="0" w:space="0" w:color="auto"/>
          </w:divBdr>
        </w:div>
        <w:div w:id="1069839896">
          <w:marLeft w:val="0"/>
          <w:marRight w:val="0"/>
          <w:marTop w:val="0"/>
          <w:marBottom w:val="0"/>
          <w:divBdr>
            <w:top w:val="none" w:sz="0" w:space="0" w:color="auto"/>
            <w:left w:val="none" w:sz="0" w:space="0" w:color="auto"/>
            <w:bottom w:val="none" w:sz="0" w:space="0" w:color="auto"/>
            <w:right w:val="none" w:sz="0" w:space="0" w:color="auto"/>
          </w:divBdr>
        </w:div>
        <w:div w:id="644354123">
          <w:marLeft w:val="0"/>
          <w:marRight w:val="0"/>
          <w:marTop w:val="0"/>
          <w:marBottom w:val="0"/>
          <w:divBdr>
            <w:top w:val="none" w:sz="0" w:space="0" w:color="auto"/>
            <w:left w:val="none" w:sz="0" w:space="0" w:color="auto"/>
            <w:bottom w:val="none" w:sz="0" w:space="0" w:color="auto"/>
            <w:right w:val="none" w:sz="0" w:space="0" w:color="auto"/>
          </w:divBdr>
        </w:div>
        <w:div w:id="608047218">
          <w:marLeft w:val="0"/>
          <w:marRight w:val="0"/>
          <w:marTop w:val="0"/>
          <w:marBottom w:val="0"/>
          <w:divBdr>
            <w:top w:val="none" w:sz="0" w:space="0" w:color="auto"/>
            <w:left w:val="none" w:sz="0" w:space="0" w:color="auto"/>
            <w:bottom w:val="none" w:sz="0" w:space="0" w:color="auto"/>
            <w:right w:val="none" w:sz="0" w:space="0" w:color="auto"/>
          </w:divBdr>
        </w:div>
        <w:div w:id="2021420850">
          <w:marLeft w:val="0"/>
          <w:marRight w:val="0"/>
          <w:marTop w:val="0"/>
          <w:marBottom w:val="0"/>
          <w:divBdr>
            <w:top w:val="none" w:sz="0" w:space="0" w:color="auto"/>
            <w:left w:val="none" w:sz="0" w:space="0" w:color="auto"/>
            <w:bottom w:val="none" w:sz="0" w:space="0" w:color="auto"/>
            <w:right w:val="none" w:sz="0" w:space="0" w:color="auto"/>
          </w:divBdr>
        </w:div>
        <w:div w:id="2096827400">
          <w:marLeft w:val="0"/>
          <w:marRight w:val="0"/>
          <w:marTop w:val="0"/>
          <w:marBottom w:val="0"/>
          <w:divBdr>
            <w:top w:val="none" w:sz="0" w:space="0" w:color="auto"/>
            <w:left w:val="none" w:sz="0" w:space="0" w:color="auto"/>
            <w:bottom w:val="none" w:sz="0" w:space="0" w:color="auto"/>
            <w:right w:val="none" w:sz="0" w:space="0" w:color="auto"/>
          </w:divBdr>
        </w:div>
        <w:div w:id="324936979">
          <w:marLeft w:val="0"/>
          <w:marRight w:val="0"/>
          <w:marTop w:val="0"/>
          <w:marBottom w:val="0"/>
          <w:divBdr>
            <w:top w:val="none" w:sz="0" w:space="0" w:color="auto"/>
            <w:left w:val="none" w:sz="0" w:space="0" w:color="auto"/>
            <w:bottom w:val="none" w:sz="0" w:space="0" w:color="auto"/>
            <w:right w:val="none" w:sz="0" w:space="0" w:color="auto"/>
          </w:divBdr>
        </w:div>
        <w:div w:id="1349064794">
          <w:marLeft w:val="0"/>
          <w:marRight w:val="0"/>
          <w:marTop w:val="0"/>
          <w:marBottom w:val="0"/>
          <w:divBdr>
            <w:top w:val="none" w:sz="0" w:space="0" w:color="auto"/>
            <w:left w:val="none" w:sz="0" w:space="0" w:color="auto"/>
            <w:bottom w:val="none" w:sz="0" w:space="0" w:color="auto"/>
            <w:right w:val="none" w:sz="0" w:space="0" w:color="auto"/>
          </w:divBdr>
        </w:div>
        <w:div w:id="1441291896">
          <w:marLeft w:val="0"/>
          <w:marRight w:val="0"/>
          <w:marTop w:val="0"/>
          <w:marBottom w:val="0"/>
          <w:divBdr>
            <w:top w:val="none" w:sz="0" w:space="0" w:color="auto"/>
            <w:left w:val="none" w:sz="0" w:space="0" w:color="auto"/>
            <w:bottom w:val="none" w:sz="0" w:space="0" w:color="auto"/>
            <w:right w:val="none" w:sz="0" w:space="0" w:color="auto"/>
          </w:divBdr>
        </w:div>
        <w:div w:id="928852272">
          <w:marLeft w:val="0"/>
          <w:marRight w:val="0"/>
          <w:marTop w:val="0"/>
          <w:marBottom w:val="0"/>
          <w:divBdr>
            <w:top w:val="none" w:sz="0" w:space="0" w:color="auto"/>
            <w:left w:val="none" w:sz="0" w:space="0" w:color="auto"/>
            <w:bottom w:val="none" w:sz="0" w:space="0" w:color="auto"/>
            <w:right w:val="none" w:sz="0" w:space="0" w:color="auto"/>
          </w:divBdr>
        </w:div>
      </w:divsChild>
    </w:div>
    <w:div w:id="1011641439">
      <w:bodyDiv w:val="1"/>
      <w:marLeft w:val="0"/>
      <w:marRight w:val="0"/>
      <w:marTop w:val="0"/>
      <w:marBottom w:val="0"/>
      <w:divBdr>
        <w:top w:val="none" w:sz="0" w:space="0" w:color="auto"/>
        <w:left w:val="none" w:sz="0" w:space="0" w:color="auto"/>
        <w:bottom w:val="none" w:sz="0" w:space="0" w:color="auto"/>
        <w:right w:val="none" w:sz="0" w:space="0" w:color="auto"/>
      </w:divBdr>
      <w:divsChild>
        <w:div w:id="68819886">
          <w:marLeft w:val="0"/>
          <w:marRight w:val="0"/>
          <w:marTop w:val="0"/>
          <w:marBottom w:val="0"/>
          <w:divBdr>
            <w:top w:val="none" w:sz="0" w:space="0" w:color="auto"/>
            <w:left w:val="none" w:sz="0" w:space="0" w:color="auto"/>
            <w:bottom w:val="none" w:sz="0" w:space="0" w:color="auto"/>
            <w:right w:val="none" w:sz="0" w:space="0" w:color="auto"/>
          </w:divBdr>
          <w:divsChild>
            <w:div w:id="238102173">
              <w:marLeft w:val="0"/>
              <w:marRight w:val="0"/>
              <w:marTop w:val="0"/>
              <w:marBottom w:val="0"/>
              <w:divBdr>
                <w:top w:val="none" w:sz="0" w:space="0" w:color="auto"/>
                <w:left w:val="none" w:sz="0" w:space="0" w:color="auto"/>
                <w:bottom w:val="none" w:sz="0" w:space="0" w:color="auto"/>
                <w:right w:val="none" w:sz="0" w:space="0" w:color="auto"/>
              </w:divBdr>
            </w:div>
            <w:div w:id="1647734368">
              <w:marLeft w:val="0"/>
              <w:marRight w:val="0"/>
              <w:marTop w:val="0"/>
              <w:marBottom w:val="0"/>
              <w:divBdr>
                <w:top w:val="none" w:sz="0" w:space="0" w:color="auto"/>
                <w:left w:val="none" w:sz="0" w:space="0" w:color="auto"/>
                <w:bottom w:val="none" w:sz="0" w:space="0" w:color="auto"/>
                <w:right w:val="none" w:sz="0" w:space="0" w:color="auto"/>
              </w:divBdr>
            </w:div>
            <w:div w:id="91324408">
              <w:marLeft w:val="0"/>
              <w:marRight w:val="0"/>
              <w:marTop w:val="0"/>
              <w:marBottom w:val="0"/>
              <w:divBdr>
                <w:top w:val="none" w:sz="0" w:space="0" w:color="auto"/>
                <w:left w:val="none" w:sz="0" w:space="0" w:color="auto"/>
                <w:bottom w:val="none" w:sz="0" w:space="0" w:color="auto"/>
                <w:right w:val="none" w:sz="0" w:space="0" w:color="auto"/>
              </w:divBdr>
            </w:div>
            <w:div w:id="221524528">
              <w:marLeft w:val="0"/>
              <w:marRight w:val="0"/>
              <w:marTop w:val="0"/>
              <w:marBottom w:val="0"/>
              <w:divBdr>
                <w:top w:val="none" w:sz="0" w:space="0" w:color="auto"/>
                <w:left w:val="none" w:sz="0" w:space="0" w:color="auto"/>
                <w:bottom w:val="none" w:sz="0" w:space="0" w:color="auto"/>
                <w:right w:val="none" w:sz="0" w:space="0" w:color="auto"/>
              </w:divBdr>
            </w:div>
          </w:divsChild>
        </w:div>
        <w:div w:id="559899933">
          <w:marLeft w:val="0"/>
          <w:marRight w:val="0"/>
          <w:marTop w:val="0"/>
          <w:marBottom w:val="0"/>
          <w:divBdr>
            <w:top w:val="none" w:sz="0" w:space="0" w:color="auto"/>
            <w:left w:val="none" w:sz="0" w:space="0" w:color="auto"/>
            <w:bottom w:val="none" w:sz="0" w:space="0" w:color="auto"/>
            <w:right w:val="none" w:sz="0" w:space="0" w:color="auto"/>
          </w:divBdr>
          <w:divsChild>
            <w:div w:id="1703357534">
              <w:marLeft w:val="0"/>
              <w:marRight w:val="0"/>
              <w:marTop w:val="0"/>
              <w:marBottom w:val="0"/>
              <w:divBdr>
                <w:top w:val="none" w:sz="0" w:space="0" w:color="auto"/>
                <w:left w:val="none" w:sz="0" w:space="0" w:color="auto"/>
                <w:bottom w:val="none" w:sz="0" w:space="0" w:color="auto"/>
                <w:right w:val="none" w:sz="0" w:space="0" w:color="auto"/>
              </w:divBdr>
            </w:div>
            <w:div w:id="409812908">
              <w:marLeft w:val="0"/>
              <w:marRight w:val="0"/>
              <w:marTop w:val="0"/>
              <w:marBottom w:val="0"/>
              <w:divBdr>
                <w:top w:val="none" w:sz="0" w:space="0" w:color="auto"/>
                <w:left w:val="none" w:sz="0" w:space="0" w:color="auto"/>
                <w:bottom w:val="none" w:sz="0" w:space="0" w:color="auto"/>
                <w:right w:val="none" w:sz="0" w:space="0" w:color="auto"/>
              </w:divBdr>
            </w:div>
            <w:div w:id="1737434271">
              <w:marLeft w:val="0"/>
              <w:marRight w:val="0"/>
              <w:marTop w:val="0"/>
              <w:marBottom w:val="0"/>
              <w:divBdr>
                <w:top w:val="none" w:sz="0" w:space="0" w:color="auto"/>
                <w:left w:val="none" w:sz="0" w:space="0" w:color="auto"/>
                <w:bottom w:val="none" w:sz="0" w:space="0" w:color="auto"/>
                <w:right w:val="none" w:sz="0" w:space="0" w:color="auto"/>
              </w:divBdr>
            </w:div>
            <w:div w:id="2033022957">
              <w:marLeft w:val="0"/>
              <w:marRight w:val="0"/>
              <w:marTop w:val="0"/>
              <w:marBottom w:val="0"/>
              <w:divBdr>
                <w:top w:val="none" w:sz="0" w:space="0" w:color="auto"/>
                <w:left w:val="none" w:sz="0" w:space="0" w:color="auto"/>
                <w:bottom w:val="none" w:sz="0" w:space="0" w:color="auto"/>
                <w:right w:val="none" w:sz="0" w:space="0" w:color="auto"/>
              </w:divBdr>
            </w:div>
            <w:div w:id="20915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5344549">
      <w:bodyDiv w:val="1"/>
      <w:marLeft w:val="0"/>
      <w:marRight w:val="0"/>
      <w:marTop w:val="0"/>
      <w:marBottom w:val="0"/>
      <w:divBdr>
        <w:top w:val="none" w:sz="0" w:space="0" w:color="auto"/>
        <w:left w:val="none" w:sz="0" w:space="0" w:color="auto"/>
        <w:bottom w:val="none" w:sz="0" w:space="0" w:color="auto"/>
        <w:right w:val="none" w:sz="0" w:space="0" w:color="auto"/>
      </w:divBdr>
      <w:divsChild>
        <w:div w:id="1419330755">
          <w:marLeft w:val="0"/>
          <w:marRight w:val="0"/>
          <w:marTop w:val="0"/>
          <w:marBottom w:val="0"/>
          <w:divBdr>
            <w:top w:val="none" w:sz="0" w:space="0" w:color="auto"/>
            <w:left w:val="none" w:sz="0" w:space="0" w:color="auto"/>
            <w:bottom w:val="none" w:sz="0" w:space="0" w:color="auto"/>
            <w:right w:val="none" w:sz="0" w:space="0" w:color="auto"/>
          </w:divBdr>
        </w:div>
        <w:div w:id="205876814">
          <w:marLeft w:val="0"/>
          <w:marRight w:val="0"/>
          <w:marTop w:val="0"/>
          <w:marBottom w:val="0"/>
          <w:divBdr>
            <w:top w:val="none" w:sz="0" w:space="0" w:color="auto"/>
            <w:left w:val="none" w:sz="0" w:space="0" w:color="auto"/>
            <w:bottom w:val="none" w:sz="0" w:space="0" w:color="auto"/>
            <w:right w:val="none" w:sz="0" w:space="0" w:color="auto"/>
          </w:divBdr>
        </w:div>
        <w:div w:id="1225024122">
          <w:marLeft w:val="0"/>
          <w:marRight w:val="0"/>
          <w:marTop w:val="0"/>
          <w:marBottom w:val="0"/>
          <w:divBdr>
            <w:top w:val="none" w:sz="0" w:space="0" w:color="auto"/>
            <w:left w:val="none" w:sz="0" w:space="0" w:color="auto"/>
            <w:bottom w:val="none" w:sz="0" w:space="0" w:color="auto"/>
            <w:right w:val="none" w:sz="0" w:space="0" w:color="auto"/>
          </w:divBdr>
        </w:div>
        <w:div w:id="294525143">
          <w:marLeft w:val="0"/>
          <w:marRight w:val="0"/>
          <w:marTop w:val="0"/>
          <w:marBottom w:val="0"/>
          <w:divBdr>
            <w:top w:val="none" w:sz="0" w:space="0" w:color="auto"/>
            <w:left w:val="none" w:sz="0" w:space="0" w:color="auto"/>
            <w:bottom w:val="none" w:sz="0" w:space="0" w:color="auto"/>
            <w:right w:val="none" w:sz="0" w:space="0" w:color="auto"/>
          </w:divBdr>
        </w:div>
        <w:div w:id="255402438">
          <w:marLeft w:val="0"/>
          <w:marRight w:val="0"/>
          <w:marTop w:val="0"/>
          <w:marBottom w:val="0"/>
          <w:divBdr>
            <w:top w:val="none" w:sz="0" w:space="0" w:color="auto"/>
            <w:left w:val="none" w:sz="0" w:space="0" w:color="auto"/>
            <w:bottom w:val="none" w:sz="0" w:space="0" w:color="auto"/>
            <w:right w:val="none" w:sz="0" w:space="0" w:color="auto"/>
          </w:divBdr>
        </w:div>
        <w:div w:id="703603913">
          <w:marLeft w:val="0"/>
          <w:marRight w:val="0"/>
          <w:marTop w:val="0"/>
          <w:marBottom w:val="0"/>
          <w:divBdr>
            <w:top w:val="none" w:sz="0" w:space="0" w:color="auto"/>
            <w:left w:val="none" w:sz="0" w:space="0" w:color="auto"/>
            <w:bottom w:val="none" w:sz="0" w:space="0" w:color="auto"/>
            <w:right w:val="none" w:sz="0" w:space="0" w:color="auto"/>
          </w:divBdr>
        </w:div>
        <w:div w:id="923302551">
          <w:marLeft w:val="0"/>
          <w:marRight w:val="0"/>
          <w:marTop w:val="0"/>
          <w:marBottom w:val="0"/>
          <w:divBdr>
            <w:top w:val="none" w:sz="0" w:space="0" w:color="auto"/>
            <w:left w:val="none" w:sz="0" w:space="0" w:color="auto"/>
            <w:bottom w:val="none" w:sz="0" w:space="0" w:color="auto"/>
            <w:right w:val="none" w:sz="0" w:space="0" w:color="auto"/>
          </w:divBdr>
        </w:div>
        <w:div w:id="667825714">
          <w:marLeft w:val="0"/>
          <w:marRight w:val="0"/>
          <w:marTop w:val="0"/>
          <w:marBottom w:val="0"/>
          <w:divBdr>
            <w:top w:val="none" w:sz="0" w:space="0" w:color="auto"/>
            <w:left w:val="none" w:sz="0" w:space="0" w:color="auto"/>
            <w:bottom w:val="none" w:sz="0" w:space="0" w:color="auto"/>
            <w:right w:val="none" w:sz="0" w:space="0" w:color="auto"/>
          </w:divBdr>
        </w:div>
        <w:div w:id="675881700">
          <w:marLeft w:val="0"/>
          <w:marRight w:val="0"/>
          <w:marTop w:val="0"/>
          <w:marBottom w:val="0"/>
          <w:divBdr>
            <w:top w:val="none" w:sz="0" w:space="0" w:color="auto"/>
            <w:left w:val="none" w:sz="0" w:space="0" w:color="auto"/>
            <w:bottom w:val="none" w:sz="0" w:space="0" w:color="auto"/>
            <w:right w:val="none" w:sz="0" w:space="0" w:color="auto"/>
          </w:divBdr>
        </w:div>
        <w:div w:id="86117519">
          <w:marLeft w:val="0"/>
          <w:marRight w:val="0"/>
          <w:marTop w:val="0"/>
          <w:marBottom w:val="0"/>
          <w:divBdr>
            <w:top w:val="none" w:sz="0" w:space="0" w:color="auto"/>
            <w:left w:val="none" w:sz="0" w:space="0" w:color="auto"/>
            <w:bottom w:val="none" w:sz="0" w:space="0" w:color="auto"/>
            <w:right w:val="none" w:sz="0" w:space="0" w:color="auto"/>
          </w:divBdr>
        </w:div>
        <w:div w:id="1379667004">
          <w:marLeft w:val="0"/>
          <w:marRight w:val="0"/>
          <w:marTop w:val="0"/>
          <w:marBottom w:val="0"/>
          <w:divBdr>
            <w:top w:val="none" w:sz="0" w:space="0" w:color="auto"/>
            <w:left w:val="none" w:sz="0" w:space="0" w:color="auto"/>
            <w:bottom w:val="none" w:sz="0" w:space="0" w:color="auto"/>
            <w:right w:val="none" w:sz="0" w:space="0" w:color="auto"/>
          </w:divBdr>
        </w:div>
        <w:div w:id="1675456972">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40350528">
      <w:bodyDiv w:val="1"/>
      <w:marLeft w:val="0"/>
      <w:marRight w:val="0"/>
      <w:marTop w:val="0"/>
      <w:marBottom w:val="0"/>
      <w:divBdr>
        <w:top w:val="none" w:sz="0" w:space="0" w:color="auto"/>
        <w:left w:val="none" w:sz="0" w:space="0" w:color="auto"/>
        <w:bottom w:val="none" w:sz="0" w:space="0" w:color="auto"/>
        <w:right w:val="none" w:sz="0" w:space="0" w:color="auto"/>
      </w:divBdr>
      <w:divsChild>
        <w:div w:id="1868172366">
          <w:marLeft w:val="0"/>
          <w:marRight w:val="0"/>
          <w:marTop w:val="0"/>
          <w:marBottom w:val="0"/>
          <w:divBdr>
            <w:top w:val="none" w:sz="0" w:space="0" w:color="auto"/>
            <w:left w:val="none" w:sz="0" w:space="0" w:color="auto"/>
            <w:bottom w:val="none" w:sz="0" w:space="0" w:color="auto"/>
            <w:right w:val="none" w:sz="0" w:space="0" w:color="auto"/>
          </w:divBdr>
        </w:div>
        <w:div w:id="550769548">
          <w:marLeft w:val="0"/>
          <w:marRight w:val="0"/>
          <w:marTop w:val="0"/>
          <w:marBottom w:val="0"/>
          <w:divBdr>
            <w:top w:val="none" w:sz="0" w:space="0" w:color="auto"/>
            <w:left w:val="none" w:sz="0" w:space="0" w:color="auto"/>
            <w:bottom w:val="none" w:sz="0" w:space="0" w:color="auto"/>
            <w:right w:val="none" w:sz="0" w:space="0" w:color="auto"/>
          </w:divBdr>
        </w:div>
        <w:div w:id="1569538824">
          <w:marLeft w:val="0"/>
          <w:marRight w:val="0"/>
          <w:marTop w:val="0"/>
          <w:marBottom w:val="0"/>
          <w:divBdr>
            <w:top w:val="none" w:sz="0" w:space="0" w:color="auto"/>
            <w:left w:val="none" w:sz="0" w:space="0" w:color="auto"/>
            <w:bottom w:val="none" w:sz="0" w:space="0" w:color="auto"/>
            <w:right w:val="none" w:sz="0" w:space="0" w:color="auto"/>
          </w:divBdr>
        </w:div>
        <w:div w:id="861165920">
          <w:marLeft w:val="0"/>
          <w:marRight w:val="0"/>
          <w:marTop w:val="0"/>
          <w:marBottom w:val="0"/>
          <w:divBdr>
            <w:top w:val="none" w:sz="0" w:space="0" w:color="auto"/>
            <w:left w:val="none" w:sz="0" w:space="0" w:color="auto"/>
            <w:bottom w:val="none" w:sz="0" w:space="0" w:color="auto"/>
            <w:right w:val="none" w:sz="0" w:space="0" w:color="auto"/>
          </w:divBdr>
        </w:div>
        <w:div w:id="1519928456">
          <w:marLeft w:val="0"/>
          <w:marRight w:val="0"/>
          <w:marTop w:val="0"/>
          <w:marBottom w:val="0"/>
          <w:divBdr>
            <w:top w:val="none" w:sz="0" w:space="0" w:color="auto"/>
            <w:left w:val="none" w:sz="0" w:space="0" w:color="auto"/>
            <w:bottom w:val="none" w:sz="0" w:space="0" w:color="auto"/>
            <w:right w:val="none" w:sz="0" w:space="0" w:color="auto"/>
          </w:divBdr>
        </w:div>
        <w:div w:id="853306187">
          <w:marLeft w:val="0"/>
          <w:marRight w:val="0"/>
          <w:marTop w:val="0"/>
          <w:marBottom w:val="0"/>
          <w:divBdr>
            <w:top w:val="none" w:sz="0" w:space="0" w:color="auto"/>
            <w:left w:val="none" w:sz="0" w:space="0" w:color="auto"/>
            <w:bottom w:val="none" w:sz="0" w:space="0" w:color="auto"/>
            <w:right w:val="none" w:sz="0" w:space="0" w:color="auto"/>
          </w:divBdr>
        </w:div>
        <w:div w:id="1276327019">
          <w:marLeft w:val="0"/>
          <w:marRight w:val="0"/>
          <w:marTop w:val="0"/>
          <w:marBottom w:val="0"/>
          <w:divBdr>
            <w:top w:val="none" w:sz="0" w:space="0" w:color="auto"/>
            <w:left w:val="none" w:sz="0" w:space="0" w:color="auto"/>
            <w:bottom w:val="none" w:sz="0" w:space="0" w:color="auto"/>
            <w:right w:val="none" w:sz="0" w:space="0" w:color="auto"/>
          </w:divBdr>
        </w:div>
        <w:div w:id="2057317381">
          <w:marLeft w:val="0"/>
          <w:marRight w:val="0"/>
          <w:marTop w:val="0"/>
          <w:marBottom w:val="0"/>
          <w:divBdr>
            <w:top w:val="none" w:sz="0" w:space="0" w:color="auto"/>
            <w:left w:val="none" w:sz="0" w:space="0" w:color="auto"/>
            <w:bottom w:val="none" w:sz="0" w:space="0" w:color="auto"/>
            <w:right w:val="none" w:sz="0" w:space="0" w:color="auto"/>
          </w:divBdr>
        </w:div>
        <w:div w:id="1572303272">
          <w:marLeft w:val="0"/>
          <w:marRight w:val="0"/>
          <w:marTop w:val="0"/>
          <w:marBottom w:val="0"/>
          <w:divBdr>
            <w:top w:val="none" w:sz="0" w:space="0" w:color="auto"/>
            <w:left w:val="none" w:sz="0" w:space="0" w:color="auto"/>
            <w:bottom w:val="none" w:sz="0" w:space="0" w:color="auto"/>
            <w:right w:val="none" w:sz="0" w:space="0" w:color="auto"/>
          </w:divBdr>
        </w:div>
        <w:div w:id="1718773107">
          <w:marLeft w:val="0"/>
          <w:marRight w:val="0"/>
          <w:marTop w:val="0"/>
          <w:marBottom w:val="0"/>
          <w:divBdr>
            <w:top w:val="none" w:sz="0" w:space="0" w:color="auto"/>
            <w:left w:val="none" w:sz="0" w:space="0" w:color="auto"/>
            <w:bottom w:val="none" w:sz="0" w:space="0" w:color="auto"/>
            <w:right w:val="none" w:sz="0" w:space="0" w:color="auto"/>
          </w:divBdr>
        </w:div>
        <w:div w:id="491719813">
          <w:marLeft w:val="0"/>
          <w:marRight w:val="0"/>
          <w:marTop w:val="0"/>
          <w:marBottom w:val="0"/>
          <w:divBdr>
            <w:top w:val="none" w:sz="0" w:space="0" w:color="auto"/>
            <w:left w:val="none" w:sz="0" w:space="0" w:color="auto"/>
            <w:bottom w:val="none" w:sz="0" w:space="0" w:color="auto"/>
            <w:right w:val="none" w:sz="0" w:space="0" w:color="auto"/>
          </w:divBdr>
        </w:div>
      </w:divsChild>
    </w:div>
    <w:div w:id="1405496035">
      <w:bodyDiv w:val="1"/>
      <w:marLeft w:val="0"/>
      <w:marRight w:val="0"/>
      <w:marTop w:val="0"/>
      <w:marBottom w:val="0"/>
      <w:divBdr>
        <w:top w:val="none" w:sz="0" w:space="0" w:color="auto"/>
        <w:left w:val="none" w:sz="0" w:space="0" w:color="auto"/>
        <w:bottom w:val="none" w:sz="0" w:space="0" w:color="auto"/>
        <w:right w:val="none" w:sz="0" w:space="0" w:color="auto"/>
      </w:divBdr>
      <w:divsChild>
        <w:div w:id="1030839961">
          <w:marLeft w:val="0"/>
          <w:marRight w:val="0"/>
          <w:marTop w:val="0"/>
          <w:marBottom w:val="0"/>
          <w:divBdr>
            <w:top w:val="none" w:sz="0" w:space="0" w:color="auto"/>
            <w:left w:val="none" w:sz="0" w:space="0" w:color="auto"/>
            <w:bottom w:val="none" w:sz="0" w:space="0" w:color="auto"/>
            <w:right w:val="none" w:sz="0" w:space="0" w:color="auto"/>
          </w:divBdr>
        </w:div>
        <w:div w:id="930897945">
          <w:marLeft w:val="0"/>
          <w:marRight w:val="0"/>
          <w:marTop w:val="0"/>
          <w:marBottom w:val="0"/>
          <w:divBdr>
            <w:top w:val="none" w:sz="0" w:space="0" w:color="auto"/>
            <w:left w:val="none" w:sz="0" w:space="0" w:color="auto"/>
            <w:bottom w:val="none" w:sz="0" w:space="0" w:color="auto"/>
            <w:right w:val="none" w:sz="0" w:space="0" w:color="auto"/>
          </w:divBdr>
        </w:div>
        <w:div w:id="1215242354">
          <w:marLeft w:val="0"/>
          <w:marRight w:val="0"/>
          <w:marTop w:val="0"/>
          <w:marBottom w:val="0"/>
          <w:divBdr>
            <w:top w:val="none" w:sz="0" w:space="0" w:color="auto"/>
            <w:left w:val="none" w:sz="0" w:space="0" w:color="auto"/>
            <w:bottom w:val="none" w:sz="0" w:space="0" w:color="auto"/>
            <w:right w:val="none" w:sz="0" w:space="0" w:color="auto"/>
          </w:divBdr>
        </w:div>
      </w:divsChild>
    </w:div>
    <w:div w:id="1510027542">
      <w:bodyDiv w:val="1"/>
      <w:marLeft w:val="0"/>
      <w:marRight w:val="0"/>
      <w:marTop w:val="0"/>
      <w:marBottom w:val="0"/>
      <w:divBdr>
        <w:top w:val="none" w:sz="0" w:space="0" w:color="auto"/>
        <w:left w:val="none" w:sz="0" w:space="0" w:color="auto"/>
        <w:bottom w:val="none" w:sz="0" w:space="0" w:color="auto"/>
        <w:right w:val="none" w:sz="0" w:space="0" w:color="auto"/>
      </w:divBdr>
      <w:divsChild>
        <w:div w:id="159590608">
          <w:marLeft w:val="0"/>
          <w:marRight w:val="0"/>
          <w:marTop w:val="0"/>
          <w:marBottom w:val="0"/>
          <w:divBdr>
            <w:top w:val="none" w:sz="0" w:space="0" w:color="auto"/>
            <w:left w:val="none" w:sz="0" w:space="0" w:color="auto"/>
            <w:bottom w:val="none" w:sz="0" w:space="0" w:color="auto"/>
            <w:right w:val="none" w:sz="0" w:space="0" w:color="auto"/>
          </w:divBdr>
        </w:div>
        <w:div w:id="1436638077">
          <w:marLeft w:val="0"/>
          <w:marRight w:val="0"/>
          <w:marTop w:val="0"/>
          <w:marBottom w:val="0"/>
          <w:divBdr>
            <w:top w:val="none" w:sz="0" w:space="0" w:color="auto"/>
            <w:left w:val="none" w:sz="0" w:space="0" w:color="auto"/>
            <w:bottom w:val="none" w:sz="0" w:space="0" w:color="auto"/>
            <w:right w:val="none" w:sz="0" w:space="0" w:color="auto"/>
          </w:divBdr>
        </w:div>
        <w:div w:id="2116052177">
          <w:marLeft w:val="0"/>
          <w:marRight w:val="0"/>
          <w:marTop w:val="0"/>
          <w:marBottom w:val="0"/>
          <w:divBdr>
            <w:top w:val="none" w:sz="0" w:space="0" w:color="auto"/>
            <w:left w:val="none" w:sz="0" w:space="0" w:color="auto"/>
            <w:bottom w:val="none" w:sz="0" w:space="0" w:color="auto"/>
            <w:right w:val="none" w:sz="0" w:space="0" w:color="auto"/>
          </w:divBdr>
        </w:div>
      </w:divsChild>
    </w:div>
    <w:div w:id="1716809509">
      <w:bodyDiv w:val="1"/>
      <w:marLeft w:val="0"/>
      <w:marRight w:val="0"/>
      <w:marTop w:val="0"/>
      <w:marBottom w:val="0"/>
      <w:divBdr>
        <w:top w:val="none" w:sz="0" w:space="0" w:color="auto"/>
        <w:left w:val="none" w:sz="0" w:space="0" w:color="auto"/>
        <w:bottom w:val="none" w:sz="0" w:space="0" w:color="auto"/>
        <w:right w:val="none" w:sz="0" w:space="0" w:color="auto"/>
      </w:divBdr>
      <w:divsChild>
        <w:div w:id="1484392315">
          <w:marLeft w:val="0"/>
          <w:marRight w:val="0"/>
          <w:marTop w:val="0"/>
          <w:marBottom w:val="0"/>
          <w:divBdr>
            <w:top w:val="none" w:sz="0" w:space="0" w:color="auto"/>
            <w:left w:val="none" w:sz="0" w:space="0" w:color="auto"/>
            <w:bottom w:val="none" w:sz="0" w:space="0" w:color="auto"/>
            <w:right w:val="none" w:sz="0" w:space="0" w:color="auto"/>
          </w:divBdr>
        </w:div>
        <w:div w:id="8681826">
          <w:marLeft w:val="0"/>
          <w:marRight w:val="0"/>
          <w:marTop w:val="0"/>
          <w:marBottom w:val="0"/>
          <w:divBdr>
            <w:top w:val="none" w:sz="0" w:space="0" w:color="auto"/>
            <w:left w:val="none" w:sz="0" w:space="0" w:color="auto"/>
            <w:bottom w:val="none" w:sz="0" w:space="0" w:color="auto"/>
            <w:right w:val="none" w:sz="0" w:space="0" w:color="auto"/>
          </w:divBdr>
        </w:div>
        <w:div w:id="1056782252">
          <w:marLeft w:val="0"/>
          <w:marRight w:val="0"/>
          <w:marTop w:val="0"/>
          <w:marBottom w:val="0"/>
          <w:divBdr>
            <w:top w:val="none" w:sz="0" w:space="0" w:color="auto"/>
            <w:left w:val="none" w:sz="0" w:space="0" w:color="auto"/>
            <w:bottom w:val="none" w:sz="0" w:space="0" w:color="auto"/>
            <w:right w:val="none" w:sz="0" w:space="0" w:color="auto"/>
          </w:divBdr>
        </w:div>
        <w:div w:id="1192454300">
          <w:marLeft w:val="0"/>
          <w:marRight w:val="0"/>
          <w:marTop w:val="0"/>
          <w:marBottom w:val="0"/>
          <w:divBdr>
            <w:top w:val="none" w:sz="0" w:space="0" w:color="auto"/>
            <w:left w:val="none" w:sz="0" w:space="0" w:color="auto"/>
            <w:bottom w:val="none" w:sz="0" w:space="0" w:color="auto"/>
            <w:right w:val="none" w:sz="0" w:space="0" w:color="auto"/>
          </w:divBdr>
        </w:div>
        <w:div w:id="1285427821">
          <w:marLeft w:val="0"/>
          <w:marRight w:val="0"/>
          <w:marTop w:val="0"/>
          <w:marBottom w:val="0"/>
          <w:divBdr>
            <w:top w:val="none" w:sz="0" w:space="0" w:color="auto"/>
            <w:left w:val="none" w:sz="0" w:space="0" w:color="auto"/>
            <w:bottom w:val="none" w:sz="0" w:space="0" w:color="auto"/>
            <w:right w:val="none" w:sz="0" w:space="0" w:color="auto"/>
          </w:divBdr>
        </w:div>
        <w:div w:id="2107843004">
          <w:marLeft w:val="0"/>
          <w:marRight w:val="0"/>
          <w:marTop w:val="0"/>
          <w:marBottom w:val="0"/>
          <w:divBdr>
            <w:top w:val="none" w:sz="0" w:space="0" w:color="auto"/>
            <w:left w:val="none" w:sz="0" w:space="0" w:color="auto"/>
            <w:bottom w:val="none" w:sz="0" w:space="0" w:color="auto"/>
            <w:right w:val="none" w:sz="0" w:space="0" w:color="auto"/>
          </w:divBdr>
        </w:div>
        <w:div w:id="773941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xtranet.who.int/dhis2" TargetMode="External"/><Relationship Id="rId18" Type="http://schemas.openxmlformats.org/officeDocument/2006/relationships/hyperlink" Target="https://www.who.int/publications/i/item/9789240067295"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who.int/teams/control-of-neglected-tropical-diseases/interventions/strategies/preventive-chemotherapy/joint-application-package" TargetMode="External"/><Relationship Id="rId17" Type="http://schemas.openxmlformats.org/officeDocument/2006/relationships/hyperlink" Target="https://apps.who.int/iris/bitstream/handle/10665/329376/9789241516464-eng.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pps.who.int/iris/bitstream/handle/10665/241869/WER8702.PDF" TargetMode="External"/><Relationship Id="rId20" Type="http://schemas.openxmlformats.org/officeDocument/2006/relationships/hyperlink" Target="https://iris.who.int/handle/10665/36551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C_JointForms@who.int"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who.int/about/policies/publishing/data-policy"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ho.int/publications/i/item/978924001035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ho.int/publications/i/item/1476-072X-8-15"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3CBFD2D5-A53F-4C07-BAAC-F907B1604774}"/>
      </w:docPartPr>
      <w:docPartBody>
        <w:p w:rsidR="002668CC" w:rsidRDefault="008E3909">
          <w:r w:rsidRPr="00D6438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09"/>
    <w:rsid w:val="00187194"/>
    <w:rsid w:val="002668CC"/>
    <w:rsid w:val="00663876"/>
    <w:rsid w:val="008E3909"/>
    <w:rsid w:val="00DC459F"/>
    <w:rsid w:val="00DE28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39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55B7D1C74A84590B9AEEC4749A4EE" ma:contentTypeVersion="11" ma:contentTypeDescription="Create a new document." ma:contentTypeScope="" ma:versionID="39e5f8de963928939168c7ba2f5fa216">
  <xsd:schema xmlns:xsd="http://www.w3.org/2001/XMLSchema" xmlns:xs="http://www.w3.org/2001/XMLSchema" xmlns:p="http://schemas.microsoft.com/office/2006/metadata/properties" xmlns:ns2="f78c84e0-b3b8-489c-bce2-5533f6d122eb" xmlns:ns3="18d7e1cc-278b-4f2a-8d1f-a06cba17f991" targetNamespace="http://schemas.microsoft.com/office/2006/metadata/properties" ma:root="true" ma:fieldsID="8d8f3cb84445fa87f10c1790346b6ff2" ns2:_="" ns3:_="">
    <xsd:import namespace="f78c84e0-b3b8-489c-bce2-5533f6d122eb"/>
    <xsd:import namespace="18d7e1cc-278b-4f2a-8d1f-a06cba17f99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c84e0-b3b8-489c-bce2-5533f6d122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7e1cc-278b-4f2a-8d1f-a06cba17f99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7721D2-088E-4DC9-96BB-14A5DDFCF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8c84e0-b3b8-489c-bce2-5533f6d122eb"/>
    <ds:schemaRef ds:uri="18d7e1cc-278b-4f2a-8d1f-a06cba17f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EA5CBF-6AFC-4344-919D-518CC320BFE0}">
  <ds:schemaRefs>
    <ds:schemaRef ds:uri="http://schemas.openxmlformats.org/officeDocument/2006/bibliography"/>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18d7e1cc-278b-4f2a-8d1f-a06cba17f991"/>
    <ds:schemaRef ds:uri="http://purl.org/dc/terms/"/>
    <ds:schemaRef ds:uri="http://purl.org/dc/dcmitype/"/>
    <ds:schemaRef ds:uri="http://schemas.microsoft.com/office/2006/metadata/properties"/>
    <ds:schemaRef ds:uri="http://purl.org/dc/elements/1.1/"/>
    <ds:schemaRef ds:uri="http://schemas.microsoft.com/office/2006/documentManagement/types"/>
    <ds:schemaRef ds:uri="f78c84e0-b3b8-489c-bce2-5533f6d122eb"/>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3091</Words>
  <Characters>17622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Harumi Shibata Salazar</cp:lastModifiedBy>
  <cp:revision>3</cp:revision>
  <cp:lastPrinted>2024-03-28T05:07:00Z</cp:lastPrinted>
  <dcterms:created xsi:type="dcterms:W3CDTF">2024-03-19T15:08:00Z</dcterms:created>
  <dcterms:modified xsi:type="dcterms:W3CDTF">2024-03-28T05:07:00Z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0x01010022455B7D1C74A84590B9AEEC4749A4EE</vt:lpwstr>
  </property>
</Properties>
</file>