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6C4141AE" w14:textId="77777777" w:rsidR="00913626" w:rsidRDefault="00913626" w:rsidP="00D24330">
      <w:pPr>
        <w:pStyle w:val="MIndHeader"/>
        <w:rPr>
          <w:rStyle w:val="normaltextrun"/>
          <w:rFonts w:ascii="Calibri" w:hAnsi="Calibri" w:cs="Calibri"/>
          <w:color w:val="333333"/>
          <w:sz w:val="21"/>
          <w:szCs w:val="21"/>
        </w:rPr>
      </w:pPr>
      <w:r>
        <w:rPr>
          <w:rStyle w:val="normaltextrun"/>
          <w:rFonts w:ascii="Calibri" w:hAnsi="Calibri" w:cs="Calibri"/>
          <w:color w:val="333333"/>
          <w:sz w:val="21"/>
          <w:szCs w:val="21"/>
        </w:rPr>
        <w:t xml:space="preserve">Goal 11: Make cities and human settlements inclusive, safe, </w:t>
      </w:r>
      <w:proofErr w:type="gramStart"/>
      <w:r>
        <w:rPr>
          <w:rStyle w:val="normaltextrun"/>
          <w:rFonts w:ascii="Calibri" w:hAnsi="Calibri" w:cs="Calibri"/>
          <w:color w:val="333333"/>
          <w:sz w:val="21"/>
          <w:szCs w:val="21"/>
        </w:rPr>
        <w:t>resilient</w:t>
      </w:r>
      <w:proofErr w:type="gramEnd"/>
      <w:r>
        <w:rPr>
          <w:rStyle w:val="normaltextrun"/>
          <w:rFonts w:ascii="Calibri" w:hAnsi="Calibri" w:cs="Calibri"/>
          <w:color w:val="333333"/>
          <w:sz w:val="21"/>
          <w:szCs w:val="21"/>
        </w:rPr>
        <w:t xml:space="preserve"> and sustainable</w:t>
      </w:r>
    </w:p>
    <w:p w14:paraId="084142D2" w14:textId="578DEE3A" w:rsidR="00D24330" w:rsidRPr="00A96255" w:rsidRDefault="00940755" w:rsidP="00D24330">
      <w:pPr>
        <w:pStyle w:val="MIndHeader"/>
      </w:pPr>
      <w:r w:rsidRPr="00940755">
        <w:t xml:space="preserve">0.b. Target </w:t>
      </w:r>
      <w:r>
        <w:rPr>
          <w:color w:val="B4B4B4"/>
          <w:sz w:val="20"/>
        </w:rPr>
        <w:t>(SDG_TARGET)</w:t>
      </w:r>
    </w:p>
    <w:p w14:paraId="7E66C772" w14:textId="77777777" w:rsidR="00913626" w:rsidRPr="00913626" w:rsidRDefault="00913626" w:rsidP="00913626">
      <w:pPr>
        <w:shd w:val="clear" w:color="auto" w:fill="F5F5F5"/>
        <w:spacing w:after="0" w:line="240" w:lineRule="auto"/>
        <w:outlineLvl w:val="4"/>
        <w:rPr>
          <w:rFonts w:ascii="Calibri" w:eastAsia="Times New Roman" w:hAnsi="Calibri" w:cs="Arial"/>
          <w:color w:val="333333"/>
          <w:sz w:val="21"/>
          <w:szCs w:val="21"/>
          <w:lang w:eastAsia="en-GB"/>
        </w:rPr>
      </w:pPr>
      <w:r w:rsidRPr="00913626">
        <w:rPr>
          <w:rFonts w:ascii="Calibri" w:eastAsia="Times New Roman" w:hAnsi="Calibri" w:cs="Arial"/>
          <w:color w:val="333333"/>
          <w:sz w:val="21"/>
          <w:szCs w:val="21"/>
          <w:lang w:eastAsia="en-GB"/>
        </w:rPr>
        <w:t>Target 11.5: By 2030, significantly reduce the number of deaths and the number of people affected and substantially decrease the direct economic losses relative to global gross domestic product caused by disasters, including water-related disasters, with a focus on protecting the poor and people in vulnerable situations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125E4E8A" w14:textId="7019F7DF" w:rsidR="00913626" w:rsidRDefault="00913626" w:rsidP="00D24330">
      <w:pPr>
        <w:pStyle w:val="MIndHeader"/>
        <w:rPr>
          <w:color w:val="333333"/>
          <w:sz w:val="21"/>
          <w:szCs w:val="21"/>
        </w:rPr>
      </w:pPr>
      <w:r w:rsidRPr="00913626">
        <w:rPr>
          <w:color w:val="333333"/>
          <w:sz w:val="21"/>
          <w:szCs w:val="21"/>
        </w:rPr>
        <w:t>Indicator 11.5.</w:t>
      </w:r>
      <w:r w:rsidR="00FE53B0">
        <w:rPr>
          <w:color w:val="333333"/>
          <w:sz w:val="21"/>
          <w:szCs w:val="21"/>
        </w:rPr>
        <w:t>3</w:t>
      </w:r>
      <w:r w:rsidRPr="00913626">
        <w:rPr>
          <w:color w:val="333333"/>
          <w:sz w:val="21"/>
          <w:szCs w:val="21"/>
        </w:rPr>
        <w:t xml:space="preserve">: </w:t>
      </w:r>
      <w:r w:rsidR="00FE53B0" w:rsidRPr="00FE53B0">
        <w:rPr>
          <w:color w:val="333333"/>
          <w:sz w:val="21"/>
          <w:szCs w:val="21"/>
        </w:rPr>
        <w:t>(a) Damage to critical infrastructure and (b) number of disruptions to basic services, attributed to disasters</w:t>
      </w:r>
    </w:p>
    <w:p w14:paraId="37E5E4F6" w14:textId="0F49841F" w:rsidR="00D24330" w:rsidRPr="00AE38A6" w:rsidRDefault="00D24330" w:rsidP="00D24330">
      <w:pPr>
        <w:pStyle w:val="MIndHeader"/>
        <w:rPr>
          <w:lang w:val="en-US"/>
        </w:rPr>
      </w:pPr>
      <w:r w:rsidRPr="00AE38A6">
        <w:rPr>
          <w:lang w:val="en-US"/>
        </w:rPr>
        <w:t xml:space="preserve">0.d. Series </w:t>
      </w:r>
      <w:r>
        <w:rPr>
          <w:color w:val="B4B4B4"/>
          <w:sz w:val="20"/>
        </w:rPr>
        <w:t>(SDG_SERIES_DESCR)</w:t>
      </w:r>
    </w:p>
    <w:p w14:paraId="19FE11C2" w14:textId="77777777" w:rsidR="002554CB" w:rsidRPr="00AE38A6" w:rsidRDefault="002554CB" w:rsidP="001044E6">
      <w:pPr>
        <w:pStyle w:val="MGTHeader"/>
        <w:rPr>
          <w:lang w:val="en-US"/>
        </w:rPr>
      </w:pPr>
    </w:p>
    <w:p w14:paraId="157DACE7" w14:textId="300A6629" w:rsidR="00D24330" w:rsidRPr="00AE38A6" w:rsidRDefault="00D24330" w:rsidP="00D24330">
      <w:pPr>
        <w:pStyle w:val="MIndHeader"/>
        <w:rPr>
          <w:lang w:val="en-US"/>
        </w:rPr>
      </w:pPr>
      <w:r w:rsidRPr="00AE38A6">
        <w:rPr>
          <w:lang w:val="en-US"/>
        </w:rPr>
        <w:t xml:space="preserve">0.e. Metadata update </w:t>
      </w:r>
      <w:r>
        <w:rPr>
          <w:color w:val="B4B4B4"/>
          <w:sz w:val="20"/>
        </w:rPr>
        <w:t>(META_LAST_UPDATE)</w:t>
      </w:r>
    </w:p>
    <w:sdt>
      <w:sdtPr>
        <w:rPr>
          <w:lang w:val="en-US"/>
        </w:rPr>
        <w:id w:val="1459603573"/>
        <w:placeholder>
          <w:docPart w:val="DefaultPlaceholder_-1854013437"/>
        </w:placeholder>
        <w:date w:fullDate="2017-07-07T00:00:00Z">
          <w:dateFormat w:val="yyyy-MM-dd"/>
          <w:lid w:val="en-US"/>
          <w:storeMappedDataAs w:val="dateTime"/>
          <w:calendar w:val="gregorian"/>
        </w:date>
      </w:sdtPr>
      <w:sdtContent>
        <w:p w14:paraId="03424B60" w14:textId="3E249B30" w:rsidR="00D24330" w:rsidRPr="00AE38A6" w:rsidRDefault="002E3AB4" w:rsidP="00D24330">
          <w:pPr>
            <w:pStyle w:val="MGTHeader"/>
            <w:rPr>
              <w:lang w:val="en-US"/>
            </w:rPr>
          </w:pPr>
          <w:r>
            <w:rPr>
              <w:lang w:val="en-US"/>
            </w:rPr>
            <w:t>2017-07-07</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7DEA6FA5" w14:textId="77777777" w:rsidR="00913626" w:rsidRPr="00913626" w:rsidRDefault="00913626" w:rsidP="00272C4D">
      <w:pPr>
        <w:pStyle w:val="MGTHeader"/>
      </w:pPr>
      <w:r w:rsidRPr="00913626">
        <w:t>1.5; 11.5; 11.b; 13.1; 2.4; 3.6; 3.9; 3.d; 4.a; 6.6; 9.1; 9.a; 11.1; 11.3; 11.c; 13.2; 13.3; 13.a; 13.b; 14.2; 15.1; 15.2; 15.3; 15.9.</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345F4183" w14:textId="77777777" w:rsidR="00913626" w:rsidRPr="00913626" w:rsidRDefault="00913626" w:rsidP="00272C4D">
      <w:pPr>
        <w:pStyle w:val="MGTHeader"/>
      </w:pPr>
      <w:r w:rsidRPr="00913626">
        <w:t>United Nations Office for Disaster Reduction (UNISDR)</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B774420"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r w:rsidRPr="00913626">
        <w:rPr>
          <w:rFonts w:ascii="Calibri" w:eastAsia="Times New Roman" w:hAnsi="Calibri" w:cs="Arial"/>
          <w:color w:val="4A4A4A"/>
          <w:sz w:val="21"/>
          <w:szCs w:val="21"/>
          <w:lang w:eastAsia="en-GB"/>
        </w:rPr>
        <w:t>United Nations Office for Disaster Reduction (UNISDR)</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4F4EA01B"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r w:rsidRPr="00913626">
        <w:rPr>
          <w:rFonts w:ascii="Calibri" w:eastAsia="Times New Roman" w:hAnsi="Calibri" w:cs="Arial"/>
          <w:b/>
          <w:bCs/>
          <w:color w:val="4A4A4A"/>
          <w:sz w:val="21"/>
          <w:szCs w:val="21"/>
          <w:lang w:eastAsia="en-GB"/>
        </w:rPr>
        <w:t>Definition:</w:t>
      </w:r>
    </w:p>
    <w:p w14:paraId="22480CCF"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r w:rsidRPr="00913626">
        <w:rPr>
          <w:rFonts w:ascii="Calibri" w:eastAsia="Times New Roman" w:hAnsi="Calibri" w:cs="Arial"/>
          <w:color w:val="4A4A4A"/>
          <w:sz w:val="21"/>
          <w:szCs w:val="21"/>
          <w:lang w:eastAsia="en-GB"/>
        </w:rPr>
        <w:t>Direct economic loss: the monetary value of total or partial destruction of physical assets existing in the affected area. Direct economic loss is nearly equivalent to physical damage.</w:t>
      </w:r>
    </w:p>
    <w:p w14:paraId="41201A85"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p>
    <w:p w14:paraId="07A63870"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r w:rsidRPr="00913626">
        <w:rPr>
          <w:rFonts w:ascii="Calibri" w:eastAsia="Times New Roman" w:hAnsi="Calibri" w:cs="Arial"/>
          <w:color w:val="4A4A4A"/>
          <w:sz w:val="21"/>
          <w:szCs w:val="21"/>
          <w:lang w:eastAsia="en-GB"/>
        </w:rPr>
        <w:t xml:space="preserve">[a] An open-ended intergovernmental expert working group on indicators and terminology relating to disaster risk reduction established by the General Assembly (resolution 69/284) is developing a set of </w:t>
      </w:r>
      <w:r w:rsidRPr="00913626">
        <w:rPr>
          <w:rFonts w:ascii="Calibri" w:eastAsia="Times New Roman" w:hAnsi="Calibri" w:cs="Arial"/>
          <w:color w:val="4A4A4A"/>
          <w:sz w:val="21"/>
          <w:szCs w:val="21"/>
          <w:lang w:eastAsia="en-GB"/>
        </w:rPr>
        <w:lastRenderedPageBreak/>
        <w:t>indicators to measure global progress in the implementation of the Sendai Framework. These indicators will eventually reflect the agreements on the Sendai Framework indicators.</w:t>
      </w:r>
    </w:p>
    <w:p w14:paraId="0ECFC52E"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p>
    <w:p w14:paraId="153B09C3" w14:textId="77777777" w:rsidR="00D51E7C" w:rsidRPr="00A96255" w:rsidRDefault="00D51E7C" w:rsidP="00576CFA">
      <w:pPr>
        <w:pStyle w:val="MText"/>
      </w:pP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6C5B0C23"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r w:rsidRPr="00913626">
        <w:rPr>
          <w:rFonts w:ascii="Calibri" w:eastAsia="Times New Roman" w:hAnsi="Calibri" w:cs="Arial"/>
          <w:color w:val="4A4A4A"/>
          <w:sz w:val="21"/>
          <w:szCs w:val="21"/>
          <w:lang w:eastAsia="en-GB"/>
        </w:rPr>
        <w:t>National disaster loss database, reported to UNISDR</w:t>
      </w:r>
    </w:p>
    <w:p w14:paraId="3018A8D8" w14:textId="69FA838C" w:rsidR="00EC291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03EF4BEC"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r w:rsidRPr="00913626">
        <w:rPr>
          <w:rFonts w:ascii="Calibri" w:eastAsia="Times New Roman" w:hAnsi="Calibri" w:cs="Arial"/>
          <w:color w:val="4A4A4A"/>
          <w:sz w:val="21"/>
          <w:szCs w:val="21"/>
          <w:lang w:eastAsia="en-GB"/>
        </w:rPr>
        <w:t>The official counterpart(s) at the country level will build/adjust national disaster loss databases according to the recommendations and guidelines by the OEIWG.</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4B0BFB71"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r w:rsidRPr="00913626">
        <w:rPr>
          <w:rFonts w:ascii="Calibri" w:eastAsia="Times New Roman" w:hAnsi="Calibri" w:cs="Arial"/>
          <w:color w:val="4A4A4A"/>
          <w:sz w:val="21"/>
          <w:szCs w:val="21"/>
          <w:lang w:eastAsia="en-GB"/>
        </w:rPr>
        <w:t xml:space="preserve">2017-2018 </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7CE79230"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r w:rsidRPr="00913626">
        <w:rPr>
          <w:rFonts w:ascii="Calibri" w:eastAsia="Times New Roman" w:hAnsi="Calibri" w:cs="Arial"/>
          <w:color w:val="4A4A4A"/>
          <w:sz w:val="21"/>
          <w:szCs w:val="21"/>
          <w:lang w:eastAsia="en-GB"/>
        </w:rPr>
        <w:t xml:space="preserve">Initial datasets in 2017, a first </w:t>
      </w:r>
      <w:proofErr w:type="gramStart"/>
      <w:r w:rsidRPr="00913626">
        <w:rPr>
          <w:rFonts w:ascii="Calibri" w:eastAsia="Times New Roman" w:hAnsi="Calibri" w:cs="Arial"/>
          <w:color w:val="4A4A4A"/>
          <w:sz w:val="21"/>
          <w:szCs w:val="21"/>
          <w:lang w:eastAsia="en-GB"/>
        </w:rPr>
        <w:t>fairly complete</w:t>
      </w:r>
      <w:proofErr w:type="gramEnd"/>
      <w:r w:rsidRPr="00913626">
        <w:rPr>
          <w:rFonts w:ascii="Calibri" w:eastAsia="Times New Roman" w:hAnsi="Calibri" w:cs="Arial"/>
          <w:color w:val="4A4A4A"/>
          <w:sz w:val="21"/>
          <w:szCs w:val="21"/>
          <w:lang w:eastAsia="en-GB"/>
        </w:rPr>
        <w:t xml:space="preserve"> dataset by 2019</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264F7D4" w14:textId="04F83D7F" w:rsidR="00913626" w:rsidRPr="00913626" w:rsidRDefault="00913626" w:rsidP="00272C4D">
      <w:pPr>
        <w:shd w:val="clear" w:color="auto" w:fill="FFFFFF"/>
        <w:spacing w:after="0" w:line="336" w:lineRule="atLeast"/>
        <w:rPr>
          <w:rFonts w:ascii="Calibri" w:eastAsia="Times New Roman" w:hAnsi="Calibri" w:cs="Arial"/>
          <w:color w:val="4A4A4A"/>
          <w:sz w:val="21"/>
          <w:szCs w:val="21"/>
          <w:lang w:eastAsia="en-GB"/>
        </w:rPr>
      </w:pPr>
      <w:r w:rsidRPr="00913626">
        <w:rPr>
          <w:rFonts w:ascii="Calibri" w:eastAsia="Times New Roman" w:hAnsi="Calibri" w:cs="Arial"/>
          <w:b/>
          <w:bCs/>
          <w:color w:val="4A4A4A"/>
          <w:sz w:val="21"/>
          <w:szCs w:val="21"/>
          <w:lang w:eastAsia="en-GB"/>
        </w:rPr>
        <w:t>Name:</w:t>
      </w:r>
    </w:p>
    <w:p w14:paraId="068468B2"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r w:rsidRPr="00913626">
        <w:rPr>
          <w:rFonts w:ascii="Calibri" w:eastAsia="Times New Roman" w:hAnsi="Calibri" w:cs="Arial"/>
          <w:color w:val="4A4A4A"/>
          <w:sz w:val="21"/>
          <w:szCs w:val="21"/>
          <w:lang w:eastAsia="en-GB"/>
        </w:rPr>
        <w:t xml:space="preserve">In most countries national disaster loss databases are established and managed by special purpose agencies including national disaster management agencies, civil protection agencies, and meteorological agencies, and disaster data collected by line ministries. Some exceptions include Academic institutions conducting long term research programs, </w:t>
      </w:r>
      <w:proofErr w:type="gramStart"/>
      <w:r w:rsidRPr="00913626">
        <w:rPr>
          <w:rFonts w:ascii="Calibri" w:eastAsia="Times New Roman" w:hAnsi="Calibri" w:cs="Arial"/>
          <w:color w:val="4A4A4A"/>
          <w:sz w:val="21"/>
          <w:szCs w:val="21"/>
          <w:lang w:eastAsia="en-GB"/>
        </w:rPr>
        <w:t>NGO's</w:t>
      </w:r>
      <w:proofErr w:type="gramEnd"/>
      <w:r w:rsidRPr="00913626">
        <w:rPr>
          <w:rFonts w:ascii="Calibri" w:eastAsia="Times New Roman" w:hAnsi="Calibri" w:cs="Arial"/>
          <w:color w:val="4A4A4A"/>
          <w:sz w:val="21"/>
          <w:szCs w:val="21"/>
          <w:lang w:eastAsia="en-GB"/>
        </w:rPr>
        <w:t xml:space="preserve"> engaged in DRR and DRM, and insurance databases or data sources when market penetration is very high.</w:t>
      </w:r>
    </w:p>
    <w:p w14:paraId="20B11EA0"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p>
    <w:p w14:paraId="3D7D1D07" w14:textId="79D14671" w:rsidR="00913626" w:rsidRPr="00913626" w:rsidRDefault="00913626" w:rsidP="00272C4D">
      <w:pPr>
        <w:keepNext/>
        <w:keepLines/>
        <w:shd w:val="clear" w:color="auto" w:fill="FFFFFF"/>
        <w:spacing w:after="0" w:line="336" w:lineRule="atLeast"/>
        <w:rPr>
          <w:rFonts w:ascii="Calibri" w:eastAsia="Times New Roman" w:hAnsi="Calibri" w:cs="Arial"/>
          <w:color w:val="4A4A4A"/>
          <w:sz w:val="21"/>
          <w:szCs w:val="21"/>
          <w:lang w:eastAsia="en-GB"/>
        </w:rPr>
      </w:pPr>
      <w:r w:rsidRPr="00913626">
        <w:rPr>
          <w:rFonts w:ascii="Calibri" w:eastAsia="Times New Roman" w:hAnsi="Calibri" w:cs="Arial"/>
          <w:b/>
          <w:bCs/>
          <w:color w:val="4A4A4A"/>
          <w:sz w:val="21"/>
          <w:szCs w:val="21"/>
          <w:lang w:eastAsia="en-GB"/>
        </w:rPr>
        <w:lastRenderedPageBreak/>
        <w:t>Description:</w:t>
      </w:r>
    </w:p>
    <w:p w14:paraId="03CF5A8E" w14:textId="77777777" w:rsidR="00913626" w:rsidRPr="00913626" w:rsidRDefault="00913626" w:rsidP="00913626">
      <w:pPr>
        <w:keepNext/>
        <w:keepLines/>
        <w:shd w:val="clear" w:color="auto" w:fill="FFFFFF"/>
        <w:spacing w:after="0" w:line="336" w:lineRule="atLeast"/>
        <w:rPr>
          <w:rFonts w:ascii="Calibri" w:eastAsia="Times New Roman" w:hAnsi="Calibri" w:cs="Arial"/>
          <w:color w:val="4A4A4A"/>
          <w:sz w:val="21"/>
          <w:szCs w:val="21"/>
          <w:lang w:eastAsia="en-GB"/>
        </w:rPr>
      </w:pPr>
      <w:r w:rsidRPr="00913626">
        <w:rPr>
          <w:rFonts w:ascii="Calibri" w:eastAsia="Times New Roman" w:hAnsi="Calibri" w:cs="Arial"/>
          <w:color w:val="4A4A4A"/>
          <w:sz w:val="21"/>
          <w:szCs w:val="21"/>
          <w:lang w:eastAsia="en-GB"/>
        </w:rPr>
        <w:t xml:space="preserve">In most countries national disaster loss databases are established and managed by special purpose agencies including national disaster management agencies, civil protection agencies, and meteorological agencies, and disaster data collected by line ministries. Some exceptions include Academic institutions conducting long term research programs, </w:t>
      </w:r>
      <w:proofErr w:type="gramStart"/>
      <w:r w:rsidRPr="00913626">
        <w:rPr>
          <w:rFonts w:ascii="Calibri" w:eastAsia="Times New Roman" w:hAnsi="Calibri" w:cs="Arial"/>
          <w:color w:val="4A4A4A"/>
          <w:sz w:val="21"/>
          <w:szCs w:val="21"/>
          <w:lang w:eastAsia="en-GB"/>
        </w:rPr>
        <w:t>NGO's</w:t>
      </w:r>
      <w:proofErr w:type="gramEnd"/>
      <w:r w:rsidRPr="00913626">
        <w:rPr>
          <w:rFonts w:ascii="Calibri" w:eastAsia="Times New Roman" w:hAnsi="Calibri" w:cs="Arial"/>
          <w:color w:val="4A4A4A"/>
          <w:sz w:val="21"/>
          <w:szCs w:val="21"/>
          <w:lang w:eastAsia="en-GB"/>
        </w:rPr>
        <w:t xml:space="preserve"> engaged in DRR and DRM, and insurance databases or data sources when market penetration is very high.</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0FF615EA"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r w:rsidRPr="00913626">
        <w:rPr>
          <w:rFonts w:ascii="Calibri" w:eastAsia="Times New Roman" w:hAnsi="Calibri" w:cs="Arial"/>
          <w:color w:val="4A4A4A"/>
          <w:sz w:val="21"/>
          <w:szCs w:val="21"/>
          <w:lang w:eastAsia="en-GB"/>
        </w:rPr>
        <w:t>UNISDR</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4DA631D4"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r w:rsidRPr="00913626">
        <w:rPr>
          <w:rFonts w:ascii="Calibri" w:eastAsia="Times New Roman" w:hAnsi="Calibri" w:cs="Arial"/>
          <w:color w:val="4A4A4A"/>
          <w:sz w:val="21"/>
          <w:szCs w:val="21"/>
          <w:lang w:eastAsia="en-GB"/>
        </w:rPr>
        <w:t>The disaster loss data is significantly influenced by large-scale catastrophic events, which represent important outliers. UNISDR recommends Countries to report the data by event, so complementary analysis can be done by both including and excluding such catastrophic events that can represent important outliers.</w:t>
      </w:r>
    </w:p>
    <w:p w14:paraId="7BD2603D"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0622CB61"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r w:rsidRPr="00913626">
        <w:rPr>
          <w:rFonts w:ascii="Calibri" w:eastAsia="Times New Roman" w:hAnsi="Calibri" w:cs="Arial"/>
          <w:color w:val="4A4A4A"/>
          <w:sz w:val="21"/>
          <w:szCs w:val="21"/>
          <w:lang w:eastAsia="en-GB"/>
        </w:rPr>
        <w:t>Not every country has a comparable national disaster loss database that is consistent with these guidelines (although current coverage exceeds 89 countries). Therefore, by 2020, it is expected that all countries will build/adjust national disaster loss databases according to the recommendations and guidelines by the OEIWG.</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3EAD2920"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r w:rsidRPr="00913626">
        <w:rPr>
          <w:rFonts w:ascii="Calibri" w:eastAsia="Times New Roman" w:hAnsi="Calibri" w:cs="Arial"/>
          <w:color w:val="4A4A4A"/>
          <w:sz w:val="21"/>
          <w:szCs w:val="21"/>
          <w:lang w:eastAsia="en-GB"/>
        </w:rPr>
        <w:t>Note: Computation methodology for several indicators is very comprehensive, very long (about 180 pages) and probably out of the scope of this Metadata. UNISDR prefers to refer to the outcome of the Open Ended Intergovernmental Working Group, which provides a full detailed methodology for each indicator and sub-indicator.</w:t>
      </w:r>
    </w:p>
    <w:p w14:paraId="140F775C"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p>
    <w:p w14:paraId="3062C9E2"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r w:rsidRPr="00913626">
        <w:rPr>
          <w:rFonts w:ascii="Calibri" w:eastAsia="Times New Roman" w:hAnsi="Calibri" w:cs="Arial"/>
          <w:color w:val="4A4A4A"/>
          <w:sz w:val="21"/>
          <w:szCs w:val="21"/>
          <w:lang w:eastAsia="en-GB"/>
        </w:rPr>
        <w:t>The latest version of these methodologies can be obtained at:</w:t>
      </w:r>
    </w:p>
    <w:p w14:paraId="58E7A530"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p>
    <w:p w14:paraId="49B90438"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r w:rsidRPr="00913626">
        <w:rPr>
          <w:rFonts w:ascii="Calibri" w:eastAsia="Times New Roman" w:hAnsi="Calibri" w:cs="Arial"/>
          <w:color w:val="4A4A4A"/>
          <w:sz w:val="21"/>
          <w:szCs w:val="21"/>
          <w:lang w:eastAsia="en-GB"/>
        </w:rPr>
        <w:t>http://www.preventionweb.net/documents/oiewg/Technical%20Collection%20of%20Concept%20Notes%20on%20Indicators.pdf</w:t>
      </w:r>
    </w:p>
    <w:p w14:paraId="59E3B3C1"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p>
    <w:p w14:paraId="0F73E409"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r w:rsidRPr="00913626">
        <w:rPr>
          <w:rFonts w:ascii="Calibri" w:eastAsia="Times New Roman" w:hAnsi="Calibri" w:cs="Arial"/>
          <w:color w:val="4A4A4A"/>
          <w:sz w:val="21"/>
          <w:szCs w:val="21"/>
          <w:lang w:eastAsia="en-GB"/>
        </w:rPr>
        <w:t>A short summary:</w:t>
      </w:r>
    </w:p>
    <w:p w14:paraId="50D402C7"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r w:rsidRPr="00913626">
        <w:rPr>
          <w:rFonts w:ascii="Calibri" w:eastAsia="Times New Roman" w:hAnsi="Calibri" w:cs="Arial"/>
          <w:color w:val="4A4A4A"/>
          <w:sz w:val="21"/>
          <w:szCs w:val="21"/>
          <w:lang w:eastAsia="en-GB"/>
        </w:rPr>
        <w:lastRenderedPageBreak/>
        <w:t>The original national disaster loss databases usually register physical damage value (housing unit loss, infrastructure loss etc.), which needs conversion to monetary value according to the UNISDR methodology*. The converted global value is divided by global GDP (inflation adjusted, constant USD) calculated from the World Bank Development Indicators.</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49CB8337" w14:textId="195BDE66" w:rsidR="00EC2915" w:rsidRDefault="00EC2915" w:rsidP="00576CFA">
      <w:pPr>
        <w:pStyle w:val="MText"/>
      </w:pP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0C4D756C" w14:textId="2A1C9D51" w:rsidR="00913626" w:rsidRPr="003C7662" w:rsidRDefault="00913626" w:rsidP="00272C4D">
      <w:pPr>
        <w:numPr>
          <w:ilvl w:val="0"/>
          <w:numId w:val="5"/>
        </w:numPr>
        <w:shd w:val="clear" w:color="auto" w:fill="FFFFFF"/>
        <w:spacing w:after="0" w:line="240" w:lineRule="auto"/>
        <w:ind w:left="495"/>
        <w:outlineLvl w:val="4"/>
        <w:rPr>
          <w:rFonts w:ascii="Calibri" w:eastAsia="Times New Roman" w:hAnsi="Calibri" w:cs="Arial"/>
          <w:b/>
          <w:bCs/>
          <w:color w:val="1C75BC"/>
          <w:sz w:val="21"/>
          <w:szCs w:val="21"/>
          <w:lang w:eastAsia="en-GB"/>
        </w:rPr>
      </w:pPr>
      <w:r w:rsidRPr="003C7662">
        <w:rPr>
          <w:rFonts w:ascii="Calibri" w:eastAsia="Times New Roman" w:hAnsi="Calibri" w:cs="Arial"/>
          <w:b/>
          <w:bCs/>
          <w:color w:val="1C75BC"/>
          <w:sz w:val="21"/>
          <w:szCs w:val="21"/>
          <w:lang w:eastAsia="en-GB"/>
        </w:rPr>
        <w:t>At country level</w:t>
      </w:r>
    </w:p>
    <w:p w14:paraId="129E5853" w14:textId="77777777" w:rsidR="00913626" w:rsidRPr="00913626" w:rsidRDefault="00913626" w:rsidP="00913626">
      <w:pPr>
        <w:shd w:val="clear" w:color="auto" w:fill="FFFFFF"/>
        <w:spacing w:after="0" w:line="336" w:lineRule="atLeast"/>
        <w:ind w:left="495"/>
        <w:rPr>
          <w:rFonts w:ascii="Calibri" w:eastAsia="Times New Roman" w:hAnsi="Calibri" w:cs="Arial"/>
          <w:color w:val="4A4A4A"/>
          <w:sz w:val="21"/>
          <w:szCs w:val="21"/>
          <w:lang w:eastAsia="en-GB"/>
        </w:rPr>
      </w:pPr>
      <w:r w:rsidRPr="00913626">
        <w:rPr>
          <w:rFonts w:ascii="Calibri" w:eastAsia="Times New Roman" w:hAnsi="Calibri" w:cs="Arial"/>
          <w:color w:val="4A4A4A"/>
          <w:sz w:val="21"/>
          <w:szCs w:val="21"/>
          <w:lang w:eastAsia="en-GB"/>
        </w:rPr>
        <w:t xml:space="preserve">In National Disaster Loss database data missing values and 0 or null are considered equivalent. This is a consequence of the typical form of disaster situation reports, which account only for those impacts that occurred. Normally impacts that </w:t>
      </w:r>
      <w:proofErr w:type="gramStart"/>
      <w:r w:rsidRPr="00913626">
        <w:rPr>
          <w:rFonts w:ascii="Calibri" w:eastAsia="Times New Roman" w:hAnsi="Calibri" w:cs="Arial"/>
          <w:color w:val="4A4A4A"/>
          <w:sz w:val="21"/>
          <w:szCs w:val="21"/>
          <w:lang w:eastAsia="en-GB"/>
        </w:rPr>
        <w:t>not occur</w:t>
      </w:r>
      <w:proofErr w:type="gramEnd"/>
      <w:r w:rsidRPr="00913626">
        <w:rPr>
          <w:rFonts w:ascii="Calibri" w:eastAsia="Times New Roman" w:hAnsi="Calibri" w:cs="Arial"/>
          <w:color w:val="4A4A4A"/>
          <w:sz w:val="21"/>
          <w:szCs w:val="21"/>
          <w:lang w:eastAsia="en-GB"/>
        </w:rPr>
        <w:t xml:space="preserve"> are simply not reported (i.e. there are no explicit reports that something didn't happen, for example if no agricultural damage occurs in a disaster, the associated report simply does not have a section on agriculture, instead of a section stating no impact occurred).</w:t>
      </w:r>
    </w:p>
    <w:p w14:paraId="06FA60C5" w14:textId="26CBFE79" w:rsidR="00913626" w:rsidRPr="00913626" w:rsidRDefault="00913626" w:rsidP="00272C4D">
      <w:pPr>
        <w:shd w:val="clear" w:color="auto" w:fill="FFFFFF"/>
        <w:spacing w:after="0" w:line="336" w:lineRule="atLeast"/>
        <w:rPr>
          <w:rFonts w:ascii="Calibri" w:eastAsia="Times New Roman" w:hAnsi="Calibri" w:cs="Arial"/>
          <w:color w:val="4A4A4A"/>
          <w:sz w:val="21"/>
          <w:szCs w:val="21"/>
          <w:lang w:eastAsia="en-GB"/>
        </w:rPr>
      </w:pPr>
    </w:p>
    <w:p w14:paraId="32DDBF56" w14:textId="11C637DD" w:rsidR="00913626" w:rsidRPr="003C7662" w:rsidRDefault="00913626" w:rsidP="00272C4D">
      <w:pPr>
        <w:numPr>
          <w:ilvl w:val="0"/>
          <w:numId w:val="5"/>
        </w:numPr>
        <w:shd w:val="clear" w:color="auto" w:fill="FFFFFF"/>
        <w:spacing w:after="0" w:line="240" w:lineRule="auto"/>
        <w:ind w:left="495"/>
        <w:outlineLvl w:val="4"/>
        <w:rPr>
          <w:rFonts w:ascii="Calibri" w:eastAsia="Times New Roman" w:hAnsi="Calibri" w:cs="Arial"/>
          <w:b/>
          <w:bCs/>
          <w:color w:val="1C75BC"/>
          <w:sz w:val="21"/>
          <w:szCs w:val="21"/>
          <w:lang w:eastAsia="en-GB"/>
        </w:rPr>
      </w:pPr>
      <w:r w:rsidRPr="003C7662">
        <w:rPr>
          <w:rFonts w:ascii="Calibri" w:eastAsia="Times New Roman" w:hAnsi="Calibri" w:cs="Arial"/>
          <w:b/>
          <w:bCs/>
          <w:color w:val="1C75BC"/>
          <w:sz w:val="21"/>
          <w:szCs w:val="21"/>
          <w:lang w:eastAsia="en-GB"/>
        </w:rPr>
        <w:t>At regional and global levels</w:t>
      </w:r>
    </w:p>
    <w:p w14:paraId="00021033" w14:textId="77777777" w:rsidR="00913626" w:rsidRPr="00913626" w:rsidRDefault="00913626" w:rsidP="00913626">
      <w:pPr>
        <w:shd w:val="clear" w:color="auto" w:fill="FFFFFF"/>
        <w:spacing w:after="0" w:line="336" w:lineRule="atLeast"/>
        <w:ind w:left="495"/>
        <w:rPr>
          <w:rFonts w:ascii="Calibri" w:eastAsia="Times New Roman" w:hAnsi="Calibri" w:cs="Arial"/>
          <w:color w:val="4A4A4A"/>
          <w:sz w:val="21"/>
          <w:szCs w:val="21"/>
          <w:lang w:eastAsia="en-GB"/>
        </w:rPr>
      </w:pPr>
      <w:r w:rsidRPr="00913626">
        <w:rPr>
          <w:rFonts w:ascii="Calibri" w:eastAsia="Times New Roman" w:hAnsi="Calibri" w:cs="Arial"/>
          <w:color w:val="4A4A4A"/>
          <w:sz w:val="21"/>
          <w:szCs w:val="21"/>
          <w:lang w:eastAsia="en-GB"/>
        </w:rPr>
        <w:t>NA</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1CB8EBF2"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r w:rsidRPr="00913626">
        <w:rPr>
          <w:rFonts w:ascii="Calibri" w:eastAsia="Times New Roman" w:hAnsi="Calibri" w:cs="Arial"/>
          <w:color w:val="4A4A4A"/>
          <w:sz w:val="21"/>
          <w:szCs w:val="21"/>
          <w:lang w:eastAsia="en-GB"/>
        </w:rPr>
        <w:t>See under Computation Method.</w:t>
      </w:r>
    </w:p>
    <w:p w14:paraId="7D406094"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p>
    <w:p w14:paraId="29C5FA6A"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r w:rsidRPr="00913626">
        <w:rPr>
          <w:rFonts w:ascii="Calibri" w:eastAsia="Times New Roman" w:hAnsi="Calibri" w:cs="Arial"/>
          <w:color w:val="4A4A4A"/>
          <w:sz w:val="21"/>
          <w:szCs w:val="21"/>
          <w:lang w:eastAsia="en-GB"/>
        </w:rPr>
        <w:t>It will be calculated as the summation of Direct Economic Loss per country divided by the total global GDP.</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19A9149D" w:rsidR="00576CFA" w:rsidRPr="003C7662" w:rsidRDefault="00D51E7C" w:rsidP="00576CFA">
      <w:pPr>
        <w:pStyle w:val="MText"/>
        <w:rPr>
          <w:b/>
          <w:bCs/>
        </w:rPr>
      </w:pPr>
      <w:r w:rsidRPr="003C7662">
        <w:rPr>
          <w:b/>
          <w:bCs/>
        </w:rPr>
        <w:t>Data availability:</w:t>
      </w:r>
    </w:p>
    <w:p w14:paraId="08A9C311"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r w:rsidRPr="00913626">
        <w:rPr>
          <w:rFonts w:ascii="Calibri" w:eastAsia="Times New Roman" w:hAnsi="Calibri" w:cs="Arial"/>
          <w:color w:val="4A4A4A"/>
          <w:sz w:val="21"/>
          <w:szCs w:val="21"/>
          <w:lang w:eastAsia="en-GB"/>
        </w:rPr>
        <w:t>Around 100 countries</w:t>
      </w:r>
    </w:p>
    <w:p w14:paraId="73AD1E11"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p>
    <w:p w14:paraId="53676989"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r w:rsidRPr="00913626">
        <w:rPr>
          <w:rFonts w:ascii="Calibri" w:eastAsia="Times New Roman" w:hAnsi="Calibri" w:cs="Arial"/>
          <w:color w:val="4A4A4A"/>
          <w:sz w:val="21"/>
          <w:szCs w:val="21"/>
          <w:lang w:eastAsia="en-GB"/>
        </w:rPr>
        <w:t xml:space="preserve">The number of countries with national disaster loss databases using the </w:t>
      </w:r>
      <w:proofErr w:type="spellStart"/>
      <w:r w:rsidRPr="00913626">
        <w:rPr>
          <w:rFonts w:ascii="Calibri" w:eastAsia="Times New Roman" w:hAnsi="Calibri" w:cs="Arial"/>
          <w:color w:val="4A4A4A"/>
          <w:sz w:val="21"/>
          <w:szCs w:val="21"/>
          <w:lang w:eastAsia="en-GB"/>
        </w:rPr>
        <w:t>DesInventar</w:t>
      </w:r>
      <w:proofErr w:type="spellEnd"/>
      <w:r w:rsidRPr="00913626">
        <w:rPr>
          <w:rFonts w:ascii="Calibri" w:eastAsia="Times New Roman" w:hAnsi="Calibri" w:cs="Arial"/>
          <w:color w:val="4A4A4A"/>
          <w:sz w:val="21"/>
          <w:szCs w:val="21"/>
          <w:lang w:eastAsia="en-GB"/>
        </w:rPr>
        <w:t xml:space="preserve"> tools and methodology currently stands at 89 countries. Given the requirements for disaster loss data enshrined in reporting on the SDGs and the targets of the Sendai Framework, it is expected that by 2020, all member states will have built or adjusted their national disaster loss databases according to the recommendations and guidelines by the OEIWG.</w:t>
      </w:r>
    </w:p>
    <w:p w14:paraId="2D0542F7" w14:textId="3DE6BFAB" w:rsidR="00D51E7C" w:rsidRPr="00C019E5" w:rsidRDefault="00D51E7C" w:rsidP="00576CFA">
      <w:pPr>
        <w:pStyle w:val="MText"/>
        <w:rPr>
          <w:highlight w:val="cyan"/>
        </w:rPr>
      </w:pPr>
    </w:p>
    <w:p w14:paraId="5853D6F7" w14:textId="039AB177" w:rsidR="00D51E7C" w:rsidRPr="003C7662" w:rsidRDefault="00D51E7C" w:rsidP="00576CFA">
      <w:pPr>
        <w:pStyle w:val="MText"/>
        <w:rPr>
          <w:b/>
          <w:bCs/>
        </w:rPr>
      </w:pPr>
      <w:r w:rsidRPr="003C7662">
        <w:rPr>
          <w:b/>
          <w:bCs/>
        </w:rPr>
        <w:t>Time series:</w:t>
      </w:r>
    </w:p>
    <w:p w14:paraId="1CE181FC"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r w:rsidRPr="00913626">
        <w:rPr>
          <w:rFonts w:ascii="Calibri" w:eastAsia="Times New Roman" w:hAnsi="Calibri" w:cs="Arial"/>
          <w:color w:val="4A4A4A"/>
          <w:sz w:val="21"/>
          <w:szCs w:val="21"/>
          <w:lang w:eastAsia="en-GB"/>
        </w:rPr>
        <w:t xml:space="preserve">From 1990 to 2013: National Disaster Loss Database </w:t>
      </w:r>
    </w:p>
    <w:p w14:paraId="760C013A" w14:textId="4597FCBD" w:rsidR="00D51E7C" w:rsidRPr="00C019E5" w:rsidRDefault="00D51E7C" w:rsidP="00576CFA">
      <w:pPr>
        <w:pStyle w:val="MText"/>
        <w:rPr>
          <w:highlight w:val="cyan"/>
        </w:rPr>
      </w:pPr>
    </w:p>
    <w:p w14:paraId="72C7C370" w14:textId="013ACBF9" w:rsidR="00D51E7C" w:rsidRPr="003C7662" w:rsidRDefault="00D51E7C" w:rsidP="00576CFA">
      <w:pPr>
        <w:pStyle w:val="MText"/>
        <w:rPr>
          <w:b/>
          <w:bCs/>
        </w:rPr>
      </w:pPr>
      <w:r w:rsidRPr="003C7662">
        <w:rPr>
          <w:b/>
          <w:bCs/>
        </w:rPr>
        <w:t>Disaggregation:</w:t>
      </w:r>
    </w:p>
    <w:p w14:paraId="6A53DABB"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r w:rsidRPr="00913626">
        <w:rPr>
          <w:rFonts w:ascii="Calibri" w:eastAsia="Times New Roman" w:hAnsi="Calibri" w:cs="Arial"/>
          <w:color w:val="4A4A4A"/>
          <w:sz w:val="21"/>
          <w:szCs w:val="21"/>
          <w:lang w:eastAsia="en-GB"/>
        </w:rPr>
        <w:t>By country, by event, by hazard type (</w:t>
      </w:r>
      <w:proofErr w:type="gramStart"/>
      <w:r w:rsidRPr="00913626">
        <w:rPr>
          <w:rFonts w:ascii="Calibri" w:eastAsia="Times New Roman" w:hAnsi="Calibri" w:cs="Arial"/>
          <w:color w:val="4A4A4A"/>
          <w:sz w:val="21"/>
          <w:szCs w:val="21"/>
          <w:lang w:eastAsia="en-GB"/>
        </w:rPr>
        <w:t>e.g.</w:t>
      </w:r>
      <w:proofErr w:type="gramEnd"/>
      <w:r w:rsidRPr="00913626">
        <w:rPr>
          <w:rFonts w:ascii="Calibri" w:eastAsia="Times New Roman" w:hAnsi="Calibri" w:cs="Arial"/>
          <w:color w:val="4A4A4A"/>
          <w:sz w:val="21"/>
          <w:szCs w:val="21"/>
          <w:lang w:eastAsia="en-GB"/>
        </w:rPr>
        <w:t xml:space="preserve"> disaggregation by climatological, hydrological, meteorological, geophysical, biological and extra-terrestrial for natural hazards is possible following IRDR classification)</w:t>
      </w:r>
    </w:p>
    <w:p w14:paraId="2DFB1512"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p>
    <w:p w14:paraId="146424EA"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r w:rsidRPr="00913626">
        <w:rPr>
          <w:rFonts w:ascii="Calibri" w:eastAsia="Times New Roman" w:hAnsi="Calibri" w:cs="Arial"/>
          <w:color w:val="4A4A4A"/>
          <w:sz w:val="21"/>
          <w:szCs w:val="21"/>
          <w:lang w:eastAsia="en-GB"/>
        </w:rPr>
        <w:t>By asset loss category (health/education/road etc.)</w:t>
      </w:r>
    </w:p>
    <w:p w14:paraId="60E8E286"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p>
    <w:p w14:paraId="61470D63"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r w:rsidRPr="00913626">
        <w:rPr>
          <w:rFonts w:ascii="Calibri" w:eastAsia="Times New Roman" w:hAnsi="Calibri" w:cs="Arial"/>
          <w:color w:val="4A4A4A"/>
          <w:sz w:val="21"/>
          <w:szCs w:val="21"/>
          <w:lang w:eastAsia="en-GB"/>
        </w:rPr>
        <w:t>By transportation mode (for 11.5.2)</w:t>
      </w:r>
    </w:p>
    <w:p w14:paraId="7DD97F94"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p>
    <w:p w14:paraId="1C005132"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r w:rsidRPr="00913626">
        <w:rPr>
          <w:rFonts w:ascii="Calibri" w:eastAsia="Times New Roman" w:hAnsi="Calibri" w:cs="Arial"/>
          <w:color w:val="4A4A4A"/>
          <w:sz w:val="21"/>
          <w:szCs w:val="21"/>
          <w:lang w:eastAsia="en-GB"/>
        </w:rPr>
        <w:t>By service sector (for 11.5.2)</w:t>
      </w:r>
    </w:p>
    <w:p w14:paraId="47AFCBD9" w14:textId="77777777" w:rsidR="00913626" w:rsidRDefault="00913626" w:rsidP="00576CFA">
      <w:pPr>
        <w:pStyle w:val="MText"/>
      </w:pP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051C504F" w:rsidR="00D51E7C" w:rsidRPr="003C7662" w:rsidRDefault="00D51E7C" w:rsidP="00576CFA">
      <w:pPr>
        <w:pStyle w:val="MText"/>
        <w:rPr>
          <w:b/>
          <w:bCs/>
        </w:rPr>
      </w:pPr>
      <w:r w:rsidRPr="003C7662">
        <w:rPr>
          <w:b/>
          <w:bCs/>
        </w:rPr>
        <w:t>Sources of discrepancies:</w:t>
      </w:r>
    </w:p>
    <w:p w14:paraId="5A805C34"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r w:rsidRPr="00913626">
        <w:rPr>
          <w:rFonts w:ascii="Calibri" w:eastAsia="Times New Roman" w:hAnsi="Calibri" w:cs="Arial"/>
          <w:color w:val="4A4A4A"/>
          <w:sz w:val="21"/>
          <w:szCs w:val="21"/>
          <w:lang w:eastAsia="en-GB"/>
        </w:rPr>
        <w:t>Threshold (</w:t>
      </w:r>
      <w:proofErr w:type="gramStart"/>
      <w:r w:rsidRPr="00913626">
        <w:rPr>
          <w:rFonts w:ascii="Calibri" w:eastAsia="Times New Roman" w:hAnsi="Calibri" w:cs="Arial"/>
          <w:color w:val="4A4A4A"/>
          <w:sz w:val="21"/>
          <w:szCs w:val="21"/>
          <w:lang w:eastAsia="en-GB"/>
        </w:rPr>
        <w:t>e.g.</w:t>
      </w:r>
      <w:proofErr w:type="gramEnd"/>
      <w:r w:rsidRPr="00913626">
        <w:rPr>
          <w:rFonts w:ascii="Calibri" w:eastAsia="Times New Roman" w:hAnsi="Calibri" w:cs="Arial"/>
          <w:color w:val="4A4A4A"/>
          <w:sz w:val="21"/>
          <w:szCs w:val="21"/>
          <w:lang w:eastAsia="en-GB"/>
        </w:rPr>
        <w:t xml:space="preserve"> including/excluding small/large scale disasters): International Data Sources record only events that surpass some threshold of impact. For example, EMDAT records only events with mortality greater than 10, affected greater than 100 or an international declaration. Private Insurance or Reinsurance global disaster databases record only events that have insured losses, which </w:t>
      </w:r>
      <w:proofErr w:type="gramStart"/>
      <w:r w:rsidRPr="00913626">
        <w:rPr>
          <w:rFonts w:ascii="Calibri" w:eastAsia="Times New Roman" w:hAnsi="Calibri" w:cs="Arial"/>
          <w:color w:val="4A4A4A"/>
          <w:sz w:val="21"/>
          <w:szCs w:val="21"/>
          <w:lang w:eastAsia="en-GB"/>
        </w:rPr>
        <w:t>affects negatively</w:t>
      </w:r>
      <w:proofErr w:type="gramEnd"/>
      <w:r w:rsidRPr="00913626">
        <w:rPr>
          <w:rFonts w:ascii="Calibri" w:eastAsia="Times New Roman" w:hAnsi="Calibri" w:cs="Arial"/>
          <w:color w:val="4A4A4A"/>
          <w:sz w:val="21"/>
          <w:szCs w:val="21"/>
          <w:lang w:eastAsia="en-GB"/>
        </w:rPr>
        <w:t xml:space="preserve"> countries with low insurance market penetration. </w:t>
      </w:r>
    </w:p>
    <w:p w14:paraId="095E1B99"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p>
    <w:p w14:paraId="7A5574DA"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r w:rsidRPr="00913626">
        <w:rPr>
          <w:rFonts w:ascii="Calibri" w:eastAsia="Times New Roman" w:hAnsi="Calibri" w:cs="Arial"/>
          <w:color w:val="4A4A4A"/>
          <w:sz w:val="21"/>
          <w:szCs w:val="21"/>
          <w:lang w:eastAsia="en-GB"/>
        </w:rPr>
        <w:t xml:space="preserve">Methodology / definition: International data sources use secondary data sources to assemble their datasets. These data sources usually have non uniform or even inconsistent methodologies, producing heterogeneous datasets. </w:t>
      </w:r>
    </w:p>
    <w:p w14:paraId="3B70B8D8"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p>
    <w:p w14:paraId="6E7014CD"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r w:rsidRPr="00913626">
        <w:rPr>
          <w:rFonts w:ascii="Calibri" w:eastAsia="Times New Roman" w:hAnsi="Calibri" w:cs="Arial"/>
          <w:color w:val="4A4A4A"/>
          <w:sz w:val="21"/>
          <w:szCs w:val="21"/>
          <w:lang w:eastAsia="en-GB"/>
        </w:rPr>
        <w:t xml:space="preserve">Observation (national level data is more comprehensive): International data collectors, due to limitations on access to information, do not record </w:t>
      </w:r>
      <w:proofErr w:type="gramStart"/>
      <w:r w:rsidRPr="00913626">
        <w:rPr>
          <w:rFonts w:ascii="Calibri" w:eastAsia="Times New Roman" w:hAnsi="Calibri" w:cs="Arial"/>
          <w:color w:val="4A4A4A"/>
          <w:sz w:val="21"/>
          <w:szCs w:val="21"/>
          <w:lang w:eastAsia="en-GB"/>
        </w:rPr>
        <w:t>a large number of</w:t>
      </w:r>
      <w:proofErr w:type="gramEnd"/>
      <w:r w:rsidRPr="00913626">
        <w:rPr>
          <w:rFonts w:ascii="Calibri" w:eastAsia="Times New Roman" w:hAnsi="Calibri" w:cs="Arial"/>
          <w:color w:val="4A4A4A"/>
          <w:sz w:val="21"/>
          <w:szCs w:val="21"/>
          <w:lang w:eastAsia="en-GB"/>
        </w:rPr>
        <w:t xml:space="preserve"> events that are not publicised internationally, or are never 'seen' by the secondary data sources used.</w:t>
      </w:r>
    </w:p>
    <w:p w14:paraId="3C2D4870" w14:textId="77777777" w:rsidR="00D51E7C" w:rsidRDefault="00D51E7C"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0AFB6E9A"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r w:rsidRPr="00913626">
        <w:rPr>
          <w:rFonts w:ascii="Calibri" w:eastAsia="Times New Roman" w:hAnsi="Calibri" w:cs="Arial"/>
          <w:b/>
          <w:bCs/>
          <w:color w:val="4A4A4A"/>
          <w:sz w:val="21"/>
          <w:szCs w:val="21"/>
          <w:lang w:eastAsia="en-GB"/>
        </w:rPr>
        <w:t>URL:</w:t>
      </w:r>
    </w:p>
    <w:p w14:paraId="17B31081"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r w:rsidRPr="00913626">
        <w:rPr>
          <w:rFonts w:ascii="Calibri" w:eastAsia="Times New Roman" w:hAnsi="Calibri" w:cs="Arial"/>
          <w:color w:val="4A4A4A"/>
          <w:sz w:val="21"/>
          <w:szCs w:val="21"/>
          <w:lang w:eastAsia="en-GB"/>
        </w:rPr>
        <w:t>http://www.preventionweb.net/documents/oiewg/Technical%20Collection%20of%20Concept%20Notes%20on%20Indicators.pdf</w:t>
      </w:r>
    </w:p>
    <w:p w14:paraId="4B8CEA52"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p>
    <w:p w14:paraId="7806343C"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r w:rsidRPr="00913626">
        <w:rPr>
          <w:rFonts w:ascii="Calibri" w:eastAsia="Times New Roman" w:hAnsi="Calibri" w:cs="Arial"/>
          <w:b/>
          <w:bCs/>
          <w:color w:val="4A4A4A"/>
          <w:sz w:val="21"/>
          <w:szCs w:val="21"/>
          <w:lang w:eastAsia="en-GB"/>
        </w:rPr>
        <w:t>References:</w:t>
      </w:r>
    </w:p>
    <w:p w14:paraId="210EE9F2"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p>
    <w:p w14:paraId="54319E0A"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r w:rsidRPr="00913626">
        <w:rPr>
          <w:rFonts w:ascii="Calibri" w:eastAsia="Times New Roman" w:hAnsi="Calibri" w:cs="Arial"/>
          <w:color w:val="4A4A4A"/>
          <w:sz w:val="21"/>
          <w:szCs w:val="21"/>
          <w:lang w:eastAsia="en-GB"/>
        </w:rPr>
        <w:t xml:space="preserve">The Open-ended Intergovernmental Expert Working Group on Indicators and Terminology relating to Disaster Risk Reduction (OEIWG) was given the responsibility by the UNGA for the development of a set of indicators to measure global progress in the implementation of the Sendai Framework, against the seven global targets. The work of the OEIWG shall be completed by December 2016 and its report submitted to the General Assembly for consideration. The IAEG-SDGs and the UN Statistical Commission formally recognizes the role of the </w:t>
      </w:r>
      <w:proofErr w:type="gramStart"/>
      <w:r w:rsidRPr="00913626">
        <w:rPr>
          <w:rFonts w:ascii="Calibri" w:eastAsia="Times New Roman" w:hAnsi="Calibri" w:cs="Arial"/>
          <w:color w:val="4A4A4A"/>
          <w:sz w:val="21"/>
          <w:szCs w:val="21"/>
          <w:lang w:eastAsia="en-GB"/>
        </w:rPr>
        <w:t>OEIWG, and</w:t>
      </w:r>
      <w:proofErr w:type="gramEnd"/>
      <w:r w:rsidRPr="00913626">
        <w:rPr>
          <w:rFonts w:ascii="Calibri" w:eastAsia="Times New Roman" w:hAnsi="Calibri" w:cs="Arial"/>
          <w:color w:val="4A4A4A"/>
          <w:sz w:val="21"/>
          <w:szCs w:val="21"/>
          <w:lang w:eastAsia="en-GB"/>
        </w:rPr>
        <w:t xml:space="preserve"> has deferred the responsibility for the further refinement and development of the methodology for disaster-related SDGs indicators to this working group.</w:t>
      </w:r>
    </w:p>
    <w:p w14:paraId="0E88B728"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p>
    <w:p w14:paraId="2DE744FC"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r w:rsidRPr="00913626">
        <w:rPr>
          <w:rFonts w:ascii="Calibri" w:eastAsia="Times New Roman" w:hAnsi="Calibri" w:cs="Arial"/>
          <w:color w:val="4A4A4A"/>
          <w:sz w:val="21"/>
          <w:szCs w:val="21"/>
          <w:lang w:eastAsia="en-GB"/>
        </w:rPr>
        <w:t>http://www.preventionweb.net/drr-framework/open-ended-working-group/</w:t>
      </w:r>
    </w:p>
    <w:p w14:paraId="1C4E4E04"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p>
    <w:p w14:paraId="0313BA76"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r w:rsidRPr="00913626">
        <w:rPr>
          <w:rFonts w:ascii="Calibri" w:eastAsia="Times New Roman" w:hAnsi="Calibri" w:cs="Arial"/>
          <w:color w:val="4A4A4A"/>
          <w:sz w:val="21"/>
          <w:szCs w:val="21"/>
          <w:lang w:eastAsia="en-GB"/>
        </w:rPr>
        <w:t xml:space="preserve">The latest version of documents </w:t>
      </w:r>
      <w:proofErr w:type="gramStart"/>
      <w:r w:rsidRPr="00913626">
        <w:rPr>
          <w:rFonts w:ascii="Calibri" w:eastAsia="Times New Roman" w:hAnsi="Calibri" w:cs="Arial"/>
          <w:color w:val="4A4A4A"/>
          <w:sz w:val="21"/>
          <w:szCs w:val="21"/>
          <w:lang w:eastAsia="en-GB"/>
        </w:rPr>
        <w:t>are</w:t>
      </w:r>
      <w:proofErr w:type="gramEnd"/>
      <w:r w:rsidRPr="00913626">
        <w:rPr>
          <w:rFonts w:ascii="Calibri" w:eastAsia="Times New Roman" w:hAnsi="Calibri" w:cs="Arial"/>
          <w:color w:val="4A4A4A"/>
          <w:sz w:val="21"/>
          <w:szCs w:val="21"/>
          <w:lang w:eastAsia="en-GB"/>
        </w:rPr>
        <w:t xml:space="preserve"> located at:</w:t>
      </w:r>
    </w:p>
    <w:p w14:paraId="26E4ED87"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p>
    <w:p w14:paraId="3779116A"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r w:rsidRPr="00913626">
        <w:rPr>
          <w:rFonts w:ascii="Calibri" w:eastAsia="Times New Roman" w:hAnsi="Calibri" w:cs="Arial"/>
          <w:color w:val="4A4A4A"/>
          <w:sz w:val="21"/>
          <w:szCs w:val="21"/>
          <w:lang w:eastAsia="en-GB"/>
        </w:rPr>
        <w:t>http://www.preventionweb.net/drr-framework/open-ended-working-group/sessional-intersessional-documents</w:t>
      </w:r>
    </w:p>
    <w:p w14:paraId="3A9DD0EC" w14:textId="77777777" w:rsidR="00913626" w:rsidRPr="00913626" w:rsidRDefault="00913626" w:rsidP="00913626">
      <w:pPr>
        <w:shd w:val="clear" w:color="auto" w:fill="FFFFFF"/>
        <w:spacing w:after="0" w:line="336" w:lineRule="atLeast"/>
        <w:rPr>
          <w:rFonts w:ascii="Calibri" w:eastAsia="Times New Roman" w:hAnsi="Calibri" w:cs="Arial"/>
          <w:color w:val="4A4A4A"/>
          <w:sz w:val="21"/>
          <w:szCs w:val="21"/>
          <w:lang w:eastAsia="en-GB"/>
        </w:rPr>
      </w:pPr>
    </w:p>
    <w:p w14:paraId="384B0992" w14:textId="36889691" w:rsidR="00186795" w:rsidRDefault="00186795"/>
    <w:sectPr w:rsidR="00186795">
      <w:headerReference w:type="default" r:id="rId11"/>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4584E" w14:textId="77777777" w:rsidR="00AA78B4" w:rsidRDefault="00AA78B4" w:rsidP="00573C0B">
      <w:pPr>
        <w:spacing w:after="0" w:line="240" w:lineRule="auto"/>
      </w:pPr>
      <w:r>
        <w:separator/>
      </w:r>
    </w:p>
  </w:endnote>
  <w:endnote w:type="continuationSeparator" w:id="0">
    <w:p w14:paraId="7E7BB238" w14:textId="77777777" w:rsidR="00AA78B4" w:rsidRDefault="00AA78B4" w:rsidP="00573C0B">
      <w:pPr>
        <w:spacing w:after="0" w:line="240" w:lineRule="auto"/>
      </w:pPr>
      <w:r>
        <w:continuationSeparator/>
      </w:r>
    </w:p>
  </w:endnote>
  <w:endnote w:type="continuationNotice" w:id="1">
    <w:p w14:paraId="0F95539C" w14:textId="77777777" w:rsidR="00AA78B4" w:rsidRDefault="00AA78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F6EADE6" w14:paraId="6D9793F4" w14:textId="77777777" w:rsidTr="5F6EADE6">
      <w:tc>
        <w:tcPr>
          <w:tcW w:w="3005" w:type="dxa"/>
        </w:tcPr>
        <w:p w14:paraId="5269CFDD" w14:textId="45BFA2F4" w:rsidR="5F6EADE6" w:rsidRDefault="5F6EADE6" w:rsidP="5F6EADE6">
          <w:pPr>
            <w:pStyle w:val="Header"/>
            <w:ind w:left="-115"/>
          </w:pPr>
        </w:p>
      </w:tc>
      <w:tc>
        <w:tcPr>
          <w:tcW w:w="3005" w:type="dxa"/>
        </w:tcPr>
        <w:p w14:paraId="534A1E6A" w14:textId="7FD13C1D" w:rsidR="5F6EADE6" w:rsidRDefault="5F6EADE6" w:rsidP="5F6EADE6">
          <w:pPr>
            <w:pStyle w:val="Header"/>
            <w:jc w:val="center"/>
          </w:pPr>
        </w:p>
      </w:tc>
      <w:tc>
        <w:tcPr>
          <w:tcW w:w="3005" w:type="dxa"/>
        </w:tcPr>
        <w:p w14:paraId="2F827180" w14:textId="6613D04D" w:rsidR="5F6EADE6" w:rsidRDefault="5F6EADE6" w:rsidP="5F6EADE6">
          <w:pPr>
            <w:pStyle w:val="Header"/>
            <w:ind w:right="-115"/>
            <w:jc w:val="right"/>
          </w:pPr>
        </w:p>
      </w:tc>
    </w:tr>
  </w:tbl>
  <w:p w14:paraId="4C6316F4" w14:textId="18EEB60A" w:rsidR="5F6EADE6" w:rsidRDefault="5F6EADE6" w:rsidP="5F6EA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57F48" w14:textId="77777777" w:rsidR="00AA78B4" w:rsidRDefault="00AA78B4" w:rsidP="00573C0B">
      <w:pPr>
        <w:spacing w:after="0" w:line="240" w:lineRule="auto"/>
      </w:pPr>
      <w:r>
        <w:separator/>
      </w:r>
    </w:p>
  </w:footnote>
  <w:footnote w:type="continuationSeparator" w:id="0">
    <w:p w14:paraId="1BD7C5AF" w14:textId="77777777" w:rsidR="00AA78B4" w:rsidRDefault="00AA78B4" w:rsidP="00573C0B">
      <w:pPr>
        <w:spacing w:after="0" w:line="240" w:lineRule="auto"/>
      </w:pPr>
      <w:r>
        <w:continuationSeparator/>
      </w:r>
    </w:p>
  </w:footnote>
  <w:footnote w:type="continuationNotice" w:id="1">
    <w:p w14:paraId="66B0E28F" w14:textId="77777777" w:rsidR="00AA78B4" w:rsidRDefault="00AA78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72324953" w:rsidR="00077F46" w:rsidRPr="00757E8A" w:rsidRDefault="5F6EADE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5F6EADE6">
      <w:rPr>
        <w:color w:val="404040" w:themeColor="text1" w:themeTint="BF"/>
        <w:sz w:val="18"/>
        <w:szCs w:val="18"/>
      </w:rPr>
      <w:t>Last updated:</w:t>
    </w:r>
    <w:bookmarkEnd w:id="5"/>
    <w:bookmarkEnd w:id="6"/>
    <w:bookmarkEnd w:id="7"/>
    <w:bookmarkEnd w:id="8"/>
    <w:bookmarkEnd w:id="9"/>
    <w:bookmarkEnd w:id="10"/>
    <w:r w:rsidRPr="5F6EADE6">
      <w:rPr>
        <w:color w:val="404040" w:themeColor="text1" w:themeTint="BF"/>
        <w:sz w:val="18"/>
        <w:szCs w:val="18"/>
      </w:rPr>
      <w:t xml:space="preserve"> 2017-07-07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3913AF"/>
    <w:multiLevelType w:val="multilevel"/>
    <w:tmpl w:val="AEDE2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2E54"/>
    <w:rsid w:val="0005455A"/>
    <w:rsid w:val="00071F07"/>
    <w:rsid w:val="0007759D"/>
    <w:rsid w:val="000777AB"/>
    <w:rsid w:val="00077F46"/>
    <w:rsid w:val="00090FB1"/>
    <w:rsid w:val="00096186"/>
    <w:rsid w:val="000A72E4"/>
    <w:rsid w:val="000B0E2F"/>
    <w:rsid w:val="000B2430"/>
    <w:rsid w:val="000D0B30"/>
    <w:rsid w:val="000E21F1"/>
    <w:rsid w:val="000F703E"/>
    <w:rsid w:val="001044E6"/>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554CB"/>
    <w:rsid w:val="00261A8D"/>
    <w:rsid w:val="00272C4D"/>
    <w:rsid w:val="00283C1C"/>
    <w:rsid w:val="00291A00"/>
    <w:rsid w:val="00291A11"/>
    <w:rsid w:val="002A315C"/>
    <w:rsid w:val="002A3342"/>
    <w:rsid w:val="002A64BA"/>
    <w:rsid w:val="002B4989"/>
    <w:rsid w:val="002C2510"/>
    <w:rsid w:val="002D714E"/>
    <w:rsid w:val="002E3AB4"/>
    <w:rsid w:val="002E53C3"/>
    <w:rsid w:val="002F1468"/>
    <w:rsid w:val="002F5F0C"/>
    <w:rsid w:val="003265EB"/>
    <w:rsid w:val="0034329E"/>
    <w:rsid w:val="00343FAA"/>
    <w:rsid w:val="00347F5E"/>
    <w:rsid w:val="00353C98"/>
    <w:rsid w:val="00371A20"/>
    <w:rsid w:val="003821B4"/>
    <w:rsid w:val="00382CF3"/>
    <w:rsid w:val="00387D52"/>
    <w:rsid w:val="003A7CEA"/>
    <w:rsid w:val="003C7662"/>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50921"/>
    <w:rsid w:val="00563712"/>
    <w:rsid w:val="00573631"/>
    <w:rsid w:val="00573C0B"/>
    <w:rsid w:val="005768D7"/>
    <w:rsid w:val="00576CFA"/>
    <w:rsid w:val="0058556D"/>
    <w:rsid w:val="00592AF2"/>
    <w:rsid w:val="005947AD"/>
    <w:rsid w:val="00597748"/>
    <w:rsid w:val="005979E8"/>
    <w:rsid w:val="005D0AF4"/>
    <w:rsid w:val="005E54BD"/>
    <w:rsid w:val="005F6CCA"/>
    <w:rsid w:val="006104AF"/>
    <w:rsid w:val="00621893"/>
    <w:rsid w:val="006351E1"/>
    <w:rsid w:val="006447B1"/>
    <w:rsid w:val="00662775"/>
    <w:rsid w:val="006852FC"/>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943C2"/>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3626"/>
    <w:rsid w:val="00917851"/>
    <w:rsid w:val="00917F65"/>
    <w:rsid w:val="009311E7"/>
    <w:rsid w:val="00940755"/>
    <w:rsid w:val="00942694"/>
    <w:rsid w:val="009A3D57"/>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A78B4"/>
    <w:rsid w:val="00AB285B"/>
    <w:rsid w:val="00AE38A6"/>
    <w:rsid w:val="00AF5552"/>
    <w:rsid w:val="00AF5CB4"/>
    <w:rsid w:val="00AF5ED1"/>
    <w:rsid w:val="00AF71D6"/>
    <w:rsid w:val="00B03E8C"/>
    <w:rsid w:val="00B216EE"/>
    <w:rsid w:val="00B3175F"/>
    <w:rsid w:val="00B31E2C"/>
    <w:rsid w:val="00B329B0"/>
    <w:rsid w:val="00B402D8"/>
    <w:rsid w:val="00B4237C"/>
    <w:rsid w:val="00B42FE8"/>
    <w:rsid w:val="00B52AFD"/>
    <w:rsid w:val="00B54077"/>
    <w:rsid w:val="00B8087E"/>
    <w:rsid w:val="00BB646E"/>
    <w:rsid w:val="00BD1BA1"/>
    <w:rsid w:val="00C019E5"/>
    <w:rsid w:val="00C17623"/>
    <w:rsid w:val="00C35BC4"/>
    <w:rsid w:val="00C43F5B"/>
    <w:rsid w:val="00CB4371"/>
    <w:rsid w:val="00CC516D"/>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E53B0"/>
    <w:rsid w:val="00FF07B4"/>
    <w:rsid w:val="5F6EADE6"/>
    <w:rsid w:val="7267996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913626"/>
  </w:style>
  <w:style w:type="character" w:customStyle="1" w:styleId="eop">
    <w:name w:val="eop"/>
    <w:basedOn w:val="DefaultParagraphFont"/>
    <w:rsid w:val="00913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7598">
      <w:bodyDiv w:val="1"/>
      <w:marLeft w:val="0"/>
      <w:marRight w:val="0"/>
      <w:marTop w:val="0"/>
      <w:marBottom w:val="0"/>
      <w:divBdr>
        <w:top w:val="none" w:sz="0" w:space="0" w:color="auto"/>
        <w:left w:val="none" w:sz="0" w:space="0" w:color="auto"/>
        <w:bottom w:val="none" w:sz="0" w:space="0" w:color="auto"/>
        <w:right w:val="none" w:sz="0" w:space="0" w:color="auto"/>
      </w:divBdr>
    </w:div>
    <w:div w:id="51085105">
      <w:bodyDiv w:val="1"/>
      <w:marLeft w:val="0"/>
      <w:marRight w:val="0"/>
      <w:marTop w:val="0"/>
      <w:marBottom w:val="0"/>
      <w:divBdr>
        <w:top w:val="none" w:sz="0" w:space="0" w:color="auto"/>
        <w:left w:val="none" w:sz="0" w:space="0" w:color="auto"/>
        <w:bottom w:val="none" w:sz="0" w:space="0" w:color="auto"/>
        <w:right w:val="none" w:sz="0" w:space="0" w:color="auto"/>
      </w:divBdr>
    </w:div>
    <w:div w:id="86275265">
      <w:bodyDiv w:val="1"/>
      <w:marLeft w:val="0"/>
      <w:marRight w:val="0"/>
      <w:marTop w:val="0"/>
      <w:marBottom w:val="0"/>
      <w:divBdr>
        <w:top w:val="none" w:sz="0" w:space="0" w:color="auto"/>
        <w:left w:val="none" w:sz="0" w:space="0" w:color="auto"/>
        <w:bottom w:val="none" w:sz="0" w:space="0" w:color="auto"/>
        <w:right w:val="none" w:sz="0" w:space="0" w:color="auto"/>
      </w:divBdr>
    </w:div>
    <w:div w:id="148833083">
      <w:bodyDiv w:val="1"/>
      <w:marLeft w:val="0"/>
      <w:marRight w:val="0"/>
      <w:marTop w:val="0"/>
      <w:marBottom w:val="0"/>
      <w:divBdr>
        <w:top w:val="none" w:sz="0" w:space="0" w:color="auto"/>
        <w:left w:val="none" w:sz="0" w:space="0" w:color="auto"/>
        <w:bottom w:val="none" w:sz="0" w:space="0" w:color="auto"/>
        <w:right w:val="none" w:sz="0" w:space="0" w:color="auto"/>
      </w:divBdr>
    </w:div>
    <w:div w:id="321812197">
      <w:bodyDiv w:val="1"/>
      <w:marLeft w:val="0"/>
      <w:marRight w:val="0"/>
      <w:marTop w:val="0"/>
      <w:marBottom w:val="0"/>
      <w:divBdr>
        <w:top w:val="none" w:sz="0" w:space="0" w:color="auto"/>
        <w:left w:val="none" w:sz="0" w:space="0" w:color="auto"/>
        <w:bottom w:val="none" w:sz="0" w:space="0" w:color="auto"/>
        <w:right w:val="none" w:sz="0" w:space="0" w:color="auto"/>
      </w:divBdr>
    </w:div>
    <w:div w:id="328169520">
      <w:bodyDiv w:val="1"/>
      <w:marLeft w:val="0"/>
      <w:marRight w:val="0"/>
      <w:marTop w:val="0"/>
      <w:marBottom w:val="0"/>
      <w:divBdr>
        <w:top w:val="none" w:sz="0" w:space="0" w:color="auto"/>
        <w:left w:val="none" w:sz="0" w:space="0" w:color="auto"/>
        <w:bottom w:val="none" w:sz="0" w:space="0" w:color="auto"/>
        <w:right w:val="none" w:sz="0" w:space="0" w:color="auto"/>
      </w:divBdr>
    </w:div>
    <w:div w:id="417754598">
      <w:bodyDiv w:val="1"/>
      <w:marLeft w:val="0"/>
      <w:marRight w:val="0"/>
      <w:marTop w:val="0"/>
      <w:marBottom w:val="0"/>
      <w:divBdr>
        <w:top w:val="none" w:sz="0" w:space="0" w:color="auto"/>
        <w:left w:val="none" w:sz="0" w:space="0" w:color="auto"/>
        <w:bottom w:val="none" w:sz="0" w:space="0" w:color="auto"/>
        <w:right w:val="none" w:sz="0" w:space="0" w:color="auto"/>
      </w:divBdr>
    </w:div>
    <w:div w:id="537669834">
      <w:bodyDiv w:val="1"/>
      <w:marLeft w:val="0"/>
      <w:marRight w:val="0"/>
      <w:marTop w:val="0"/>
      <w:marBottom w:val="0"/>
      <w:divBdr>
        <w:top w:val="none" w:sz="0" w:space="0" w:color="auto"/>
        <w:left w:val="none" w:sz="0" w:space="0" w:color="auto"/>
        <w:bottom w:val="none" w:sz="0" w:space="0" w:color="auto"/>
        <w:right w:val="none" w:sz="0" w:space="0" w:color="auto"/>
      </w:divBdr>
    </w:div>
    <w:div w:id="686099324">
      <w:bodyDiv w:val="1"/>
      <w:marLeft w:val="0"/>
      <w:marRight w:val="0"/>
      <w:marTop w:val="0"/>
      <w:marBottom w:val="0"/>
      <w:divBdr>
        <w:top w:val="none" w:sz="0" w:space="0" w:color="auto"/>
        <w:left w:val="none" w:sz="0" w:space="0" w:color="auto"/>
        <w:bottom w:val="none" w:sz="0" w:space="0" w:color="auto"/>
        <w:right w:val="none" w:sz="0" w:space="0" w:color="auto"/>
      </w:divBdr>
    </w:div>
    <w:div w:id="763066740">
      <w:bodyDiv w:val="1"/>
      <w:marLeft w:val="0"/>
      <w:marRight w:val="0"/>
      <w:marTop w:val="0"/>
      <w:marBottom w:val="0"/>
      <w:divBdr>
        <w:top w:val="none" w:sz="0" w:space="0" w:color="auto"/>
        <w:left w:val="none" w:sz="0" w:space="0" w:color="auto"/>
        <w:bottom w:val="none" w:sz="0" w:space="0" w:color="auto"/>
        <w:right w:val="none" w:sz="0" w:space="0" w:color="auto"/>
      </w:divBdr>
    </w:div>
    <w:div w:id="815688118">
      <w:bodyDiv w:val="1"/>
      <w:marLeft w:val="0"/>
      <w:marRight w:val="0"/>
      <w:marTop w:val="0"/>
      <w:marBottom w:val="0"/>
      <w:divBdr>
        <w:top w:val="none" w:sz="0" w:space="0" w:color="auto"/>
        <w:left w:val="none" w:sz="0" w:space="0" w:color="auto"/>
        <w:bottom w:val="none" w:sz="0" w:space="0" w:color="auto"/>
        <w:right w:val="none" w:sz="0" w:space="0" w:color="auto"/>
      </w:divBdr>
    </w:div>
    <w:div w:id="977612100">
      <w:bodyDiv w:val="1"/>
      <w:marLeft w:val="0"/>
      <w:marRight w:val="0"/>
      <w:marTop w:val="0"/>
      <w:marBottom w:val="0"/>
      <w:divBdr>
        <w:top w:val="none" w:sz="0" w:space="0" w:color="auto"/>
        <w:left w:val="none" w:sz="0" w:space="0" w:color="auto"/>
        <w:bottom w:val="none" w:sz="0" w:space="0" w:color="auto"/>
        <w:right w:val="none" w:sz="0" w:space="0" w:color="auto"/>
      </w:divBdr>
    </w:div>
    <w:div w:id="1021205201">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91703467">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94611525">
      <w:bodyDiv w:val="1"/>
      <w:marLeft w:val="0"/>
      <w:marRight w:val="0"/>
      <w:marTop w:val="0"/>
      <w:marBottom w:val="0"/>
      <w:divBdr>
        <w:top w:val="none" w:sz="0" w:space="0" w:color="auto"/>
        <w:left w:val="none" w:sz="0" w:space="0" w:color="auto"/>
        <w:bottom w:val="none" w:sz="0" w:space="0" w:color="auto"/>
        <w:right w:val="none" w:sz="0" w:space="0" w:color="auto"/>
      </w:divBdr>
    </w:div>
    <w:div w:id="1305508922">
      <w:bodyDiv w:val="1"/>
      <w:marLeft w:val="0"/>
      <w:marRight w:val="0"/>
      <w:marTop w:val="0"/>
      <w:marBottom w:val="0"/>
      <w:divBdr>
        <w:top w:val="none" w:sz="0" w:space="0" w:color="auto"/>
        <w:left w:val="none" w:sz="0" w:space="0" w:color="auto"/>
        <w:bottom w:val="none" w:sz="0" w:space="0" w:color="auto"/>
        <w:right w:val="none" w:sz="0" w:space="0" w:color="auto"/>
      </w:divBdr>
    </w:div>
    <w:div w:id="1375697715">
      <w:bodyDiv w:val="1"/>
      <w:marLeft w:val="0"/>
      <w:marRight w:val="0"/>
      <w:marTop w:val="0"/>
      <w:marBottom w:val="0"/>
      <w:divBdr>
        <w:top w:val="none" w:sz="0" w:space="0" w:color="auto"/>
        <w:left w:val="none" w:sz="0" w:space="0" w:color="auto"/>
        <w:bottom w:val="none" w:sz="0" w:space="0" w:color="auto"/>
        <w:right w:val="none" w:sz="0" w:space="0" w:color="auto"/>
      </w:divBdr>
    </w:div>
    <w:div w:id="1560246942">
      <w:bodyDiv w:val="1"/>
      <w:marLeft w:val="0"/>
      <w:marRight w:val="0"/>
      <w:marTop w:val="0"/>
      <w:marBottom w:val="0"/>
      <w:divBdr>
        <w:top w:val="none" w:sz="0" w:space="0" w:color="auto"/>
        <w:left w:val="none" w:sz="0" w:space="0" w:color="auto"/>
        <w:bottom w:val="none" w:sz="0" w:space="0" w:color="auto"/>
        <w:right w:val="none" w:sz="0" w:space="0" w:color="auto"/>
      </w:divBdr>
    </w:div>
    <w:div w:id="1588268534">
      <w:bodyDiv w:val="1"/>
      <w:marLeft w:val="0"/>
      <w:marRight w:val="0"/>
      <w:marTop w:val="0"/>
      <w:marBottom w:val="0"/>
      <w:divBdr>
        <w:top w:val="none" w:sz="0" w:space="0" w:color="auto"/>
        <w:left w:val="none" w:sz="0" w:space="0" w:color="auto"/>
        <w:bottom w:val="none" w:sz="0" w:space="0" w:color="auto"/>
        <w:right w:val="none" w:sz="0" w:space="0" w:color="auto"/>
      </w:divBdr>
    </w:div>
    <w:div w:id="201865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79F04340-9CB4-415F-86F8-58B6987641FF}"/>
      </w:docPartPr>
      <w:docPartBody>
        <w:p w:rsidR="00000000" w:rsidRDefault="00C125C5">
          <w:r w:rsidRPr="00C477C2">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C5"/>
    <w:rsid w:val="00C125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25C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597A22-7BCB-4E17-AD05-698BA4F6D47D}">
  <ds:schemaRefs>
    <ds:schemaRef ds:uri="f2d2d782-0088-4826-96df-71eba56e6d2e"/>
    <ds:schemaRef ds:uri="http://schemas.openxmlformats.org/package/2006/metadata/core-properties"/>
    <ds:schemaRef ds:uri="http://schemas.microsoft.com/office/2006/metadata/properties"/>
    <ds:schemaRef ds:uri="d114b01d-ae01-4749-b845-9d88e7ef5c0e"/>
    <ds:schemaRef ds:uri="http://purl.org/dc/dcmitype/"/>
    <ds:schemaRef ds:uri="http://purl.org/dc/elements/1.1/"/>
    <ds:schemaRef ds:uri="http://schemas.microsoft.com/office/2006/documentManagement/types"/>
    <ds:schemaRef ds:uri="http://schemas.microsoft.com/office/infopath/2007/PartnerControls"/>
    <ds:schemaRef ds:uri="http://www.w3.org/XML/1998/namespace"/>
    <ds:schemaRef ds:uri="http://purl.org/dc/terms/"/>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4587705-96C6-4308-BA9E-A547B8784873}">
  <ds:schemaRefs>
    <ds:schemaRef ds:uri="http://schemas.openxmlformats.org/officeDocument/2006/bibliography"/>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14</cp:revision>
  <cp:lastPrinted>2016-07-16T14:25:00Z</cp:lastPrinted>
  <dcterms:created xsi:type="dcterms:W3CDTF">2020-12-12T22:21:00Z</dcterms:created>
  <dcterms:modified xsi:type="dcterms:W3CDTF">2022-12-20T22:04:00Z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