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939A3C3" w14:textId="77777777" w:rsidR="00C03897" w:rsidRPr="00FD208B" w:rsidRDefault="00C03897" w:rsidP="00C03897">
      <w:pPr>
        <w:shd w:val="clear" w:color="auto" w:fill="F5F5F5"/>
        <w:spacing w:after="0"/>
        <w:contextualSpacing/>
        <w:outlineLvl w:val="4"/>
        <w:rPr>
          <w:rFonts w:eastAsia="Times New Roman" w:cs="Times New Roman"/>
          <w:color w:val="333333"/>
          <w:sz w:val="21"/>
          <w:szCs w:val="21"/>
          <w:lang w:eastAsia="en-GB"/>
        </w:rPr>
      </w:pPr>
      <w:r w:rsidRPr="00FD208B">
        <w:rPr>
          <w:rFonts w:eastAsia="Times New Roman"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356680A" w:rsidR="00D24330" w:rsidRPr="00A96255" w:rsidRDefault="00D24330" w:rsidP="00D24330">
      <w:pPr>
        <w:pStyle w:val="MIndHeader"/>
      </w:pPr>
      <w:r w:rsidRPr="00A96255">
        <w:t xml:space="preserve">0.b. Target </w:t>
      </w:r>
      <w:r>
        <w:rPr>
          <w:color w:val="B4B4B4"/>
          <w:sz w:val="20"/>
        </w:rPr>
        <w:t>(SDG_TARGET)</w:t>
      </w:r>
    </w:p>
    <w:p w14:paraId="419F4F48" w14:textId="77777777" w:rsidR="00C03897" w:rsidRPr="00FD208B" w:rsidRDefault="00C03897" w:rsidP="00C03897">
      <w:pPr>
        <w:shd w:val="clear" w:color="auto" w:fill="F5F5F5"/>
        <w:spacing w:after="0"/>
        <w:contextualSpacing/>
        <w:outlineLvl w:val="4"/>
        <w:rPr>
          <w:rFonts w:eastAsia="Times New Roman" w:cs="Times New Roman"/>
          <w:color w:val="333333"/>
          <w:sz w:val="21"/>
          <w:szCs w:val="21"/>
          <w:lang w:eastAsia="en-GB"/>
        </w:rPr>
      </w:pPr>
      <w:r w:rsidRPr="00FD208B">
        <w:rPr>
          <w:rFonts w:eastAsia="Times New Roman" w:cs="Times New Roman"/>
          <w:color w:val="333333"/>
          <w:sz w:val="21"/>
          <w:szCs w:val="21"/>
          <w:lang w:eastAsia="en-GB"/>
        </w:rPr>
        <w:t>Target 15.4: By 2030, ensure the conservation of mountain ecosystems, including their biodiversity, in order to enhance their capacity to provide benefits that are essential for sustainable development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4D179DA1" w14:textId="1CEF8F85" w:rsidR="00C03897" w:rsidRPr="00897F85" w:rsidRDefault="00C03897" w:rsidP="00D24330">
      <w:pPr>
        <w:pStyle w:val="MIndHeader"/>
        <w:rPr>
          <w:color w:val="auto"/>
          <w:sz w:val="21"/>
          <w:szCs w:val="21"/>
        </w:rPr>
      </w:pPr>
      <w:r w:rsidRPr="00C03897">
        <w:rPr>
          <w:color w:val="333333"/>
          <w:sz w:val="21"/>
          <w:szCs w:val="21"/>
        </w:rPr>
        <w:t>Indicator 15.4.2:</w:t>
      </w:r>
      <w:r w:rsidR="006B6B45">
        <w:rPr>
          <w:color w:val="333333"/>
          <w:sz w:val="21"/>
          <w:szCs w:val="21"/>
        </w:rPr>
        <w:t xml:space="preserve"> </w:t>
      </w:r>
      <w:r w:rsidR="006B6B45" w:rsidRPr="006B6B45">
        <w:rPr>
          <w:color w:val="333333"/>
          <w:sz w:val="21"/>
          <w:szCs w:val="21"/>
        </w:rPr>
        <w:t>(a)</w:t>
      </w:r>
      <w:r w:rsidRPr="006B6B45">
        <w:rPr>
          <w:color w:val="333333"/>
          <w:sz w:val="21"/>
          <w:szCs w:val="21"/>
        </w:rPr>
        <w:t xml:space="preserve"> </w:t>
      </w:r>
      <w:r w:rsidRPr="00E81C88">
        <w:rPr>
          <w:color w:val="333333"/>
          <w:sz w:val="21"/>
          <w:szCs w:val="21"/>
        </w:rPr>
        <w:t>Mountain Green Cover Index</w:t>
      </w:r>
      <w:r w:rsidR="006B6B45" w:rsidRPr="00E81C88">
        <w:rPr>
          <w:color w:val="333333"/>
          <w:sz w:val="21"/>
          <w:szCs w:val="21"/>
        </w:rPr>
        <w:t xml:space="preserve"> and (</w:t>
      </w:r>
      <w:r w:rsidR="006B6B45" w:rsidRPr="006042A9">
        <w:rPr>
          <w:color w:val="333333"/>
          <w:sz w:val="21"/>
          <w:szCs w:val="21"/>
        </w:rPr>
        <w:t>b)</w:t>
      </w:r>
      <w:r w:rsidR="006B6B45" w:rsidRPr="00897F85">
        <w:rPr>
          <w:color w:val="333333"/>
          <w:sz w:val="21"/>
          <w:szCs w:val="21"/>
        </w:rPr>
        <w:t xml:space="preserve"> </w:t>
      </w:r>
      <w:r w:rsidR="001E55F9">
        <w:rPr>
          <w:color w:val="333333"/>
          <w:sz w:val="21"/>
          <w:szCs w:val="21"/>
        </w:rPr>
        <w:t>p</w:t>
      </w:r>
      <w:r w:rsidR="006B6B45" w:rsidRPr="00897F85">
        <w:rPr>
          <w:color w:val="333333"/>
          <w:sz w:val="21"/>
          <w:szCs w:val="21"/>
        </w:rPr>
        <w:t>roportion of degraded mountain land</w:t>
      </w:r>
    </w:p>
    <w:p w14:paraId="37E5E4F6" w14:textId="48500563" w:rsidR="00D24330" w:rsidRPr="0006596A" w:rsidRDefault="00D24330" w:rsidP="00D24330">
      <w:pPr>
        <w:pStyle w:val="MIndHeader"/>
        <w:rPr>
          <w:lang w:val="en-US"/>
        </w:rPr>
      </w:pPr>
      <w:r w:rsidRPr="0006596A">
        <w:rPr>
          <w:lang w:val="en-US"/>
        </w:rPr>
        <w:t xml:space="preserve">0.d. Series </w:t>
      </w:r>
      <w:r>
        <w:rPr>
          <w:color w:val="B4B4B4"/>
          <w:sz w:val="20"/>
        </w:rPr>
        <w:t>(SDG_SERIES_DESCR)</w:t>
      </w:r>
    </w:p>
    <w:p w14:paraId="5657EA0A" w14:textId="39959CD5" w:rsidR="00CC6AFD" w:rsidRDefault="00CC6AFD" w:rsidP="00D24330">
      <w:pPr>
        <w:pStyle w:val="MIndHeader"/>
        <w:rPr>
          <w:color w:val="333333"/>
          <w:sz w:val="21"/>
          <w:szCs w:val="21"/>
        </w:rPr>
      </w:pPr>
      <w:r>
        <w:rPr>
          <w:color w:val="333333"/>
          <w:sz w:val="21"/>
          <w:szCs w:val="21"/>
        </w:rPr>
        <w:t>Primary series:</w:t>
      </w:r>
    </w:p>
    <w:p w14:paraId="68FFFF10" w14:textId="77777777" w:rsidR="00FA68D7" w:rsidRPr="00FA68D7" w:rsidRDefault="00FA68D7" w:rsidP="00FA68D7">
      <w:pPr>
        <w:pStyle w:val="MIndHeader"/>
        <w:rPr>
          <w:color w:val="333333"/>
          <w:sz w:val="21"/>
          <w:szCs w:val="21"/>
        </w:rPr>
      </w:pPr>
      <w:r w:rsidRPr="00FA68D7">
        <w:rPr>
          <w:color w:val="333333"/>
          <w:sz w:val="21"/>
          <w:szCs w:val="21"/>
        </w:rPr>
        <w:t>ER_MTN_DGRDP - Proportion of degraded mountain land (%) [15.4.2]</w:t>
      </w:r>
    </w:p>
    <w:p w14:paraId="69119B60" w14:textId="77777777" w:rsidR="00FA68D7" w:rsidRPr="00FA68D7" w:rsidRDefault="00FA68D7" w:rsidP="00FA68D7">
      <w:pPr>
        <w:pStyle w:val="MIndHeader"/>
        <w:rPr>
          <w:color w:val="333333"/>
          <w:sz w:val="21"/>
          <w:szCs w:val="21"/>
        </w:rPr>
      </w:pPr>
      <w:r w:rsidRPr="00FA68D7">
        <w:rPr>
          <w:color w:val="333333"/>
          <w:sz w:val="21"/>
          <w:szCs w:val="21"/>
        </w:rPr>
        <w:t>ER_MTN_GRNCVI - Mountain Green Cover Index [15.4.2]</w:t>
      </w:r>
    </w:p>
    <w:p w14:paraId="3D64EC26" w14:textId="7947208E" w:rsidR="006B6B45" w:rsidRDefault="006B6B45" w:rsidP="00D24330">
      <w:pPr>
        <w:pStyle w:val="MIndHeader"/>
        <w:rPr>
          <w:color w:val="333333"/>
          <w:sz w:val="21"/>
          <w:szCs w:val="21"/>
        </w:rPr>
      </w:pPr>
    </w:p>
    <w:p w14:paraId="5B060F19" w14:textId="5495BB79" w:rsidR="00CC6AFD" w:rsidRDefault="00CC6AFD" w:rsidP="00D24330">
      <w:pPr>
        <w:pStyle w:val="MIndHeader"/>
        <w:rPr>
          <w:color w:val="333333"/>
          <w:sz w:val="21"/>
          <w:szCs w:val="21"/>
        </w:rPr>
      </w:pPr>
      <w:r>
        <w:rPr>
          <w:color w:val="333333"/>
          <w:sz w:val="21"/>
          <w:szCs w:val="21"/>
        </w:rPr>
        <w:t>Supplementary series:</w:t>
      </w:r>
    </w:p>
    <w:p w14:paraId="74E36FEC" w14:textId="77777777" w:rsidR="00FA68D7" w:rsidRPr="00FA68D7" w:rsidRDefault="00FA68D7" w:rsidP="00FA68D7">
      <w:pPr>
        <w:pStyle w:val="MIndHeader"/>
        <w:rPr>
          <w:color w:val="333333"/>
          <w:sz w:val="21"/>
          <w:szCs w:val="21"/>
        </w:rPr>
      </w:pPr>
      <w:r w:rsidRPr="00FA68D7">
        <w:rPr>
          <w:color w:val="333333"/>
          <w:sz w:val="21"/>
          <w:szCs w:val="21"/>
        </w:rPr>
        <w:t>ER_MTN_GRNCOV - Mountain green cover area (square kilometres) [15.4.2]</w:t>
      </w:r>
    </w:p>
    <w:p w14:paraId="540971E8" w14:textId="45F62349" w:rsidR="00F22F48" w:rsidRDefault="00FA68D7" w:rsidP="00D24330">
      <w:pPr>
        <w:pStyle w:val="MIndHeader"/>
        <w:rPr>
          <w:color w:val="333333"/>
          <w:sz w:val="21"/>
          <w:szCs w:val="21"/>
        </w:rPr>
      </w:pPr>
      <w:r w:rsidRPr="00FA68D7">
        <w:rPr>
          <w:color w:val="333333"/>
          <w:sz w:val="21"/>
          <w:szCs w:val="21"/>
        </w:rPr>
        <w:t>ER_MTN_TOTL - Mountain area (square kilometres) [15.4.2]</w:t>
      </w:r>
    </w:p>
    <w:p w14:paraId="31E408D4" w14:textId="21691B1E" w:rsidR="00CC6AFD" w:rsidRDefault="00FA68D7" w:rsidP="00D24330">
      <w:pPr>
        <w:pStyle w:val="MIndHeader"/>
        <w:rPr>
          <w:color w:val="333333"/>
          <w:sz w:val="21"/>
          <w:szCs w:val="21"/>
        </w:rPr>
      </w:pPr>
      <w:r w:rsidRPr="00FA68D7">
        <w:rPr>
          <w:color w:val="333333"/>
          <w:sz w:val="21"/>
          <w:szCs w:val="21"/>
        </w:rPr>
        <w:t>ER_MTN_DGRDA - Area of degraded mountain land (square kilometres) [15.4.2]</w:t>
      </w:r>
    </w:p>
    <w:p w14:paraId="157DACE7" w14:textId="2CA8EDA6" w:rsidR="00D24330" w:rsidRPr="007B2926" w:rsidRDefault="00D24330" w:rsidP="00B97E4C">
      <w:pPr>
        <w:pStyle w:val="MIndHeader"/>
        <w:rPr>
          <w:lang w:val="it-IT"/>
        </w:rPr>
      </w:pPr>
      <w:r w:rsidRPr="007B2926">
        <w:rPr>
          <w:lang w:val="it-IT"/>
        </w:rPr>
        <w:t xml:space="preserve">0.e. Metadata update </w:t>
      </w:r>
      <w:r>
        <w:rPr>
          <w:color w:val="B4B4B4"/>
          <w:sz w:val="20"/>
        </w:rPr>
        <w:t>(META_LAST_UPDATE)</w:t>
      </w:r>
    </w:p>
    <w:p w14:paraId="03424B60" w14:textId="58421BBF" w:rsidR="00D24330" w:rsidRPr="0006596A" w:rsidRDefault="00000000" w:rsidP="00D24330">
      <w:pPr>
        <w:pStyle w:val="MGTHeader"/>
        <w:rPr>
          <w:lang w:val="en-US"/>
        </w:rPr>
      </w:pPr>
      <w:sdt>
        <w:sdtPr>
          <w:rPr>
            <w:lang w:val="en-US"/>
          </w:rPr>
          <w:id w:val="2091419825"/>
          <w:placeholder>
            <w:docPart w:val="DefaultPlaceholder_-1854013437"/>
          </w:placeholder>
          <w:date w:fullDate="2024-07-29T00:00:00Z">
            <w:dateFormat w:val="yyyy-MM-dd"/>
            <w:lid w:val="en-US"/>
            <w:storeMappedDataAs w:val="dateTime"/>
            <w:calendar w:val="gregorian"/>
          </w:date>
        </w:sdtPr>
        <w:sdtContent>
          <w:r w:rsidR="00753171">
            <w:rPr>
              <w:lang w:val="en-US"/>
            </w:rPr>
            <w:t>2024-07-29</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5044291" w14:textId="09A39EB8" w:rsidR="00EF5903" w:rsidRPr="00944ECD" w:rsidRDefault="00EF5903" w:rsidP="00F72C69">
      <w:pPr>
        <w:pStyle w:val="MGTHeader"/>
      </w:pPr>
      <w:r w:rsidRPr="00306C61">
        <w:t>6.6</w:t>
      </w:r>
      <w:r>
        <w:t>.1</w:t>
      </w:r>
      <w:r w:rsidRPr="00306C61">
        <w:t>,</w:t>
      </w:r>
      <w:r>
        <w:t xml:space="preserve"> </w:t>
      </w:r>
      <w:r w:rsidRPr="00306C61">
        <w:t>15.1</w:t>
      </w:r>
      <w:r>
        <w:t>.1, 15.2.1</w:t>
      </w:r>
      <w:r w:rsidR="00FA2473">
        <w:t xml:space="preserve">, </w:t>
      </w:r>
      <w:r w:rsidR="00895F48">
        <w:t>15.3.1</w:t>
      </w:r>
      <w:r w:rsidR="00FA2473">
        <w:t>, 15.4.1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0818363" w14:textId="77777777" w:rsidR="00C03897" w:rsidRDefault="00C03897" w:rsidP="00F72C69">
      <w:pPr>
        <w:pStyle w:val="MGTHeader"/>
      </w:pPr>
      <w:r w:rsidRPr="00FD208B">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647FCBB" w14:textId="6B856CEF" w:rsidR="00C03897" w:rsidRDefault="00C03897" w:rsidP="00C03897">
      <w:pPr>
        <w:shd w:val="clear" w:color="auto" w:fill="FFFFFF"/>
        <w:spacing w:after="0"/>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 xml:space="preserve">Food and Agriculture Organization of the United </w:t>
      </w:r>
      <w:r w:rsidRPr="007B2926">
        <w:rPr>
          <w:rFonts w:eastAsia="Times New Roman" w:cs="Times New Roman"/>
          <w:color w:val="4A4A4A"/>
          <w:sz w:val="21"/>
          <w:szCs w:val="21"/>
          <w:lang w:eastAsia="en-GB"/>
        </w:rPr>
        <w:t>Nations (</w:t>
      </w:r>
      <w:r w:rsidRPr="007B2926">
        <w:rPr>
          <w:color w:val="4A4A4A"/>
          <w:sz w:val="21"/>
        </w:rPr>
        <w:t>FAO</w:t>
      </w:r>
      <w:r w:rsidRPr="007B2926">
        <w:rPr>
          <w:rFonts w:eastAsia="Times New Roman" w:cs="Times New Roman"/>
          <w:color w:val="4A4A4A"/>
          <w:sz w:val="21"/>
          <w:szCs w:val="21"/>
          <w:lang w:eastAsia="en-GB"/>
        </w:rPr>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4AB2AA8" w14:textId="55009F43" w:rsidR="00C03897" w:rsidRPr="00C03897" w:rsidRDefault="00C03897" w:rsidP="007A613E">
      <w:pPr>
        <w:shd w:val="clear" w:color="auto" w:fill="FFFFFF"/>
        <w:spacing w:after="120" w:line="259" w:lineRule="auto"/>
        <w:rPr>
          <w:rFonts w:eastAsia="Times New Roman" w:cs="Times New Roman"/>
          <w:color w:val="4A4A4A"/>
          <w:sz w:val="21"/>
          <w:szCs w:val="21"/>
          <w:lang w:eastAsia="en-GB"/>
        </w:rPr>
      </w:pPr>
      <w:r w:rsidRPr="00C03897">
        <w:rPr>
          <w:rFonts w:eastAsia="Times New Roman" w:cs="Times New Roman"/>
          <w:b/>
          <w:bCs/>
          <w:color w:val="4A4A4A"/>
          <w:sz w:val="21"/>
          <w:szCs w:val="21"/>
          <w:lang w:eastAsia="en-GB"/>
        </w:rPr>
        <w:t>Definition</w:t>
      </w:r>
      <w:r w:rsidR="00AF4EE2">
        <w:rPr>
          <w:rFonts w:eastAsia="Times New Roman" w:cs="Times New Roman"/>
          <w:b/>
          <w:bCs/>
          <w:color w:val="4A4A4A"/>
          <w:sz w:val="21"/>
          <w:szCs w:val="21"/>
          <w:lang w:eastAsia="en-GB"/>
        </w:rPr>
        <w:t>s</w:t>
      </w:r>
      <w:r w:rsidRPr="00C03897">
        <w:rPr>
          <w:rFonts w:eastAsia="Times New Roman" w:cs="Times New Roman"/>
          <w:b/>
          <w:bCs/>
          <w:color w:val="4A4A4A"/>
          <w:sz w:val="21"/>
          <w:szCs w:val="21"/>
          <w:lang w:eastAsia="en-GB"/>
        </w:rPr>
        <w:t>:</w:t>
      </w:r>
    </w:p>
    <w:p w14:paraId="6CCF2312" w14:textId="3AD93CD2" w:rsidR="006B6B45" w:rsidRDefault="006B6B45" w:rsidP="006F2AB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The indicator is composed of two sub-indicators </w:t>
      </w:r>
      <w:r w:rsidR="00A10A3C">
        <w:rPr>
          <w:rFonts w:eastAsia="Times New Roman" w:cs="Times New Roman"/>
          <w:color w:val="4A4A4A"/>
          <w:sz w:val="21"/>
          <w:szCs w:val="21"/>
          <w:lang w:eastAsia="en-GB"/>
        </w:rPr>
        <w:t>to monitor</w:t>
      </w:r>
      <w:r>
        <w:rPr>
          <w:rFonts w:eastAsia="Times New Roman" w:cs="Times New Roman"/>
          <w:color w:val="4A4A4A"/>
          <w:sz w:val="21"/>
          <w:szCs w:val="21"/>
          <w:lang w:eastAsia="en-GB"/>
        </w:rPr>
        <w:t xml:space="preserve"> progress towards the conservation of mountain ecosystems:</w:t>
      </w:r>
    </w:p>
    <w:p w14:paraId="26955F77" w14:textId="77777777" w:rsidR="006B6B45" w:rsidRDefault="006B6B45" w:rsidP="006F2AB9">
      <w:pPr>
        <w:shd w:val="clear" w:color="auto" w:fill="FFFFFF"/>
        <w:spacing w:after="0"/>
        <w:contextualSpacing/>
        <w:jc w:val="both"/>
        <w:rPr>
          <w:rFonts w:eastAsia="Times New Roman" w:cs="Times New Roman"/>
          <w:color w:val="4A4A4A"/>
          <w:sz w:val="21"/>
          <w:szCs w:val="21"/>
          <w:lang w:eastAsia="en-GB"/>
        </w:rPr>
      </w:pPr>
    </w:p>
    <w:p w14:paraId="5BDDDDF5" w14:textId="0958F916" w:rsidR="00C03897" w:rsidRDefault="006B6B45" w:rsidP="006F2AB9">
      <w:pPr>
        <w:shd w:val="clear" w:color="auto" w:fill="FFFFFF"/>
        <w:spacing w:after="0"/>
        <w:contextualSpacing/>
        <w:jc w:val="both"/>
        <w:rPr>
          <w:rFonts w:eastAsia="Times New Roman" w:cs="Times New Roman"/>
          <w:color w:val="595959" w:themeColor="text1" w:themeTint="A6"/>
          <w:sz w:val="21"/>
          <w:szCs w:val="21"/>
          <w:lang w:eastAsia="en-GB"/>
        </w:rPr>
      </w:pPr>
      <w:r>
        <w:rPr>
          <w:rFonts w:eastAsia="Times New Roman" w:cs="Times New Roman"/>
          <w:color w:val="4A4A4A"/>
          <w:sz w:val="21"/>
          <w:szCs w:val="21"/>
          <w:lang w:eastAsia="en-GB"/>
        </w:rPr>
        <w:t xml:space="preserve">Sub-indicator </w:t>
      </w:r>
      <w:r w:rsidR="00220790">
        <w:rPr>
          <w:rFonts w:eastAsia="Times New Roman" w:cs="Times New Roman"/>
          <w:color w:val="4A4A4A"/>
          <w:sz w:val="21"/>
          <w:szCs w:val="21"/>
          <w:lang w:eastAsia="en-GB"/>
        </w:rPr>
        <w:t>15.4.2a</w:t>
      </w:r>
      <w:r w:rsidR="00941B5B">
        <w:rPr>
          <w:rFonts w:eastAsia="Times New Roman" w:cs="Times New Roman"/>
          <w:color w:val="4A4A4A"/>
          <w:sz w:val="21"/>
          <w:szCs w:val="21"/>
          <w:lang w:eastAsia="en-GB"/>
        </w:rPr>
        <w:t>,</w:t>
      </w:r>
      <w:r w:rsidRPr="26FF0A74">
        <w:rPr>
          <w:rFonts w:eastAsia="Times New Roman" w:cs="Times New Roman"/>
          <w:color w:val="4A4A4A"/>
          <w:sz w:val="21"/>
          <w:szCs w:val="21"/>
          <w:lang w:eastAsia="en-GB"/>
        </w:rPr>
        <w:t xml:space="preserve"> </w:t>
      </w:r>
      <w:r w:rsidR="00C03897" w:rsidRPr="26FF0A74">
        <w:rPr>
          <w:rFonts w:eastAsia="Times New Roman" w:cs="Times New Roman"/>
          <w:color w:val="4A4A4A"/>
          <w:sz w:val="21"/>
          <w:szCs w:val="21"/>
          <w:lang w:eastAsia="en-GB"/>
        </w:rPr>
        <w:t>Mountain Green Cover Index (MGCI)</w:t>
      </w:r>
      <w:r w:rsidR="00941B5B">
        <w:rPr>
          <w:rFonts w:eastAsia="Times New Roman" w:cs="Times New Roman"/>
          <w:color w:val="4A4A4A"/>
          <w:sz w:val="21"/>
          <w:szCs w:val="21"/>
          <w:lang w:eastAsia="en-GB"/>
        </w:rPr>
        <w:t>,</w:t>
      </w:r>
      <w:r w:rsidR="00C03897" w:rsidRPr="26FF0A74">
        <w:rPr>
          <w:rFonts w:eastAsia="Times New Roman" w:cs="Times New Roman"/>
          <w:color w:val="4A4A4A"/>
          <w:sz w:val="21"/>
          <w:szCs w:val="21"/>
          <w:lang w:eastAsia="en-GB"/>
        </w:rPr>
        <w:t xml:space="preserve"> is designed to measure the extent and changes of green </w:t>
      </w:r>
      <w:r w:rsidR="00A10A3C">
        <w:rPr>
          <w:rFonts w:eastAsia="Times New Roman" w:cs="Times New Roman"/>
          <w:color w:val="4A4A4A"/>
          <w:sz w:val="21"/>
          <w:szCs w:val="21"/>
          <w:lang w:eastAsia="en-GB"/>
        </w:rPr>
        <w:t>cover</w:t>
      </w:r>
      <w:r w:rsidR="00A10A3C" w:rsidRPr="26FF0A74">
        <w:rPr>
          <w:rFonts w:eastAsia="Times New Roman" w:cs="Times New Roman"/>
          <w:color w:val="4A4A4A"/>
          <w:sz w:val="21"/>
          <w:szCs w:val="21"/>
          <w:lang w:eastAsia="en-GB"/>
        </w:rPr>
        <w:t xml:space="preserve"> </w:t>
      </w:r>
      <w:r w:rsidR="00C03897" w:rsidRPr="26FF0A74">
        <w:rPr>
          <w:rFonts w:eastAsia="Times New Roman" w:cs="Times New Roman"/>
          <w:color w:val="4A4A4A"/>
          <w:sz w:val="21"/>
          <w:szCs w:val="21"/>
          <w:lang w:eastAsia="en-GB"/>
        </w:rPr>
        <w:t>- i.e. forest, shrubs, trees, pasture land, cropland, etc. –</w:t>
      </w:r>
      <w:r w:rsidR="00A10A3C" w:rsidRPr="00A10A3C">
        <w:rPr>
          <w:rFonts w:eastAsia="Times New Roman" w:cs="Times New Roman"/>
          <w:color w:val="4A4A4A"/>
          <w:sz w:val="21"/>
          <w:szCs w:val="21"/>
          <w:lang w:eastAsia="en-GB"/>
        </w:rPr>
        <w:t xml:space="preserve"> </w:t>
      </w:r>
      <w:r w:rsidR="00A10A3C" w:rsidRPr="26FF0A74">
        <w:rPr>
          <w:rFonts w:eastAsia="Times New Roman" w:cs="Times New Roman"/>
          <w:color w:val="4A4A4A"/>
          <w:sz w:val="21"/>
          <w:szCs w:val="21"/>
          <w:lang w:eastAsia="en-GB"/>
        </w:rPr>
        <w:t>in mountain areas</w:t>
      </w:r>
      <w:r w:rsidR="00C03897" w:rsidRPr="26FF0A74">
        <w:rPr>
          <w:rFonts w:eastAsia="Times New Roman" w:cs="Times New Roman"/>
          <w:color w:val="4A4A4A"/>
          <w:sz w:val="21"/>
          <w:szCs w:val="21"/>
          <w:lang w:eastAsia="en-GB"/>
        </w:rPr>
        <w:t xml:space="preserve">. MGCI is defined as the percentage of green cover over the total surface of the mountain </w:t>
      </w:r>
      <w:r w:rsidR="00EE175D">
        <w:rPr>
          <w:rFonts w:eastAsia="Times New Roman" w:cs="Times New Roman"/>
          <w:color w:val="4A4A4A"/>
          <w:sz w:val="21"/>
          <w:szCs w:val="21"/>
          <w:lang w:eastAsia="en-GB"/>
        </w:rPr>
        <w:t>area</w:t>
      </w:r>
      <w:r w:rsidR="00C03897" w:rsidRPr="26FF0A74">
        <w:rPr>
          <w:rFonts w:eastAsia="Times New Roman" w:cs="Times New Roman"/>
          <w:color w:val="4A4A4A"/>
          <w:sz w:val="21"/>
          <w:szCs w:val="21"/>
          <w:lang w:eastAsia="en-GB"/>
        </w:rPr>
        <w:t xml:space="preserve"> of a given country and for given reporting year. The aim of the index is to monitor the evolution of green cover and thus assess the status of conservation of mountain </w:t>
      </w:r>
      <w:r w:rsidR="00C03897" w:rsidRPr="001172B4">
        <w:rPr>
          <w:rFonts w:eastAsia="Times New Roman" w:cs="Times New Roman"/>
          <w:color w:val="595959" w:themeColor="text1" w:themeTint="A6"/>
          <w:sz w:val="21"/>
          <w:szCs w:val="21"/>
          <w:lang w:eastAsia="en-GB"/>
        </w:rPr>
        <w:t>ecosystems.</w:t>
      </w:r>
    </w:p>
    <w:p w14:paraId="67A4689A" w14:textId="77777777" w:rsidR="007A613E" w:rsidRPr="001172B4" w:rsidRDefault="007A613E" w:rsidP="006F2AB9">
      <w:pPr>
        <w:shd w:val="clear" w:color="auto" w:fill="FFFFFF"/>
        <w:spacing w:after="0"/>
        <w:contextualSpacing/>
        <w:jc w:val="both"/>
        <w:rPr>
          <w:rFonts w:eastAsia="Times New Roman" w:cs="Times New Roman"/>
          <w:color w:val="595959" w:themeColor="text1" w:themeTint="A6"/>
          <w:sz w:val="21"/>
          <w:szCs w:val="21"/>
          <w:lang w:eastAsia="en-GB"/>
        </w:rPr>
      </w:pPr>
    </w:p>
    <w:p w14:paraId="487B54BC" w14:textId="7307EBAB" w:rsidR="00CD33AE" w:rsidRPr="00C03897" w:rsidRDefault="00CD33AE" w:rsidP="006F2AB9">
      <w:pPr>
        <w:shd w:val="clear" w:color="auto" w:fill="FFFFFF"/>
        <w:spacing w:after="0"/>
        <w:contextualSpacing/>
        <w:jc w:val="both"/>
        <w:rPr>
          <w:rFonts w:eastAsia="Times New Roman" w:cs="Times New Roman"/>
          <w:b/>
          <w:bCs/>
          <w:color w:val="4A4A4A"/>
          <w:sz w:val="21"/>
          <w:szCs w:val="21"/>
          <w:lang w:eastAsia="en-GB"/>
        </w:rPr>
      </w:pPr>
      <w:r w:rsidRPr="001172B4">
        <w:rPr>
          <w:rFonts w:eastAsia="Times New Roman" w:cs="Times New Roman"/>
          <w:color w:val="595959" w:themeColor="text1" w:themeTint="A6"/>
          <w:sz w:val="21"/>
          <w:szCs w:val="21"/>
          <w:lang w:eastAsia="en-GB"/>
        </w:rPr>
        <w:t xml:space="preserve">Sub-indicator </w:t>
      </w:r>
      <w:r w:rsidR="00220790">
        <w:rPr>
          <w:rFonts w:eastAsia="Times New Roman" w:cs="Times New Roman"/>
          <w:color w:val="595959" w:themeColor="text1" w:themeTint="A6"/>
          <w:sz w:val="21"/>
          <w:szCs w:val="21"/>
          <w:lang w:eastAsia="en-GB"/>
        </w:rPr>
        <w:t>15.4.2</w:t>
      </w:r>
      <w:r w:rsidRPr="001172B4">
        <w:rPr>
          <w:rFonts w:eastAsia="Times New Roman" w:cs="Times New Roman"/>
          <w:color w:val="595959" w:themeColor="text1" w:themeTint="A6"/>
          <w:sz w:val="21"/>
          <w:szCs w:val="21"/>
          <w:lang w:eastAsia="en-GB"/>
        </w:rPr>
        <w:t xml:space="preserve">b, Proportion of degraded mountain land, is designed to </w:t>
      </w:r>
      <w:r w:rsidRPr="001172B4">
        <w:rPr>
          <w:color w:val="595959" w:themeColor="text1" w:themeTint="A6"/>
          <w:sz w:val="21"/>
          <w:szCs w:val="21"/>
        </w:rPr>
        <w:t>monitor the extent of degraded mountain land as a result of land cover change</w:t>
      </w:r>
      <w:r w:rsidR="009F6E53">
        <w:rPr>
          <w:color w:val="595959" w:themeColor="text1" w:themeTint="A6"/>
          <w:sz w:val="21"/>
          <w:szCs w:val="21"/>
        </w:rPr>
        <w:t xml:space="preserve"> </w:t>
      </w:r>
      <w:r w:rsidR="002F466C">
        <w:rPr>
          <w:rFonts w:eastAsia="Times New Roman" w:cs="Times New Roman"/>
          <w:color w:val="4A4A4A"/>
          <w:sz w:val="21"/>
          <w:szCs w:val="21"/>
          <w:lang w:eastAsia="en-GB"/>
        </w:rPr>
        <w:t>in</w:t>
      </w:r>
      <w:r w:rsidR="002F466C" w:rsidRPr="26FF0A74">
        <w:rPr>
          <w:rFonts w:eastAsia="Times New Roman" w:cs="Times New Roman"/>
          <w:color w:val="4A4A4A"/>
          <w:sz w:val="21"/>
          <w:szCs w:val="21"/>
          <w:lang w:eastAsia="en-GB"/>
        </w:rPr>
        <w:t xml:space="preserve"> </w:t>
      </w:r>
      <w:r w:rsidR="009F6E53" w:rsidRPr="26FF0A74">
        <w:rPr>
          <w:rFonts w:eastAsia="Times New Roman" w:cs="Times New Roman"/>
          <w:color w:val="4A4A4A"/>
          <w:sz w:val="21"/>
          <w:szCs w:val="21"/>
          <w:lang w:eastAsia="en-GB"/>
        </w:rPr>
        <w:t>a given count</w:t>
      </w:r>
      <w:r w:rsidR="009F6E53">
        <w:rPr>
          <w:rFonts w:eastAsia="Times New Roman" w:cs="Times New Roman"/>
          <w:color w:val="4A4A4A"/>
          <w:sz w:val="21"/>
          <w:szCs w:val="21"/>
          <w:lang w:eastAsia="en-GB"/>
        </w:rPr>
        <w:t>ry and for given reporting year</w:t>
      </w:r>
      <w:r w:rsidRPr="001172B4">
        <w:rPr>
          <w:color w:val="595959" w:themeColor="text1" w:themeTint="A6"/>
          <w:sz w:val="21"/>
          <w:szCs w:val="21"/>
        </w:rPr>
        <w:t xml:space="preserve">. Similarly to sub-indicator ‘’trends in land cover” under SDG Indicator 15.3.1 (Sims </w:t>
      </w:r>
      <w:r w:rsidRPr="00220790">
        <w:rPr>
          <w:i/>
          <w:color w:val="595959" w:themeColor="text1" w:themeTint="A6"/>
          <w:sz w:val="21"/>
          <w:szCs w:val="21"/>
        </w:rPr>
        <w:t>et al.</w:t>
      </w:r>
      <w:r w:rsidRPr="001172B4">
        <w:rPr>
          <w:color w:val="595959" w:themeColor="text1" w:themeTint="A6"/>
          <w:sz w:val="21"/>
          <w:szCs w:val="21"/>
        </w:rPr>
        <w:t xml:space="preserve"> 2021), mountain ecosystem degradation and recovery is assessed based on the definition of land cover type transitions that </w:t>
      </w:r>
      <w:r w:rsidR="002F466C">
        <w:rPr>
          <w:color w:val="595959" w:themeColor="text1" w:themeTint="A6"/>
          <w:sz w:val="21"/>
          <w:szCs w:val="21"/>
        </w:rPr>
        <w:t xml:space="preserve">indicate </w:t>
      </w:r>
      <w:r w:rsidRPr="001172B4">
        <w:rPr>
          <w:color w:val="595959" w:themeColor="text1" w:themeTint="A6"/>
          <w:sz w:val="21"/>
          <w:szCs w:val="21"/>
        </w:rPr>
        <w:t>improving, stable or degrad</w:t>
      </w:r>
      <w:r w:rsidR="002F466C">
        <w:rPr>
          <w:color w:val="595959" w:themeColor="text1" w:themeTint="A6"/>
          <w:sz w:val="21"/>
          <w:szCs w:val="21"/>
        </w:rPr>
        <w:t>ing conservation status</w:t>
      </w:r>
      <w:r w:rsidRPr="001172B4">
        <w:rPr>
          <w:color w:val="595959" w:themeColor="text1" w:themeTint="A6"/>
          <w:sz w:val="21"/>
          <w:szCs w:val="21"/>
        </w:rPr>
        <w:t xml:space="preserve">. The definition of degradation adopted for the computation of this indicator </w:t>
      </w:r>
      <w:r w:rsidR="00EE175D">
        <w:rPr>
          <w:color w:val="595959" w:themeColor="text1" w:themeTint="A6"/>
          <w:sz w:val="21"/>
          <w:szCs w:val="21"/>
        </w:rPr>
        <w:t>is</w:t>
      </w:r>
      <w:r w:rsidRPr="001172B4">
        <w:rPr>
          <w:color w:val="595959" w:themeColor="text1" w:themeTint="A6"/>
          <w:sz w:val="21"/>
          <w:szCs w:val="21"/>
        </w:rPr>
        <w:t xml:space="preserve"> the one established Intergovernmental Science-Policy Platform on Biodiversity </w:t>
      </w:r>
      <w:r w:rsidR="00D907AA" w:rsidRPr="001172B4">
        <w:rPr>
          <w:color w:val="595959" w:themeColor="text1" w:themeTint="A6"/>
          <w:sz w:val="21"/>
          <w:szCs w:val="21"/>
        </w:rPr>
        <w:t>and Ecosystem Services (IPBES)</w:t>
      </w:r>
      <w:r w:rsidR="00D907AA" w:rsidRPr="001172B4">
        <w:rPr>
          <w:rStyle w:val="FootnoteReference"/>
          <w:color w:val="595959" w:themeColor="text1" w:themeTint="A6"/>
          <w:sz w:val="21"/>
          <w:szCs w:val="21"/>
        </w:rPr>
        <w:footnoteReference w:id="2"/>
      </w:r>
      <w:r w:rsidRPr="001172B4">
        <w:rPr>
          <w:color w:val="595959" w:themeColor="text1" w:themeTint="A6"/>
          <w:sz w:val="21"/>
          <w:szCs w:val="21"/>
        </w:rPr>
        <w:t>.</w:t>
      </w:r>
    </w:p>
    <w:p w14:paraId="3E56D979" w14:textId="77777777" w:rsidR="00D907AA" w:rsidRDefault="00D907AA" w:rsidP="006F2AB9">
      <w:pPr>
        <w:shd w:val="clear" w:color="auto" w:fill="FFFFFF"/>
        <w:spacing w:after="0"/>
        <w:contextualSpacing/>
        <w:rPr>
          <w:rFonts w:eastAsia="Times New Roman" w:cs="Times New Roman"/>
          <w:b/>
          <w:bCs/>
          <w:color w:val="4A4A4A"/>
          <w:sz w:val="21"/>
          <w:szCs w:val="21"/>
          <w:lang w:eastAsia="en-GB"/>
        </w:rPr>
      </w:pPr>
    </w:p>
    <w:p w14:paraId="7DCE3F42" w14:textId="42E86A67" w:rsidR="00D907AA" w:rsidRPr="001172B4" w:rsidRDefault="00C03897" w:rsidP="006F2AB9">
      <w:pPr>
        <w:shd w:val="clear" w:color="auto" w:fill="FFFFFF"/>
        <w:spacing w:after="120"/>
        <w:rPr>
          <w:rFonts w:eastAsia="Times New Roman" w:cs="Times New Roman"/>
          <w:color w:val="595959" w:themeColor="text1" w:themeTint="A6"/>
          <w:sz w:val="21"/>
          <w:szCs w:val="21"/>
          <w:lang w:eastAsia="en-GB"/>
        </w:rPr>
      </w:pPr>
      <w:r w:rsidRPr="001172B4">
        <w:rPr>
          <w:rFonts w:eastAsia="Times New Roman" w:cs="Times New Roman"/>
          <w:b/>
          <w:bCs/>
          <w:color w:val="595959" w:themeColor="text1" w:themeTint="A6"/>
          <w:sz w:val="21"/>
          <w:szCs w:val="21"/>
          <w:lang w:eastAsia="en-GB"/>
        </w:rPr>
        <w:t>Concepts:</w:t>
      </w:r>
    </w:p>
    <w:p w14:paraId="636FEFBC" w14:textId="33611BD9" w:rsidR="00D907AA" w:rsidRPr="001172B4" w:rsidRDefault="00D907AA" w:rsidP="006F2AB9">
      <w:pPr>
        <w:shd w:val="clear" w:color="auto" w:fill="FFFFFF"/>
        <w:spacing w:after="0"/>
        <w:contextualSpacing/>
        <w:jc w:val="both"/>
        <w:rPr>
          <w:color w:val="595959" w:themeColor="text1" w:themeTint="A6"/>
          <w:sz w:val="21"/>
          <w:szCs w:val="21"/>
        </w:rPr>
      </w:pPr>
      <w:r w:rsidRPr="0058434F">
        <w:rPr>
          <w:rFonts w:eastAsia="Times New Roman" w:cs="Times New Roman"/>
          <w:b/>
          <w:i/>
          <w:color w:val="595959" w:themeColor="text1" w:themeTint="A6"/>
          <w:sz w:val="21"/>
          <w:szCs w:val="21"/>
          <w:lang w:eastAsia="en-GB"/>
        </w:rPr>
        <w:t>Mountain area</w:t>
      </w:r>
      <w:r w:rsidRPr="001172B4">
        <w:rPr>
          <w:rFonts w:eastAsia="Times New Roman" w:cs="Times New Roman"/>
          <w:b/>
          <w:color w:val="595959" w:themeColor="text1" w:themeTint="A6"/>
          <w:sz w:val="21"/>
          <w:szCs w:val="21"/>
          <w:lang w:eastAsia="en-GB"/>
        </w:rPr>
        <w:t xml:space="preserve"> </w:t>
      </w:r>
      <w:r w:rsidRPr="001172B4">
        <w:rPr>
          <w:color w:val="595959" w:themeColor="text1" w:themeTint="A6"/>
          <w:sz w:val="21"/>
          <w:szCs w:val="21"/>
        </w:rPr>
        <w:t xml:space="preserve">is defined according to </w:t>
      </w:r>
      <w:r w:rsidR="002F466C">
        <w:rPr>
          <w:color w:val="595959" w:themeColor="text1" w:themeTint="A6"/>
          <w:sz w:val="21"/>
          <w:szCs w:val="21"/>
        </w:rPr>
        <w:t xml:space="preserve">the </w:t>
      </w:r>
      <w:r w:rsidRPr="001172B4">
        <w:rPr>
          <w:color w:val="595959" w:themeColor="text1" w:themeTint="A6"/>
          <w:sz w:val="21"/>
          <w:szCs w:val="21"/>
        </w:rPr>
        <w:t>UNEP-WCMC (2002)</w:t>
      </w:r>
      <w:r w:rsidR="0089252B">
        <w:rPr>
          <w:color w:val="595959" w:themeColor="text1" w:themeTint="A6"/>
          <w:sz w:val="21"/>
          <w:szCs w:val="21"/>
        </w:rPr>
        <w:t xml:space="preserve"> method</w:t>
      </w:r>
      <w:r w:rsidRPr="001172B4">
        <w:rPr>
          <w:color w:val="595959" w:themeColor="text1" w:themeTint="A6"/>
          <w:sz w:val="21"/>
          <w:szCs w:val="21"/>
        </w:rPr>
        <w:t xml:space="preserve">. </w:t>
      </w:r>
      <w:r w:rsidR="0089252B">
        <w:rPr>
          <w:color w:val="595959" w:themeColor="text1" w:themeTint="A6"/>
          <w:sz w:val="21"/>
          <w:szCs w:val="21"/>
        </w:rPr>
        <w:t>It</w:t>
      </w:r>
      <w:r w:rsidRPr="001172B4">
        <w:rPr>
          <w:color w:val="595959" w:themeColor="text1" w:themeTint="A6"/>
          <w:sz w:val="21"/>
          <w:szCs w:val="21"/>
        </w:rPr>
        <w:t xml:space="preserve"> defines total glob</w:t>
      </w:r>
      <w:r w:rsidR="001172B4" w:rsidRPr="001172B4">
        <w:rPr>
          <w:color w:val="595959" w:themeColor="text1" w:themeTint="A6"/>
          <w:sz w:val="21"/>
          <w:szCs w:val="21"/>
        </w:rPr>
        <w:t>al mountain area as the sum of seven</w:t>
      </w:r>
      <w:r w:rsidRPr="001172B4">
        <w:rPr>
          <w:color w:val="595959" w:themeColor="text1" w:themeTint="A6"/>
          <w:sz w:val="21"/>
          <w:szCs w:val="21"/>
        </w:rPr>
        <w:t xml:space="preserve"> classes (commonly known as ‘Kapos mountain classes</w:t>
      </w:r>
      <w:r w:rsidR="00EE175D">
        <w:rPr>
          <w:color w:val="595959" w:themeColor="text1" w:themeTint="A6"/>
          <w:sz w:val="21"/>
          <w:szCs w:val="21"/>
        </w:rPr>
        <w:t>’</w:t>
      </w:r>
      <w:r w:rsidRPr="001172B4">
        <w:rPr>
          <w:color w:val="595959" w:themeColor="text1" w:themeTint="A6"/>
          <w:sz w:val="21"/>
          <w:szCs w:val="21"/>
        </w:rPr>
        <w:t xml:space="preserve">), based on elevation, slope and local elevation ranges </w:t>
      </w:r>
      <w:r w:rsidR="001172B4" w:rsidRPr="001172B4">
        <w:rPr>
          <w:color w:val="595959" w:themeColor="text1" w:themeTint="A6"/>
          <w:sz w:val="21"/>
          <w:szCs w:val="21"/>
        </w:rPr>
        <w:t>(</w:t>
      </w:r>
      <w:r w:rsidRPr="001172B4">
        <w:rPr>
          <w:color w:val="595959" w:themeColor="text1" w:themeTint="A6"/>
          <w:sz w:val="21"/>
          <w:szCs w:val="21"/>
        </w:rPr>
        <w:t xml:space="preserve">Table </w:t>
      </w:r>
      <w:r w:rsidR="001172B4" w:rsidRPr="001172B4">
        <w:rPr>
          <w:color w:val="595959" w:themeColor="text1" w:themeTint="A6"/>
          <w:sz w:val="21"/>
          <w:szCs w:val="21"/>
        </w:rPr>
        <w:t>1)</w:t>
      </w:r>
      <w:r w:rsidR="00DA525B">
        <w:rPr>
          <w:color w:val="595959" w:themeColor="text1" w:themeTint="A6"/>
          <w:sz w:val="21"/>
          <w:szCs w:val="21"/>
        </w:rPr>
        <w:t>.</w:t>
      </w:r>
    </w:p>
    <w:p w14:paraId="1C7428DD" w14:textId="3EE2C913" w:rsidR="00D907AA" w:rsidRDefault="00D907AA" w:rsidP="006F2AB9">
      <w:pPr>
        <w:shd w:val="clear" w:color="auto" w:fill="FFFFFF"/>
        <w:spacing w:after="0"/>
        <w:contextualSpacing/>
        <w:rPr>
          <w:rFonts w:eastAsia="Times New Roman" w:cs="Times New Roman"/>
          <w:color w:val="4A4A4A"/>
          <w:sz w:val="21"/>
          <w:szCs w:val="21"/>
          <w:lang w:eastAsia="en-GB"/>
        </w:rPr>
      </w:pPr>
    </w:p>
    <w:p w14:paraId="42AE06D5" w14:textId="0A062A91" w:rsidR="002E0AD1" w:rsidRPr="008E3CA5" w:rsidRDefault="008E3CA5" w:rsidP="006F2AB9">
      <w:pPr>
        <w:pStyle w:val="Caption"/>
        <w:keepNext/>
        <w:spacing w:after="60" w:line="276" w:lineRule="auto"/>
        <w:rPr>
          <w:rFonts w:cstheme="minorHAnsi"/>
          <w:i w:val="0"/>
          <w:color w:val="595959" w:themeColor="text1" w:themeTint="A6"/>
        </w:rPr>
      </w:pPr>
      <w:r w:rsidRPr="008E3CA5">
        <w:rPr>
          <w:rFonts w:cstheme="minorHAnsi"/>
          <w:b/>
          <w:i w:val="0"/>
          <w:color w:val="595959" w:themeColor="text1" w:themeTint="A6"/>
        </w:rPr>
        <w:t>Table 1</w:t>
      </w:r>
      <w:r w:rsidR="002E0AD1" w:rsidRPr="008E3CA5">
        <w:rPr>
          <w:rFonts w:cstheme="minorHAnsi"/>
          <w:b/>
          <w:i w:val="0"/>
          <w:color w:val="595959" w:themeColor="text1" w:themeTint="A6"/>
        </w:rPr>
        <w:t>.</w:t>
      </w:r>
      <w:r w:rsidR="002E0AD1" w:rsidRPr="008E3CA5">
        <w:rPr>
          <w:rFonts w:cstheme="minorHAnsi"/>
          <w:i w:val="0"/>
          <w:color w:val="595959" w:themeColor="text1" w:themeTint="A6"/>
        </w:rPr>
        <w:t xml:space="preserve"> Global mountain classes as defined by UNEP-WCMC (2002)</w:t>
      </w:r>
    </w:p>
    <w:tbl>
      <w:tblPr>
        <w:tblStyle w:val="TableGrid"/>
        <w:tblW w:w="9005" w:type="dxa"/>
        <w:tblInd w:w="-5" w:type="dxa"/>
        <w:tblBorders>
          <w:left w:val="none" w:sz="0" w:space="0" w:color="auto"/>
          <w:right w:val="none" w:sz="0" w:space="0" w:color="auto"/>
        </w:tblBorders>
        <w:tblLook w:val="04A0" w:firstRow="1" w:lastRow="0" w:firstColumn="1" w:lastColumn="0" w:noHBand="0" w:noVBand="1"/>
      </w:tblPr>
      <w:tblGrid>
        <w:gridCol w:w="2075"/>
        <w:gridCol w:w="6930"/>
      </w:tblGrid>
      <w:tr w:rsidR="008E3CA5" w:rsidRPr="008E3CA5" w14:paraId="1936BA2A" w14:textId="77777777" w:rsidTr="0058434F">
        <w:trPr>
          <w:trHeight w:val="332"/>
        </w:trPr>
        <w:tc>
          <w:tcPr>
            <w:tcW w:w="2075" w:type="dxa"/>
            <w:tcBorders>
              <w:top w:val="single" w:sz="12" w:space="0" w:color="auto"/>
              <w:bottom w:val="single" w:sz="12" w:space="0" w:color="auto"/>
            </w:tcBorders>
            <w:vAlign w:val="center"/>
          </w:tcPr>
          <w:p w14:paraId="2948DFD0" w14:textId="77777777" w:rsidR="002E0AD1" w:rsidRPr="008E3CA5" w:rsidRDefault="002E0AD1" w:rsidP="006F2AB9">
            <w:pPr>
              <w:pStyle w:val="paragraph"/>
              <w:spacing w:before="0" w:beforeAutospacing="0" w:after="0" w:afterAutospacing="0" w:line="276" w:lineRule="auto"/>
              <w:jc w:val="center"/>
              <w:textAlignment w:val="baseline"/>
              <w:rPr>
                <w:rFonts w:asciiTheme="minorHAnsi" w:hAnsiTheme="minorHAnsi" w:cstheme="minorHAnsi"/>
                <w:b/>
                <w:color w:val="595959" w:themeColor="text1" w:themeTint="A6"/>
                <w:sz w:val="20"/>
                <w:szCs w:val="20"/>
              </w:rPr>
            </w:pPr>
            <w:r w:rsidRPr="008E3CA5">
              <w:rPr>
                <w:rFonts w:asciiTheme="minorHAnsi" w:hAnsiTheme="minorHAnsi" w:cstheme="minorHAnsi"/>
                <w:b/>
                <w:color w:val="595959" w:themeColor="text1" w:themeTint="A6"/>
                <w:sz w:val="20"/>
                <w:szCs w:val="20"/>
              </w:rPr>
              <w:t>Kapos Mountain Class</w:t>
            </w:r>
          </w:p>
        </w:tc>
        <w:tc>
          <w:tcPr>
            <w:tcW w:w="6930" w:type="dxa"/>
            <w:tcBorders>
              <w:top w:val="single" w:sz="12" w:space="0" w:color="auto"/>
              <w:bottom w:val="single" w:sz="12" w:space="0" w:color="auto"/>
            </w:tcBorders>
            <w:vAlign w:val="center"/>
          </w:tcPr>
          <w:p w14:paraId="6BBEFE82" w14:textId="77777777" w:rsidR="002E0AD1" w:rsidRPr="008E3CA5" w:rsidRDefault="002E0AD1" w:rsidP="006F2AB9">
            <w:pPr>
              <w:pStyle w:val="paragraph"/>
              <w:spacing w:before="0" w:beforeAutospacing="0" w:after="0" w:afterAutospacing="0" w:line="276" w:lineRule="auto"/>
              <w:jc w:val="center"/>
              <w:textAlignment w:val="baseline"/>
              <w:rPr>
                <w:rFonts w:asciiTheme="minorHAnsi" w:hAnsiTheme="minorHAnsi" w:cstheme="minorHAnsi"/>
                <w:b/>
                <w:color w:val="595959" w:themeColor="text1" w:themeTint="A6"/>
                <w:sz w:val="20"/>
                <w:szCs w:val="20"/>
              </w:rPr>
            </w:pPr>
            <w:r w:rsidRPr="008E3CA5">
              <w:rPr>
                <w:rFonts w:asciiTheme="minorHAnsi" w:hAnsiTheme="minorHAnsi" w:cstheme="minorHAnsi"/>
                <w:b/>
                <w:color w:val="595959" w:themeColor="text1" w:themeTint="A6"/>
                <w:sz w:val="20"/>
                <w:szCs w:val="20"/>
              </w:rPr>
              <w:t>Description</w:t>
            </w:r>
          </w:p>
        </w:tc>
      </w:tr>
      <w:tr w:rsidR="008E3CA5" w:rsidRPr="008E3CA5" w14:paraId="4DA962DC" w14:textId="77777777" w:rsidTr="0058434F">
        <w:tc>
          <w:tcPr>
            <w:tcW w:w="2075" w:type="dxa"/>
            <w:tcBorders>
              <w:top w:val="single" w:sz="12" w:space="0" w:color="auto"/>
            </w:tcBorders>
            <w:vAlign w:val="center"/>
          </w:tcPr>
          <w:p w14:paraId="63909753"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1</w:t>
            </w:r>
          </w:p>
        </w:tc>
        <w:tc>
          <w:tcPr>
            <w:tcW w:w="6930" w:type="dxa"/>
            <w:tcBorders>
              <w:top w:val="single" w:sz="12" w:space="0" w:color="auto"/>
            </w:tcBorders>
            <w:vAlign w:val="center"/>
          </w:tcPr>
          <w:p w14:paraId="3D0A4297" w14:textId="77777777" w:rsidR="002E0AD1" w:rsidRPr="008E3CA5" w:rsidRDefault="002E0AD1" w:rsidP="006F2AB9">
            <w:pPr>
              <w:pStyle w:val="paragraph"/>
              <w:spacing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Elevation &gt;= 4500 meters</w:t>
            </w:r>
          </w:p>
        </w:tc>
      </w:tr>
      <w:tr w:rsidR="008E3CA5" w:rsidRPr="008E3CA5" w14:paraId="336B02E5" w14:textId="77777777" w:rsidTr="0058434F">
        <w:tc>
          <w:tcPr>
            <w:tcW w:w="2075" w:type="dxa"/>
            <w:vAlign w:val="center"/>
          </w:tcPr>
          <w:p w14:paraId="7642811D"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2</w:t>
            </w:r>
          </w:p>
        </w:tc>
        <w:tc>
          <w:tcPr>
            <w:tcW w:w="6930" w:type="dxa"/>
            <w:vAlign w:val="center"/>
          </w:tcPr>
          <w:p w14:paraId="706024A7" w14:textId="77777777" w:rsidR="002E0AD1" w:rsidRPr="008E3CA5" w:rsidRDefault="002E0AD1" w:rsidP="006F2AB9">
            <w:pPr>
              <w:pStyle w:val="paragraph"/>
              <w:spacing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Elevation &gt;= 3500 &amp; &lt; 4500 meters</w:t>
            </w:r>
          </w:p>
        </w:tc>
      </w:tr>
      <w:tr w:rsidR="008E3CA5" w:rsidRPr="008E3CA5" w14:paraId="6CF222F5" w14:textId="77777777" w:rsidTr="0058434F">
        <w:tc>
          <w:tcPr>
            <w:tcW w:w="2075" w:type="dxa"/>
            <w:vAlign w:val="center"/>
          </w:tcPr>
          <w:p w14:paraId="2B5AD825"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3</w:t>
            </w:r>
          </w:p>
        </w:tc>
        <w:tc>
          <w:tcPr>
            <w:tcW w:w="6930" w:type="dxa"/>
            <w:vAlign w:val="center"/>
          </w:tcPr>
          <w:p w14:paraId="5722CBD2" w14:textId="77777777" w:rsidR="002E0AD1" w:rsidRPr="008E3CA5" w:rsidRDefault="002E0AD1" w:rsidP="006F2AB9">
            <w:pPr>
              <w:pStyle w:val="paragraph"/>
              <w:spacing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Elevation &gt;= 2500 &amp; &lt; 3500 meters</w:t>
            </w:r>
          </w:p>
        </w:tc>
      </w:tr>
      <w:tr w:rsidR="008E3CA5" w:rsidRPr="008E3CA5" w14:paraId="4F6EE981" w14:textId="77777777" w:rsidTr="0058434F">
        <w:tc>
          <w:tcPr>
            <w:tcW w:w="2075" w:type="dxa"/>
            <w:vAlign w:val="center"/>
          </w:tcPr>
          <w:p w14:paraId="203411E2"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4</w:t>
            </w:r>
          </w:p>
        </w:tc>
        <w:tc>
          <w:tcPr>
            <w:tcW w:w="6930" w:type="dxa"/>
            <w:vAlign w:val="center"/>
          </w:tcPr>
          <w:p w14:paraId="089ECEC4" w14:textId="77777777" w:rsidR="002E0AD1" w:rsidRPr="008E3CA5" w:rsidRDefault="002E0AD1" w:rsidP="006F2AB9">
            <w:pPr>
              <w:spacing w:before="100" w:beforeAutospacing="1" w:line="276" w:lineRule="auto"/>
              <w:rPr>
                <w:rFonts w:cstheme="minorHAnsi"/>
                <w:color w:val="595959" w:themeColor="text1" w:themeTint="A6"/>
                <w:sz w:val="20"/>
                <w:szCs w:val="20"/>
              </w:rPr>
            </w:pPr>
            <w:r w:rsidRPr="008E3CA5">
              <w:rPr>
                <w:rFonts w:cstheme="minorHAnsi"/>
                <w:color w:val="595959" w:themeColor="text1" w:themeTint="A6"/>
                <w:sz w:val="20"/>
                <w:szCs w:val="20"/>
              </w:rPr>
              <w:t>Elevation &gt;= 1500 &amp; &lt; 2500 meters &amp; slope &gt;= 2 degrees</w:t>
            </w:r>
          </w:p>
        </w:tc>
      </w:tr>
      <w:tr w:rsidR="008E3CA5" w:rsidRPr="008E3CA5" w14:paraId="1CD1293B" w14:textId="77777777" w:rsidTr="0058434F">
        <w:tc>
          <w:tcPr>
            <w:tcW w:w="2075" w:type="dxa"/>
            <w:vAlign w:val="center"/>
          </w:tcPr>
          <w:p w14:paraId="6D00CB75"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5</w:t>
            </w:r>
          </w:p>
        </w:tc>
        <w:tc>
          <w:tcPr>
            <w:tcW w:w="6930" w:type="dxa"/>
            <w:vAlign w:val="center"/>
          </w:tcPr>
          <w:p w14:paraId="528A404A" w14:textId="77777777" w:rsidR="002E0AD1" w:rsidRPr="008E3CA5" w:rsidRDefault="002E0AD1" w:rsidP="006F2AB9">
            <w:pPr>
              <w:spacing w:before="100" w:beforeAutospacing="1" w:line="276" w:lineRule="auto"/>
              <w:rPr>
                <w:rFonts w:cstheme="minorHAnsi"/>
                <w:color w:val="595959" w:themeColor="text1" w:themeTint="A6"/>
                <w:sz w:val="20"/>
                <w:szCs w:val="20"/>
              </w:rPr>
            </w:pPr>
            <w:r w:rsidRPr="008E3CA5">
              <w:rPr>
                <w:rFonts w:cstheme="minorHAnsi"/>
                <w:color w:val="595959" w:themeColor="text1" w:themeTint="A6"/>
                <w:sz w:val="20"/>
                <w:szCs w:val="20"/>
              </w:rPr>
              <w:t>Elevation&gt;= 1000 &amp; &lt; 1500 meters &amp; slope &gt;= 5 degrees OR local (7 km radius) elevation range &gt; 300 meters</w:t>
            </w:r>
          </w:p>
        </w:tc>
      </w:tr>
      <w:tr w:rsidR="008E3CA5" w:rsidRPr="008E3CA5" w14:paraId="5EFF62EF" w14:textId="77777777" w:rsidTr="0058434F">
        <w:tc>
          <w:tcPr>
            <w:tcW w:w="2075" w:type="dxa"/>
            <w:vAlign w:val="center"/>
          </w:tcPr>
          <w:p w14:paraId="1F2787D0"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6</w:t>
            </w:r>
          </w:p>
        </w:tc>
        <w:tc>
          <w:tcPr>
            <w:tcW w:w="6930" w:type="dxa"/>
            <w:vAlign w:val="center"/>
          </w:tcPr>
          <w:p w14:paraId="4A920610" w14:textId="77777777" w:rsidR="002E0AD1" w:rsidRPr="008E3CA5" w:rsidRDefault="002E0AD1" w:rsidP="006F2AB9">
            <w:pPr>
              <w:spacing w:before="100" w:beforeAutospacing="1" w:line="276" w:lineRule="auto"/>
              <w:rPr>
                <w:rFonts w:cstheme="minorHAnsi"/>
                <w:color w:val="595959" w:themeColor="text1" w:themeTint="A6"/>
                <w:sz w:val="20"/>
                <w:szCs w:val="20"/>
              </w:rPr>
            </w:pPr>
            <w:r w:rsidRPr="008E3CA5">
              <w:rPr>
                <w:rFonts w:cstheme="minorHAnsi"/>
                <w:color w:val="595959" w:themeColor="text1" w:themeTint="A6"/>
                <w:sz w:val="20"/>
                <w:szCs w:val="20"/>
              </w:rPr>
              <w:t>Elevation &gt;= 300 &amp; &lt; 1000 meters &amp; local (7 km radius) elevation range &gt; 300 meters</w:t>
            </w:r>
          </w:p>
        </w:tc>
      </w:tr>
      <w:tr w:rsidR="008E3CA5" w:rsidRPr="008E3CA5" w14:paraId="1BD90ADE" w14:textId="77777777" w:rsidTr="0058434F">
        <w:trPr>
          <w:trHeight w:val="432"/>
        </w:trPr>
        <w:tc>
          <w:tcPr>
            <w:tcW w:w="2075" w:type="dxa"/>
            <w:vAlign w:val="center"/>
          </w:tcPr>
          <w:p w14:paraId="068363D6"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7</w:t>
            </w:r>
          </w:p>
        </w:tc>
        <w:tc>
          <w:tcPr>
            <w:tcW w:w="6930" w:type="dxa"/>
            <w:vAlign w:val="center"/>
          </w:tcPr>
          <w:p w14:paraId="7999C9A0" w14:textId="414E797D" w:rsidR="002E0AD1" w:rsidRPr="008E3CA5" w:rsidRDefault="009F6E53" w:rsidP="006F2AB9">
            <w:pPr>
              <w:spacing w:before="100" w:beforeAutospacing="1" w:line="276" w:lineRule="auto"/>
              <w:rPr>
                <w:rFonts w:cstheme="minorHAnsi"/>
                <w:color w:val="595959" w:themeColor="text1" w:themeTint="A6"/>
                <w:sz w:val="20"/>
                <w:szCs w:val="20"/>
              </w:rPr>
            </w:pPr>
            <w:r>
              <w:rPr>
                <w:rFonts w:cstheme="minorHAnsi"/>
                <w:color w:val="595959" w:themeColor="text1" w:themeTint="A6"/>
                <w:sz w:val="20"/>
                <w:szCs w:val="20"/>
              </w:rPr>
              <w:t>Inner isolated areas (&lt;=</w:t>
            </w:r>
            <w:r w:rsidR="002E0AD1" w:rsidRPr="008E3CA5">
              <w:rPr>
                <w:rFonts w:cstheme="minorHAnsi"/>
                <w:color w:val="595959" w:themeColor="text1" w:themeTint="A6"/>
                <w:sz w:val="20"/>
                <w:szCs w:val="20"/>
              </w:rPr>
              <w:t>25 Km</w:t>
            </w:r>
            <w:r w:rsidR="002E0AD1" w:rsidRPr="008E3CA5">
              <w:rPr>
                <w:rFonts w:cstheme="minorHAnsi"/>
                <w:color w:val="595959" w:themeColor="text1" w:themeTint="A6"/>
                <w:sz w:val="20"/>
                <w:szCs w:val="20"/>
                <w:vertAlign w:val="superscript"/>
              </w:rPr>
              <w:t>2</w:t>
            </w:r>
            <w:r w:rsidR="002E0AD1" w:rsidRPr="008E3CA5">
              <w:rPr>
                <w:rFonts w:cstheme="minorHAnsi"/>
                <w:color w:val="595959" w:themeColor="text1" w:themeTint="A6"/>
                <w:sz w:val="20"/>
                <w:szCs w:val="20"/>
              </w:rPr>
              <w:t xml:space="preserve"> in size) that do not m</w:t>
            </w:r>
            <w:r>
              <w:rPr>
                <w:rFonts w:cstheme="minorHAnsi"/>
                <w:color w:val="595959" w:themeColor="text1" w:themeTint="A6"/>
                <w:sz w:val="20"/>
                <w:szCs w:val="20"/>
              </w:rPr>
              <w:t>eet criteria but surrounded by</w:t>
            </w:r>
            <w:r w:rsidR="002E0AD1" w:rsidRPr="008E3CA5">
              <w:rPr>
                <w:rFonts w:cstheme="minorHAnsi"/>
                <w:color w:val="595959" w:themeColor="text1" w:themeTint="A6"/>
                <w:sz w:val="20"/>
                <w:szCs w:val="20"/>
              </w:rPr>
              <w:t xml:space="preserve"> mountains</w:t>
            </w:r>
          </w:p>
        </w:tc>
      </w:tr>
    </w:tbl>
    <w:p w14:paraId="1D48AA7B" w14:textId="6FD6C769" w:rsidR="001172B4" w:rsidRDefault="001172B4" w:rsidP="006F2AB9">
      <w:pPr>
        <w:shd w:val="clear" w:color="auto" w:fill="FFFFFF"/>
        <w:spacing w:after="120"/>
        <w:rPr>
          <w:rFonts w:eastAsia="Times New Roman" w:cs="Times New Roman"/>
          <w:color w:val="595959" w:themeColor="text1" w:themeTint="A6"/>
          <w:sz w:val="21"/>
          <w:szCs w:val="21"/>
          <w:lang w:eastAsia="en-GB"/>
        </w:rPr>
      </w:pPr>
    </w:p>
    <w:p w14:paraId="1DACEBA0" w14:textId="2F762043" w:rsidR="006C14C8" w:rsidRPr="00994540" w:rsidRDefault="006C14C8" w:rsidP="00AB0FDF">
      <w:pPr>
        <w:shd w:val="clear" w:color="auto" w:fill="FFFFFF"/>
        <w:spacing w:after="120"/>
        <w:jc w:val="both"/>
        <w:rPr>
          <w:rFonts w:eastAsia="Times New Roman" w:cs="Times New Roman"/>
          <w:color w:val="595959" w:themeColor="text1" w:themeTint="A6"/>
          <w:sz w:val="21"/>
          <w:szCs w:val="21"/>
          <w:lang w:eastAsia="en-GB"/>
        </w:rPr>
      </w:pPr>
      <w:r>
        <w:rPr>
          <w:rFonts w:eastAsia="Times New Roman" w:cs="Times New Roman"/>
          <w:color w:val="595959" w:themeColor="text1" w:themeTint="A6"/>
          <w:sz w:val="21"/>
          <w:szCs w:val="21"/>
          <w:lang w:eastAsia="en-GB"/>
        </w:rPr>
        <w:t>Prior to the methodological refinement of this indicator approved by the I</w:t>
      </w:r>
      <w:r w:rsidR="002F466C">
        <w:rPr>
          <w:rFonts w:eastAsia="Times New Roman" w:cs="Times New Roman"/>
          <w:color w:val="595959" w:themeColor="text1" w:themeTint="A6"/>
          <w:sz w:val="21"/>
          <w:szCs w:val="21"/>
          <w:lang w:eastAsia="en-GB"/>
        </w:rPr>
        <w:t>nter-agency and Expert Group on SDG Indicators (I</w:t>
      </w:r>
      <w:r>
        <w:rPr>
          <w:rFonts w:eastAsia="Times New Roman" w:cs="Times New Roman"/>
          <w:color w:val="595959" w:themeColor="text1" w:themeTint="A6"/>
          <w:sz w:val="21"/>
          <w:szCs w:val="21"/>
          <w:lang w:eastAsia="en-GB"/>
        </w:rPr>
        <w:t>AEG-SDG</w:t>
      </w:r>
      <w:r w:rsidR="002F466C">
        <w:rPr>
          <w:rFonts w:eastAsia="Times New Roman" w:cs="Times New Roman"/>
          <w:color w:val="595959" w:themeColor="text1" w:themeTint="A6"/>
          <w:sz w:val="21"/>
          <w:szCs w:val="21"/>
          <w:lang w:eastAsia="en-GB"/>
        </w:rPr>
        <w:t>)</w:t>
      </w:r>
      <w:r>
        <w:rPr>
          <w:rFonts w:eastAsia="Times New Roman" w:cs="Times New Roman"/>
          <w:color w:val="595959" w:themeColor="text1" w:themeTint="A6"/>
          <w:sz w:val="21"/>
          <w:szCs w:val="21"/>
          <w:lang w:eastAsia="en-GB"/>
        </w:rPr>
        <w:t xml:space="preserve"> in June 2022, the </w:t>
      </w:r>
      <w:r w:rsidR="00AB0FDF">
        <w:rPr>
          <w:rFonts w:eastAsia="Times New Roman" w:cs="Times New Roman"/>
          <w:color w:val="595959" w:themeColor="text1" w:themeTint="A6"/>
          <w:sz w:val="21"/>
          <w:szCs w:val="21"/>
          <w:lang w:eastAsia="en-GB"/>
        </w:rPr>
        <w:t>UNEP-WCMC classification was</w:t>
      </w:r>
      <w:r>
        <w:rPr>
          <w:rFonts w:eastAsia="Times New Roman" w:cs="Times New Roman"/>
          <w:color w:val="595959" w:themeColor="text1" w:themeTint="A6"/>
          <w:sz w:val="21"/>
          <w:szCs w:val="21"/>
          <w:lang w:eastAsia="en-GB"/>
        </w:rPr>
        <w:t xml:space="preserve"> used to disaggregate the indicator by</w:t>
      </w:r>
      <w:r w:rsidR="00AB0FDF">
        <w:rPr>
          <w:rFonts w:eastAsia="Times New Roman" w:cs="Times New Roman"/>
          <w:color w:val="595959" w:themeColor="text1" w:themeTint="A6"/>
          <w:sz w:val="21"/>
          <w:szCs w:val="21"/>
          <w:lang w:eastAsia="en-GB"/>
        </w:rPr>
        <w:t xml:space="preserve"> </w:t>
      </w:r>
      <w:r w:rsidR="0020586C">
        <w:rPr>
          <w:rFonts w:eastAsia="Times New Roman" w:cs="Times New Roman"/>
          <w:color w:val="595959" w:themeColor="text1" w:themeTint="A6"/>
          <w:sz w:val="21"/>
          <w:szCs w:val="21"/>
          <w:lang w:eastAsia="en-GB"/>
        </w:rPr>
        <w:t xml:space="preserve">Kapos </w:t>
      </w:r>
      <w:r w:rsidR="00AB0FDF">
        <w:rPr>
          <w:rFonts w:eastAsia="Times New Roman" w:cs="Times New Roman"/>
          <w:color w:val="595959" w:themeColor="text1" w:themeTint="A6"/>
          <w:sz w:val="21"/>
          <w:szCs w:val="21"/>
          <w:lang w:eastAsia="en-GB"/>
        </w:rPr>
        <w:t>mountain class</w:t>
      </w:r>
      <w:r w:rsidR="00FB1AD0">
        <w:rPr>
          <w:rFonts w:eastAsia="Times New Roman" w:cs="Times New Roman"/>
          <w:color w:val="595959" w:themeColor="text1" w:themeTint="A6"/>
          <w:sz w:val="21"/>
          <w:szCs w:val="21"/>
          <w:lang w:eastAsia="en-GB"/>
        </w:rPr>
        <w:t>es</w:t>
      </w:r>
      <w:r>
        <w:rPr>
          <w:rFonts w:eastAsia="Times New Roman" w:cs="Times New Roman"/>
          <w:color w:val="595959" w:themeColor="text1" w:themeTint="A6"/>
          <w:sz w:val="21"/>
          <w:szCs w:val="21"/>
          <w:lang w:eastAsia="en-GB"/>
        </w:rPr>
        <w:t xml:space="preserve">. This is no longer the case, with </w:t>
      </w:r>
      <w:r w:rsidR="00AB0FDF">
        <w:rPr>
          <w:rFonts w:eastAsia="Times New Roman" w:cs="Times New Roman"/>
          <w:color w:val="595959" w:themeColor="text1" w:themeTint="A6"/>
          <w:sz w:val="21"/>
          <w:szCs w:val="21"/>
          <w:lang w:eastAsia="en-GB"/>
        </w:rPr>
        <w:t xml:space="preserve">Kapos </w:t>
      </w:r>
      <w:r>
        <w:rPr>
          <w:rFonts w:eastAsia="Times New Roman" w:cs="Times New Roman"/>
          <w:color w:val="595959" w:themeColor="text1" w:themeTint="A6"/>
          <w:sz w:val="21"/>
          <w:szCs w:val="21"/>
          <w:lang w:eastAsia="en-GB"/>
        </w:rPr>
        <w:t xml:space="preserve">mountain </w:t>
      </w:r>
      <w:r w:rsidR="00AB0FDF">
        <w:rPr>
          <w:rFonts w:eastAsia="Times New Roman" w:cs="Times New Roman"/>
          <w:color w:val="595959" w:themeColor="text1" w:themeTint="A6"/>
          <w:sz w:val="21"/>
          <w:szCs w:val="21"/>
          <w:lang w:eastAsia="en-GB"/>
        </w:rPr>
        <w:t>class</w:t>
      </w:r>
      <w:r w:rsidR="0020586C">
        <w:rPr>
          <w:rFonts w:eastAsia="Times New Roman" w:cs="Times New Roman"/>
          <w:color w:val="595959" w:themeColor="text1" w:themeTint="A6"/>
          <w:sz w:val="21"/>
          <w:szCs w:val="21"/>
          <w:lang w:eastAsia="en-GB"/>
        </w:rPr>
        <w:t>es</w:t>
      </w:r>
      <w:r w:rsidR="00AB0FDF">
        <w:rPr>
          <w:rFonts w:eastAsia="Times New Roman" w:cs="Times New Roman"/>
          <w:color w:val="595959" w:themeColor="text1" w:themeTint="A6"/>
          <w:sz w:val="21"/>
          <w:szCs w:val="21"/>
          <w:lang w:eastAsia="en-GB"/>
        </w:rPr>
        <w:t xml:space="preserve"> </w:t>
      </w:r>
      <w:r>
        <w:rPr>
          <w:rFonts w:eastAsia="Times New Roman" w:cs="Times New Roman"/>
          <w:color w:val="595959" w:themeColor="text1" w:themeTint="A6"/>
          <w:sz w:val="21"/>
          <w:szCs w:val="21"/>
          <w:lang w:eastAsia="en-GB"/>
        </w:rPr>
        <w:t>having been replaced by a bioclimatic belt</w:t>
      </w:r>
      <w:r w:rsidR="0089252B">
        <w:rPr>
          <w:rFonts w:eastAsia="Times New Roman" w:cs="Times New Roman"/>
          <w:color w:val="595959" w:themeColor="text1" w:themeTint="A6"/>
          <w:sz w:val="21"/>
          <w:szCs w:val="21"/>
          <w:lang w:eastAsia="en-GB"/>
        </w:rPr>
        <w:t>s</w:t>
      </w:r>
      <w:r>
        <w:rPr>
          <w:rFonts w:eastAsia="Times New Roman" w:cs="Times New Roman"/>
          <w:color w:val="595959" w:themeColor="text1" w:themeTint="A6"/>
          <w:sz w:val="21"/>
          <w:szCs w:val="21"/>
          <w:lang w:eastAsia="en-GB"/>
        </w:rPr>
        <w:t xml:space="preserve"> (see section 2.c below).</w:t>
      </w:r>
    </w:p>
    <w:p w14:paraId="3C69D8C2" w14:textId="76FCE67A" w:rsidR="00161CA9" w:rsidRDefault="00F5214A" w:rsidP="006F2AB9">
      <w:pPr>
        <w:pStyle w:val="Default"/>
        <w:spacing w:line="276" w:lineRule="auto"/>
        <w:jc w:val="both"/>
        <w:rPr>
          <w:color w:val="595959" w:themeColor="text1" w:themeTint="A6"/>
          <w:sz w:val="21"/>
          <w:szCs w:val="21"/>
        </w:rPr>
      </w:pPr>
      <w:r w:rsidRPr="00994540">
        <w:rPr>
          <w:b/>
          <w:bCs/>
          <w:i/>
          <w:iCs/>
          <w:color w:val="595959" w:themeColor="text1" w:themeTint="A6"/>
          <w:sz w:val="21"/>
          <w:szCs w:val="21"/>
        </w:rPr>
        <w:t xml:space="preserve">Land cover </w:t>
      </w:r>
      <w:r w:rsidRPr="00994540">
        <w:rPr>
          <w:color w:val="595959" w:themeColor="text1" w:themeTint="A6"/>
          <w:sz w:val="21"/>
          <w:szCs w:val="21"/>
        </w:rPr>
        <w:t>refers to the observed physical cover of the Earth’s surface. It includes vegetation and man-made features as well as bare rock, bare soil and inland water surfaces (FAO-GTOS, 2009).</w:t>
      </w:r>
      <w:r w:rsidR="00DA525B" w:rsidRPr="00994540">
        <w:rPr>
          <w:color w:val="595959" w:themeColor="text1" w:themeTint="A6"/>
          <w:sz w:val="21"/>
          <w:szCs w:val="21"/>
        </w:rPr>
        <w:t xml:space="preserve"> </w:t>
      </w:r>
      <w:r w:rsidR="00161CA9" w:rsidRPr="00994540">
        <w:rPr>
          <w:color w:val="595959" w:themeColor="text1" w:themeTint="A6"/>
          <w:sz w:val="21"/>
          <w:szCs w:val="21"/>
        </w:rPr>
        <w:t xml:space="preserve">The primary units for characterizing land cover are categories (e.g. Forest or Open Water). These categories must be </w:t>
      </w:r>
      <w:r w:rsidR="00161CA9" w:rsidRPr="00994540">
        <w:rPr>
          <w:color w:val="595959" w:themeColor="text1" w:themeTint="A6"/>
          <w:sz w:val="21"/>
          <w:szCs w:val="21"/>
        </w:rPr>
        <w:lastRenderedPageBreak/>
        <w:t xml:space="preserve">defined </w:t>
      </w:r>
      <w:r w:rsidR="00E22EF5" w:rsidRPr="00994540">
        <w:rPr>
          <w:color w:val="595959" w:themeColor="text1" w:themeTint="A6"/>
          <w:sz w:val="21"/>
          <w:szCs w:val="21"/>
        </w:rPr>
        <w:t xml:space="preserve">following a standardized land cover classification </w:t>
      </w:r>
      <w:r w:rsidR="00161CA9" w:rsidRPr="00994540">
        <w:rPr>
          <w:color w:val="595959" w:themeColor="text1" w:themeTint="A6"/>
          <w:sz w:val="21"/>
          <w:szCs w:val="21"/>
        </w:rPr>
        <w:t xml:space="preserve">in order to identify land cover changes </w:t>
      </w:r>
      <w:r w:rsidR="00B760C7" w:rsidRPr="00994540">
        <w:rPr>
          <w:color w:val="595959" w:themeColor="text1" w:themeTint="A6"/>
          <w:sz w:val="21"/>
          <w:szCs w:val="21"/>
        </w:rPr>
        <w:t xml:space="preserve">consistently </w:t>
      </w:r>
      <w:r w:rsidR="00161CA9" w:rsidRPr="00994540">
        <w:rPr>
          <w:color w:val="595959" w:themeColor="text1" w:themeTint="A6"/>
          <w:sz w:val="21"/>
          <w:szCs w:val="21"/>
        </w:rPr>
        <w:t>over time.</w:t>
      </w:r>
      <w:r w:rsidR="00B760C7" w:rsidRPr="00994540">
        <w:rPr>
          <w:color w:val="595959" w:themeColor="text1" w:themeTint="A6"/>
          <w:sz w:val="21"/>
          <w:szCs w:val="21"/>
        </w:rPr>
        <w:t xml:space="preserve"> Several global standards of land cover classifications have been developed by international initiatives for this purpose. </w:t>
      </w:r>
    </w:p>
    <w:p w14:paraId="5F22D552" w14:textId="77777777" w:rsidR="00EC286B" w:rsidRPr="00994540" w:rsidRDefault="00EC286B" w:rsidP="006F2AB9">
      <w:pPr>
        <w:pStyle w:val="Default"/>
        <w:spacing w:line="276" w:lineRule="auto"/>
        <w:jc w:val="both"/>
        <w:rPr>
          <w:color w:val="595959" w:themeColor="text1" w:themeTint="A6"/>
          <w:sz w:val="21"/>
          <w:szCs w:val="21"/>
        </w:rPr>
      </w:pPr>
    </w:p>
    <w:p w14:paraId="4BB82949" w14:textId="7D926BA9" w:rsidR="0056660F" w:rsidRPr="00EC286B" w:rsidRDefault="00E22EF5" w:rsidP="006F2AB9">
      <w:pPr>
        <w:pStyle w:val="Default"/>
        <w:spacing w:line="276" w:lineRule="auto"/>
        <w:jc w:val="both"/>
        <w:rPr>
          <w:color w:val="595959" w:themeColor="text1" w:themeTint="A6"/>
          <w:sz w:val="21"/>
          <w:szCs w:val="21"/>
        </w:rPr>
      </w:pPr>
      <w:r w:rsidRPr="00994540">
        <w:rPr>
          <w:color w:val="595959" w:themeColor="text1" w:themeTint="A6"/>
          <w:sz w:val="21"/>
          <w:szCs w:val="21"/>
        </w:rPr>
        <w:t>For the purposes of</w:t>
      </w:r>
      <w:r w:rsidR="002E77E9" w:rsidRPr="00994540">
        <w:rPr>
          <w:color w:val="595959" w:themeColor="text1" w:themeTint="A6"/>
          <w:sz w:val="21"/>
          <w:szCs w:val="21"/>
        </w:rPr>
        <w:t xml:space="preserve"> standardization and harmonization </w:t>
      </w:r>
      <w:r w:rsidR="002E77E9">
        <w:rPr>
          <w:color w:val="595959" w:themeColor="text1" w:themeTint="A6"/>
          <w:sz w:val="21"/>
          <w:szCs w:val="21"/>
        </w:rPr>
        <w:t>when reporting on SDG Indicator 15.4.2</w:t>
      </w:r>
      <w:r w:rsidR="002E77E9" w:rsidRPr="00994540">
        <w:rPr>
          <w:color w:val="595959" w:themeColor="text1" w:themeTint="A6"/>
          <w:sz w:val="21"/>
          <w:szCs w:val="21"/>
        </w:rPr>
        <w:t>, this indicator</w:t>
      </w:r>
      <w:r w:rsidR="002E77E9">
        <w:rPr>
          <w:color w:val="595959" w:themeColor="text1" w:themeTint="A6"/>
          <w:sz w:val="21"/>
          <w:szCs w:val="21"/>
        </w:rPr>
        <w:t xml:space="preserve"> has</w:t>
      </w:r>
      <w:r w:rsidR="002E77E9" w:rsidRPr="00994540">
        <w:rPr>
          <w:color w:val="595959" w:themeColor="text1" w:themeTint="A6"/>
          <w:sz w:val="21"/>
          <w:szCs w:val="21"/>
        </w:rPr>
        <w:t xml:space="preserve"> adapted</w:t>
      </w:r>
      <w:r w:rsidR="00B760C7" w:rsidRPr="00994540">
        <w:rPr>
          <w:color w:val="595959" w:themeColor="text1" w:themeTint="A6"/>
          <w:sz w:val="21"/>
          <w:szCs w:val="21"/>
        </w:rPr>
        <w:t xml:space="preserve"> </w:t>
      </w:r>
      <w:r w:rsidR="002E77E9" w:rsidRPr="00994540">
        <w:rPr>
          <w:color w:val="595959" w:themeColor="text1" w:themeTint="A6"/>
          <w:sz w:val="21"/>
          <w:szCs w:val="21"/>
        </w:rPr>
        <w:t xml:space="preserve">the land cover classification established by the </w:t>
      </w:r>
      <w:r w:rsidR="00B760C7" w:rsidRPr="00994540">
        <w:rPr>
          <w:color w:val="595959" w:themeColor="text1" w:themeTint="A6"/>
          <w:sz w:val="21"/>
          <w:szCs w:val="21"/>
        </w:rPr>
        <w:t>United Nations Statistical Commission’s System of Environmental and Economic Accounting (UN-</w:t>
      </w:r>
      <w:r w:rsidR="00B760C7" w:rsidRPr="006F2AB9">
        <w:rPr>
          <w:color w:val="595959" w:themeColor="text1" w:themeTint="A6"/>
          <w:sz w:val="21"/>
          <w:szCs w:val="21"/>
        </w:rPr>
        <w:t xml:space="preserve">SEEA) </w:t>
      </w:r>
      <w:r w:rsidR="0056660F" w:rsidRPr="006F2AB9">
        <w:rPr>
          <w:color w:val="595959" w:themeColor="text1" w:themeTint="A6"/>
          <w:sz w:val="21"/>
          <w:szCs w:val="21"/>
        </w:rPr>
        <w:t xml:space="preserve">(UN Statistical Division, 2014) </w:t>
      </w:r>
      <w:r w:rsidR="00B760C7" w:rsidRPr="00994540">
        <w:rPr>
          <w:color w:val="595959" w:themeColor="text1" w:themeTint="A6"/>
          <w:sz w:val="21"/>
          <w:szCs w:val="21"/>
        </w:rPr>
        <w:t>by selecting the most relevant SEEA classes for m</w:t>
      </w:r>
      <w:r w:rsidR="00994540" w:rsidRPr="00994540">
        <w:rPr>
          <w:color w:val="595959" w:themeColor="text1" w:themeTint="A6"/>
          <w:sz w:val="21"/>
          <w:szCs w:val="21"/>
        </w:rPr>
        <w:t>ountain ecosystems and aggregating</w:t>
      </w:r>
      <w:r w:rsidR="00B760C7" w:rsidRPr="00994540">
        <w:rPr>
          <w:color w:val="595959" w:themeColor="text1" w:themeTint="A6"/>
          <w:sz w:val="21"/>
          <w:szCs w:val="21"/>
        </w:rPr>
        <w:t xml:space="preserve"> all croplands classes</w:t>
      </w:r>
      <w:r w:rsidR="002F466C">
        <w:rPr>
          <w:color w:val="595959" w:themeColor="text1" w:themeTint="A6"/>
          <w:sz w:val="21"/>
          <w:szCs w:val="21"/>
        </w:rPr>
        <w:t xml:space="preserve"> </w:t>
      </w:r>
      <w:r w:rsidR="002E77E9" w:rsidRPr="00994540">
        <w:rPr>
          <w:color w:val="595959" w:themeColor="text1" w:themeTint="A6"/>
          <w:sz w:val="21"/>
          <w:szCs w:val="21"/>
        </w:rPr>
        <w:t>(Table 2</w:t>
      </w:r>
      <w:r w:rsidR="00B760C7" w:rsidRPr="00994540">
        <w:rPr>
          <w:color w:val="595959" w:themeColor="text1" w:themeTint="A6"/>
          <w:sz w:val="21"/>
          <w:szCs w:val="21"/>
        </w:rPr>
        <w:t>).</w:t>
      </w:r>
    </w:p>
    <w:p w14:paraId="53DBE9CE" w14:textId="77777777" w:rsidR="0056660F" w:rsidRDefault="0056660F" w:rsidP="006F2AB9">
      <w:pPr>
        <w:pStyle w:val="Default"/>
        <w:spacing w:line="276" w:lineRule="auto"/>
        <w:jc w:val="both"/>
        <w:rPr>
          <w:sz w:val="21"/>
          <w:szCs w:val="21"/>
        </w:rPr>
      </w:pPr>
    </w:p>
    <w:p w14:paraId="7B0853E1" w14:textId="5FDE8CD4" w:rsidR="002E77E9" w:rsidRPr="00994540" w:rsidRDefault="002E77E9" w:rsidP="006F2AB9">
      <w:pPr>
        <w:pStyle w:val="Caption"/>
        <w:keepNext/>
        <w:spacing w:after="60"/>
        <w:jc w:val="both"/>
        <w:rPr>
          <w:rFonts w:cstheme="minorHAnsi"/>
          <w:color w:val="595959" w:themeColor="text1" w:themeTint="A6"/>
        </w:rPr>
      </w:pPr>
      <w:r w:rsidRPr="00994540">
        <w:rPr>
          <w:rFonts w:cstheme="minorHAnsi"/>
          <w:b/>
          <w:i w:val="0"/>
          <w:color w:val="595959" w:themeColor="text1" w:themeTint="A6"/>
        </w:rPr>
        <w:t>Table 2.</w:t>
      </w:r>
      <w:r w:rsidRPr="00994540">
        <w:rPr>
          <w:rFonts w:cstheme="minorHAnsi"/>
          <w:i w:val="0"/>
          <w:color w:val="595959" w:themeColor="text1" w:themeTint="A6"/>
        </w:rPr>
        <w:t xml:space="preserve"> Left:</w:t>
      </w:r>
      <w:r w:rsidRPr="00994540">
        <w:rPr>
          <w:rFonts w:cstheme="minorHAnsi"/>
          <w:i w:val="0"/>
          <w:color w:val="595959" w:themeColor="text1" w:themeTint="A6"/>
          <w:shd w:val="clear" w:color="auto" w:fill="FFFFFF"/>
        </w:rPr>
        <w:t xml:space="preserve"> Land cover classification established by the UN-SEEA (Source: UN</w:t>
      </w:r>
      <w:r w:rsidR="00AF504F">
        <w:rPr>
          <w:rFonts w:cstheme="minorHAnsi"/>
          <w:i w:val="0"/>
          <w:color w:val="595959" w:themeColor="text1" w:themeTint="A6"/>
          <w:shd w:val="clear" w:color="auto" w:fill="FFFFFF"/>
        </w:rPr>
        <w:t xml:space="preserve"> Statistical Division</w:t>
      </w:r>
      <w:r w:rsidRPr="00994540">
        <w:rPr>
          <w:rFonts w:cstheme="minorHAnsi"/>
          <w:i w:val="0"/>
          <w:color w:val="595959" w:themeColor="text1" w:themeTint="A6"/>
          <w:shd w:val="clear" w:color="auto" w:fill="FFFFFF"/>
        </w:rPr>
        <w:t xml:space="preserve">, 2014). Right: Adapted </w:t>
      </w:r>
      <w:r w:rsidR="00994540" w:rsidRPr="00994540">
        <w:rPr>
          <w:rFonts w:cstheme="minorHAnsi"/>
          <w:i w:val="0"/>
          <w:color w:val="595959" w:themeColor="text1" w:themeTint="A6"/>
          <w:shd w:val="clear" w:color="auto" w:fill="FFFFFF"/>
        </w:rPr>
        <w:t xml:space="preserve">land cover </w:t>
      </w:r>
      <w:r w:rsidRPr="00994540">
        <w:rPr>
          <w:rFonts w:cstheme="minorHAnsi"/>
          <w:i w:val="0"/>
          <w:color w:val="595959" w:themeColor="text1" w:themeTint="A6"/>
          <w:shd w:val="clear" w:color="auto" w:fill="FFFFFF"/>
        </w:rPr>
        <w:t>classification for the computation and aggregate reporting on SDG Indicator 15.4.2.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410"/>
        <w:gridCol w:w="4616"/>
      </w:tblGrid>
      <w:tr w:rsidR="002E77E9" w:rsidRPr="002E77E9" w14:paraId="74448AD7" w14:textId="77777777" w:rsidTr="00EC286B">
        <w:trPr>
          <w:trHeight w:val="303"/>
        </w:trPr>
        <w:tc>
          <w:tcPr>
            <w:tcW w:w="4410" w:type="dxa"/>
            <w:tcBorders>
              <w:top w:val="single" w:sz="12" w:space="0" w:color="auto"/>
              <w:bottom w:val="single" w:sz="12" w:space="0" w:color="auto"/>
            </w:tcBorders>
            <w:shd w:val="clear" w:color="auto" w:fill="auto"/>
            <w:vAlign w:val="center"/>
          </w:tcPr>
          <w:p w14:paraId="0986CBFD" w14:textId="77777777" w:rsidR="002E77E9" w:rsidRPr="00994540" w:rsidRDefault="002E77E9" w:rsidP="007B2926">
            <w:pPr>
              <w:spacing w:line="276" w:lineRule="auto"/>
              <w:textAlignment w:val="baseline"/>
              <w:rPr>
                <w:rFonts w:eastAsia="Times New Roman" w:cstheme="minorHAnsi"/>
                <w:b/>
                <w:color w:val="595959" w:themeColor="text1" w:themeTint="A6"/>
                <w:sz w:val="20"/>
                <w:szCs w:val="20"/>
              </w:rPr>
            </w:pPr>
            <w:r w:rsidRPr="00994540">
              <w:rPr>
                <w:rFonts w:eastAsia="Times New Roman" w:cstheme="minorHAnsi"/>
                <w:b/>
                <w:color w:val="595959" w:themeColor="text1" w:themeTint="A6"/>
                <w:sz w:val="20"/>
                <w:szCs w:val="20"/>
              </w:rPr>
              <w:t>Original UN – SEEA land cover classification (n=14)</w:t>
            </w:r>
          </w:p>
        </w:tc>
        <w:tc>
          <w:tcPr>
            <w:tcW w:w="4616" w:type="dxa"/>
            <w:tcBorders>
              <w:top w:val="single" w:sz="12" w:space="0" w:color="auto"/>
              <w:bottom w:val="single" w:sz="12" w:space="0" w:color="auto"/>
            </w:tcBorders>
            <w:shd w:val="clear" w:color="auto" w:fill="auto"/>
            <w:vAlign w:val="center"/>
          </w:tcPr>
          <w:p w14:paraId="134C617C" w14:textId="77777777" w:rsidR="002E77E9" w:rsidRPr="00994540" w:rsidRDefault="002E77E9" w:rsidP="007B2926">
            <w:pPr>
              <w:spacing w:line="276" w:lineRule="auto"/>
              <w:textAlignment w:val="baseline"/>
              <w:rPr>
                <w:rFonts w:eastAsia="Times New Roman" w:cstheme="minorHAnsi"/>
                <w:b/>
                <w:color w:val="595959" w:themeColor="text1" w:themeTint="A6"/>
                <w:sz w:val="20"/>
                <w:szCs w:val="20"/>
              </w:rPr>
            </w:pPr>
            <w:r w:rsidRPr="00994540">
              <w:rPr>
                <w:rFonts w:eastAsia="Times New Roman" w:cstheme="minorHAnsi"/>
                <w:b/>
                <w:color w:val="595959" w:themeColor="text1" w:themeTint="A6"/>
                <w:sz w:val="20"/>
                <w:szCs w:val="20"/>
              </w:rPr>
              <w:t>SDG Indicator 15.4.2 land cover classification (n=10)</w:t>
            </w:r>
          </w:p>
        </w:tc>
      </w:tr>
      <w:tr w:rsidR="002E77E9" w:rsidRPr="002E77E9" w14:paraId="6373A57C" w14:textId="77777777" w:rsidTr="00EC286B">
        <w:trPr>
          <w:trHeight w:val="240"/>
        </w:trPr>
        <w:tc>
          <w:tcPr>
            <w:tcW w:w="4410" w:type="dxa"/>
            <w:tcBorders>
              <w:top w:val="single" w:sz="12" w:space="0" w:color="auto"/>
            </w:tcBorders>
            <w:vAlign w:val="center"/>
          </w:tcPr>
          <w:p w14:paraId="048F4E2C"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 xml:space="preserve">1 Artificial surfaces </w:t>
            </w:r>
          </w:p>
        </w:tc>
        <w:tc>
          <w:tcPr>
            <w:tcW w:w="4616" w:type="dxa"/>
            <w:tcBorders>
              <w:top w:val="single" w:sz="12" w:space="0" w:color="auto"/>
            </w:tcBorders>
            <w:vAlign w:val="center"/>
          </w:tcPr>
          <w:p w14:paraId="08B6AF67"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 Artificial surfaces</w:t>
            </w:r>
          </w:p>
        </w:tc>
      </w:tr>
      <w:tr w:rsidR="002E77E9" w:rsidRPr="002E77E9" w14:paraId="030114AC" w14:textId="77777777" w:rsidTr="00EC286B">
        <w:tc>
          <w:tcPr>
            <w:tcW w:w="4410" w:type="dxa"/>
            <w:vAlign w:val="center"/>
          </w:tcPr>
          <w:p w14:paraId="66A0602F"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2 Herbaceous crops</w:t>
            </w:r>
            <w:r w:rsidRPr="00994540">
              <w:rPr>
                <w:rFonts w:eastAsia="Times New Roman" w:cstheme="minorHAnsi"/>
                <w:i/>
                <w:iCs/>
                <w:color w:val="595959" w:themeColor="text1" w:themeTint="A6"/>
                <w:sz w:val="20"/>
                <w:szCs w:val="20"/>
              </w:rPr>
              <w:t> </w:t>
            </w:r>
          </w:p>
        </w:tc>
        <w:tc>
          <w:tcPr>
            <w:tcW w:w="4616" w:type="dxa"/>
            <w:vMerge w:val="restart"/>
            <w:vAlign w:val="center"/>
          </w:tcPr>
          <w:p w14:paraId="3196D89F"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2 Croplands</w:t>
            </w:r>
          </w:p>
        </w:tc>
      </w:tr>
      <w:tr w:rsidR="002E77E9" w:rsidRPr="002E77E9" w14:paraId="172290CA" w14:textId="77777777" w:rsidTr="00EC286B">
        <w:tc>
          <w:tcPr>
            <w:tcW w:w="4410" w:type="dxa"/>
            <w:vAlign w:val="center"/>
          </w:tcPr>
          <w:p w14:paraId="5B82B3D8"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3 Woody crops</w:t>
            </w:r>
            <w:r w:rsidRPr="00994540">
              <w:rPr>
                <w:rFonts w:eastAsia="Times New Roman" w:cstheme="minorHAnsi"/>
                <w:i/>
                <w:iCs/>
                <w:color w:val="595959" w:themeColor="text1" w:themeTint="A6"/>
                <w:sz w:val="20"/>
                <w:szCs w:val="20"/>
              </w:rPr>
              <w:t> </w:t>
            </w:r>
          </w:p>
        </w:tc>
        <w:tc>
          <w:tcPr>
            <w:tcW w:w="4616" w:type="dxa"/>
            <w:vMerge/>
            <w:vAlign w:val="center"/>
          </w:tcPr>
          <w:p w14:paraId="403A4980"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p>
        </w:tc>
      </w:tr>
      <w:tr w:rsidR="002E77E9" w:rsidRPr="002E77E9" w14:paraId="72B15FA0" w14:textId="77777777" w:rsidTr="00EC286B">
        <w:tc>
          <w:tcPr>
            <w:tcW w:w="4410" w:type="dxa"/>
            <w:vAlign w:val="center"/>
          </w:tcPr>
          <w:p w14:paraId="24194E55"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4 Multiple or layered crops</w:t>
            </w:r>
            <w:r w:rsidRPr="00994540">
              <w:rPr>
                <w:rFonts w:eastAsia="Times New Roman" w:cstheme="minorHAnsi"/>
                <w:i/>
                <w:iCs/>
                <w:color w:val="595959" w:themeColor="text1" w:themeTint="A6"/>
                <w:sz w:val="20"/>
                <w:szCs w:val="20"/>
              </w:rPr>
              <w:t> </w:t>
            </w:r>
          </w:p>
        </w:tc>
        <w:tc>
          <w:tcPr>
            <w:tcW w:w="4616" w:type="dxa"/>
            <w:vMerge/>
            <w:vAlign w:val="center"/>
          </w:tcPr>
          <w:p w14:paraId="79DEC826"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p>
        </w:tc>
      </w:tr>
      <w:tr w:rsidR="002E77E9" w:rsidRPr="002E77E9" w14:paraId="3D86C080" w14:textId="77777777" w:rsidTr="00EC286B">
        <w:tc>
          <w:tcPr>
            <w:tcW w:w="4410" w:type="dxa"/>
            <w:vAlign w:val="center"/>
          </w:tcPr>
          <w:p w14:paraId="19AE66DA"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5 Grassland</w:t>
            </w:r>
            <w:r w:rsidRPr="00994540">
              <w:rPr>
                <w:rFonts w:eastAsia="Times New Roman" w:cstheme="minorHAnsi"/>
                <w:i/>
                <w:iCs/>
                <w:color w:val="595959" w:themeColor="text1" w:themeTint="A6"/>
                <w:sz w:val="20"/>
                <w:szCs w:val="20"/>
              </w:rPr>
              <w:t> </w:t>
            </w:r>
          </w:p>
        </w:tc>
        <w:tc>
          <w:tcPr>
            <w:tcW w:w="4616" w:type="dxa"/>
            <w:vAlign w:val="center"/>
          </w:tcPr>
          <w:p w14:paraId="52AC780F"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3 Grasslands</w:t>
            </w:r>
          </w:p>
        </w:tc>
      </w:tr>
      <w:tr w:rsidR="002E77E9" w:rsidRPr="002E77E9" w14:paraId="79D21B34" w14:textId="77777777" w:rsidTr="00EC286B">
        <w:tc>
          <w:tcPr>
            <w:tcW w:w="4410" w:type="dxa"/>
            <w:vAlign w:val="center"/>
          </w:tcPr>
          <w:p w14:paraId="7593BB4C"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6 Tree-covered areas</w:t>
            </w:r>
            <w:r w:rsidRPr="00994540">
              <w:rPr>
                <w:rFonts w:eastAsia="Times New Roman" w:cstheme="minorHAnsi"/>
                <w:i/>
                <w:iCs/>
                <w:color w:val="595959" w:themeColor="text1" w:themeTint="A6"/>
                <w:sz w:val="20"/>
                <w:szCs w:val="20"/>
              </w:rPr>
              <w:t> </w:t>
            </w:r>
          </w:p>
        </w:tc>
        <w:tc>
          <w:tcPr>
            <w:tcW w:w="4616" w:type="dxa"/>
            <w:vAlign w:val="center"/>
          </w:tcPr>
          <w:p w14:paraId="3F8559C8"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4 Tree-covered areas</w:t>
            </w:r>
            <w:r w:rsidRPr="00994540">
              <w:rPr>
                <w:rFonts w:eastAsia="Times New Roman" w:cstheme="minorHAnsi"/>
                <w:i/>
                <w:iCs/>
                <w:color w:val="595959" w:themeColor="text1" w:themeTint="A6"/>
                <w:sz w:val="20"/>
                <w:szCs w:val="20"/>
              </w:rPr>
              <w:t> </w:t>
            </w:r>
          </w:p>
        </w:tc>
      </w:tr>
      <w:tr w:rsidR="002E77E9" w:rsidRPr="002E77E9" w14:paraId="4AF29791" w14:textId="77777777" w:rsidTr="00EC286B">
        <w:tc>
          <w:tcPr>
            <w:tcW w:w="4410" w:type="dxa"/>
            <w:vAlign w:val="center"/>
          </w:tcPr>
          <w:p w14:paraId="0C6A9A06"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7 Mangroves</w:t>
            </w:r>
            <w:r w:rsidRPr="00994540">
              <w:rPr>
                <w:rFonts w:eastAsia="Times New Roman" w:cstheme="minorHAnsi"/>
                <w:i/>
                <w:iCs/>
                <w:color w:val="595959" w:themeColor="text1" w:themeTint="A6"/>
                <w:sz w:val="20"/>
                <w:szCs w:val="20"/>
              </w:rPr>
              <w:t> </w:t>
            </w:r>
          </w:p>
        </w:tc>
        <w:tc>
          <w:tcPr>
            <w:tcW w:w="4616" w:type="dxa"/>
            <w:shd w:val="clear" w:color="auto" w:fill="D9D9D9" w:themeFill="background1" w:themeFillShade="D9"/>
            <w:vAlign w:val="center"/>
          </w:tcPr>
          <w:p w14:paraId="70A37CAB"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Discarded. Not relevant for mountains</w:t>
            </w:r>
          </w:p>
        </w:tc>
      </w:tr>
      <w:tr w:rsidR="002E77E9" w:rsidRPr="002E77E9" w14:paraId="1AEE7CD7" w14:textId="77777777" w:rsidTr="00EC286B">
        <w:tc>
          <w:tcPr>
            <w:tcW w:w="4410" w:type="dxa"/>
            <w:vAlign w:val="center"/>
          </w:tcPr>
          <w:p w14:paraId="57AD81CC"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8 Shrub-covered areas</w:t>
            </w:r>
            <w:r w:rsidRPr="00994540">
              <w:rPr>
                <w:rFonts w:eastAsia="Times New Roman" w:cstheme="minorHAnsi"/>
                <w:i/>
                <w:iCs/>
                <w:color w:val="595959" w:themeColor="text1" w:themeTint="A6"/>
                <w:sz w:val="20"/>
                <w:szCs w:val="20"/>
              </w:rPr>
              <w:t> </w:t>
            </w:r>
          </w:p>
        </w:tc>
        <w:tc>
          <w:tcPr>
            <w:tcW w:w="4616" w:type="dxa"/>
            <w:vAlign w:val="center"/>
          </w:tcPr>
          <w:p w14:paraId="36594D12"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5 Shrub-covered areas</w:t>
            </w:r>
            <w:r w:rsidRPr="00994540">
              <w:rPr>
                <w:rFonts w:eastAsia="Times New Roman" w:cstheme="minorHAnsi"/>
                <w:i/>
                <w:iCs/>
                <w:color w:val="595959" w:themeColor="text1" w:themeTint="A6"/>
                <w:sz w:val="20"/>
                <w:szCs w:val="20"/>
              </w:rPr>
              <w:t> </w:t>
            </w:r>
          </w:p>
        </w:tc>
      </w:tr>
      <w:tr w:rsidR="002E77E9" w:rsidRPr="002E77E9" w14:paraId="3800E761" w14:textId="77777777" w:rsidTr="00EC286B">
        <w:tc>
          <w:tcPr>
            <w:tcW w:w="4410" w:type="dxa"/>
            <w:vAlign w:val="center"/>
          </w:tcPr>
          <w:p w14:paraId="4A37FAA7"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9 Shrubs and/or herbaceous vegetation, aquatic or regularly flooded</w:t>
            </w:r>
            <w:r w:rsidRPr="00994540">
              <w:rPr>
                <w:rFonts w:eastAsia="Times New Roman" w:cstheme="minorHAnsi"/>
                <w:i/>
                <w:iCs/>
                <w:color w:val="595959" w:themeColor="text1" w:themeTint="A6"/>
                <w:sz w:val="20"/>
                <w:szCs w:val="20"/>
              </w:rPr>
              <w:t> </w:t>
            </w:r>
          </w:p>
        </w:tc>
        <w:tc>
          <w:tcPr>
            <w:tcW w:w="4616" w:type="dxa"/>
            <w:vAlign w:val="center"/>
          </w:tcPr>
          <w:p w14:paraId="6097BB7F"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6 Shrubs and/or herbaceous vegetation, aquatic or regularly flooded</w:t>
            </w:r>
            <w:r w:rsidRPr="00994540">
              <w:rPr>
                <w:rFonts w:eastAsia="Times New Roman" w:cstheme="minorHAnsi"/>
                <w:i/>
                <w:iCs/>
                <w:color w:val="595959" w:themeColor="text1" w:themeTint="A6"/>
                <w:sz w:val="20"/>
                <w:szCs w:val="20"/>
              </w:rPr>
              <w:t> </w:t>
            </w:r>
          </w:p>
        </w:tc>
      </w:tr>
      <w:tr w:rsidR="002E77E9" w:rsidRPr="002E77E9" w14:paraId="61A44D1C" w14:textId="77777777" w:rsidTr="00EC286B">
        <w:tc>
          <w:tcPr>
            <w:tcW w:w="4410" w:type="dxa"/>
            <w:vAlign w:val="center"/>
          </w:tcPr>
          <w:p w14:paraId="15B951D4"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10 Sparsely natural vegetated areas</w:t>
            </w:r>
            <w:r w:rsidRPr="00994540">
              <w:rPr>
                <w:rFonts w:eastAsia="Times New Roman" w:cstheme="minorHAnsi"/>
                <w:i/>
                <w:iCs/>
                <w:color w:val="595959" w:themeColor="text1" w:themeTint="A6"/>
                <w:sz w:val="20"/>
                <w:szCs w:val="20"/>
              </w:rPr>
              <w:t> </w:t>
            </w:r>
          </w:p>
        </w:tc>
        <w:tc>
          <w:tcPr>
            <w:tcW w:w="4616" w:type="dxa"/>
            <w:vAlign w:val="center"/>
          </w:tcPr>
          <w:p w14:paraId="0184E07A"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7 Sparsely natural vegetated areas</w:t>
            </w:r>
            <w:r w:rsidRPr="00994540">
              <w:rPr>
                <w:rFonts w:eastAsia="Times New Roman" w:cstheme="minorHAnsi"/>
                <w:i/>
                <w:iCs/>
                <w:color w:val="595959" w:themeColor="text1" w:themeTint="A6"/>
                <w:sz w:val="20"/>
                <w:szCs w:val="20"/>
              </w:rPr>
              <w:t> </w:t>
            </w:r>
          </w:p>
        </w:tc>
      </w:tr>
      <w:tr w:rsidR="002E77E9" w:rsidRPr="002E77E9" w14:paraId="5A88CB34" w14:textId="77777777" w:rsidTr="00EC286B">
        <w:tc>
          <w:tcPr>
            <w:tcW w:w="4410" w:type="dxa"/>
            <w:vAlign w:val="center"/>
          </w:tcPr>
          <w:p w14:paraId="772F0C21"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11 Terrestrial barren land</w:t>
            </w:r>
            <w:r w:rsidRPr="00994540">
              <w:rPr>
                <w:rFonts w:eastAsia="Times New Roman" w:cstheme="minorHAnsi"/>
                <w:i/>
                <w:iCs/>
                <w:color w:val="595959" w:themeColor="text1" w:themeTint="A6"/>
                <w:sz w:val="20"/>
                <w:szCs w:val="20"/>
              </w:rPr>
              <w:t> </w:t>
            </w:r>
          </w:p>
        </w:tc>
        <w:tc>
          <w:tcPr>
            <w:tcW w:w="4616" w:type="dxa"/>
            <w:vAlign w:val="center"/>
          </w:tcPr>
          <w:p w14:paraId="62F134F0"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8 Terrestrial barren land</w:t>
            </w:r>
            <w:r w:rsidRPr="00994540">
              <w:rPr>
                <w:rFonts w:eastAsia="Times New Roman" w:cstheme="minorHAnsi"/>
                <w:i/>
                <w:iCs/>
                <w:color w:val="595959" w:themeColor="text1" w:themeTint="A6"/>
                <w:sz w:val="20"/>
                <w:szCs w:val="20"/>
              </w:rPr>
              <w:t> </w:t>
            </w:r>
          </w:p>
        </w:tc>
      </w:tr>
      <w:tr w:rsidR="002E77E9" w:rsidRPr="002E77E9" w14:paraId="4147F8C2" w14:textId="77777777" w:rsidTr="00EC286B">
        <w:tc>
          <w:tcPr>
            <w:tcW w:w="4410" w:type="dxa"/>
            <w:vAlign w:val="center"/>
          </w:tcPr>
          <w:p w14:paraId="4CE878EF"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12 Permanent snow and glaciers</w:t>
            </w:r>
            <w:r w:rsidRPr="00994540">
              <w:rPr>
                <w:rFonts w:eastAsia="Times New Roman" w:cstheme="minorHAnsi"/>
                <w:i/>
                <w:iCs/>
                <w:color w:val="595959" w:themeColor="text1" w:themeTint="A6"/>
                <w:sz w:val="20"/>
                <w:szCs w:val="20"/>
              </w:rPr>
              <w:t> </w:t>
            </w:r>
          </w:p>
        </w:tc>
        <w:tc>
          <w:tcPr>
            <w:tcW w:w="4616" w:type="dxa"/>
            <w:vAlign w:val="center"/>
          </w:tcPr>
          <w:p w14:paraId="0D744A02"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9 Permanent snow and glaciers</w:t>
            </w:r>
            <w:r w:rsidRPr="00994540">
              <w:rPr>
                <w:rFonts w:eastAsia="Times New Roman" w:cstheme="minorHAnsi"/>
                <w:i/>
                <w:iCs/>
                <w:color w:val="595959" w:themeColor="text1" w:themeTint="A6"/>
                <w:sz w:val="20"/>
                <w:szCs w:val="20"/>
              </w:rPr>
              <w:t> </w:t>
            </w:r>
          </w:p>
        </w:tc>
      </w:tr>
      <w:tr w:rsidR="002E77E9" w:rsidRPr="002E77E9" w14:paraId="06E393A7" w14:textId="77777777" w:rsidTr="00EC286B">
        <w:tc>
          <w:tcPr>
            <w:tcW w:w="4410" w:type="dxa"/>
            <w:tcBorders>
              <w:bottom w:val="single" w:sz="4" w:space="0" w:color="auto"/>
            </w:tcBorders>
            <w:vAlign w:val="center"/>
          </w:tcPr>
          <w:p w14:paraId="011EEFA4"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13 Inland water bodies</w:t>
            </w:r>
            <w:r w:rsidRPr="00994540">
              <w:rPr>
                <w:rFonts w:eastAsia="Times New Roman" w:cstheme="minorHAnsi"/>
                <w:i/>
                <w:iCs/>
                <w:color w:val="595959" w:themeColor="text1" w:themeTint="A6"/>
                <w:sz w:val="20"/>
                <w:szCs w:val="20"/>
              </w:rPr>
              <w:t> </w:t>
            </w:r>
          </w:p>
        </w:tc>
        <w:tc>
          <w:tcPr>
            <w:tcW w:w="4616" w:type="dxa"/>
            <w:tcBorders>
              <w:bottom w:val="single" w:sz="4" w:space="0" w:color="auto"/>
            </w:tcBorders>
            <w:vAlign w:val="center"/>
          </w:tcPr>
          <w:p w14:paraId="1ADC0CCB"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10 Inland water bodies</w:t>
            </w:r>
            <w:r w:rsidRPr="00994540">
              <w:rPr>
                <w:rFonts w:eastAsia="Times New Roman" w:cstheme="minorHAnsi"/>
                <w:i/>
                <w:iCs/>
                <w:color w:val="595959" w:themeColor="text1" w:themeTint="A6"/>
                <w:sz w:val="20"/>
                <w:szCs w:val="20"/>
              </w:rPr>
              <w:t> </w:t>
            </w:r>
          </w:p>
        </w:tc>
      </w:tr>
      <w:tr w:rsidR="002E77E9" w:rsidRPr="002E77E9" w14:paraId="3F44CC12" w14:textId="77777777" w:rsidTr="00EC286B">
        <w:tc>
          <w:tcPr>
            <w:tcW w:w="4410" w:type="dxa"/>
            <w:tcBorders>
              <w:bottom w:val="single" w:sz="12" w:space="0" w:color="auto"/>
            </w:tcBorders>
            <w:vAlign w:val="center"/>
          </w:tcPr>
          <w:p w14:paraId="63A42CB8"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14 Coastal water bodies and intertidal areas</w:t>
            </w:r>
            <w:r w:rsidRPr="00994540">
              <w:rPr>
                <w:rFonts w:eastAsia="Times New Roman" w:cstheme="minorHAnsi"/>
                <w:i/>
                <w:iCs/>
                <w:color w:val="595959" w:themeColor="text1" w:themeTint="A6"/>
                <w:sz w:val="20"/>
                <w:szCs w:val="20"/>
              </w:rPr>
              <w:t> </w:t>
            </w:r>
          </w:p>
        </w:tc>
        <w:tc>
          <w:tcPr>
            <w:tcW w:w="4616" w:type="dxa"/>
            <w:tcBorders>
              <w:bottom w:val="single" w:sz="12" w:space="0" w:color="auto"/>
            </w:tcBorders>
            <w:shd w:val="clear" w:color="auto" w:fill="D9D9D9" w:themeFill="background1" w:themeFillShade="D9"/>
            <w:vAlign w:val="center"/>
          </w:tcPr>
          <w:p w14:paraId="2C547622" w14:textId="77777777" w:rsidR="002E77E9" w:rsidRPr="00994540" w:rsidRDefault="002E77E9" w:rsidP="007B2926">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Discarded. Not relevant for mountains</w:t>
            </w:r>
          </w:p>
        </w:tc>
      </w:tr>
    </w:tbl>
    <w:p w14:paraId="3EA32072" w14:textId="77777777" w:rsidR="00B760C7" w:rsidRPr="00994540" w:rsidRDefault="00B760C7" w:rsidP="007B2926">
      <w:pPr>
        <w:pStyle w:val="Default"/>
        <w:spacing w:after="120" w:line="276" w:lineRule="auto"/>
        <w:jc w:val="both"/>
        <w:rPr>
          <w:sz w:val="21"/>
          <w:szCs w:val="21"/>
          <w:lang w:val="en-GB"/>
        </w:rPr>
      </w:pPr>
    </w:p>
    <w:p w14:paraId="113FF4F6" w14:textId="7F29A11D" w:rsidR="00A16166" w:rsidRDefault="00DA6B1F" w:rsidP="00EC286B">
      <w:pPr>
        <w:pStyle w:val="Default"/>
        <w:spacing w:line="276" w:lineRule="auto"/>
        <w:jc w:val="both"/>
        <w:rPr>
          <w:color w:val="595959" w:themeColor="text1" w:themeTint="A6"/>
          <w:sz w:val="21"/>
          <w:szCs w:val="21"/>
        </w:rPr>
      </w:pPr>
      <w:r>
        <w:rPr>
          <w:color w:val="595959" w:themeColor="text1" w:themeTint="A6"/>
          <w:sz w:val="21"/>
          <w:szCs w:val="21"/>
        </w:rPr>
        <w:t>Land cover serves different functions for SDG Indicator 15.4.2</w:t>
      </w:r>
      <w:r w:rsidR="007A613E">
        <w:rPr>
          <w:color w:val="595959" w:themeColor="text1" w:themeTint="A6"/>
          <w:sz w:val="21"/>
          <w:szCs w:val="21"/>
        </w:rPr>
        <w:t>:</w:t>
      </w:r>
    </w:p>
    <w:p w14:paraId="25A13760" w14:textId="77777777" w:rsidR="00A16166" w:rsidRDefault="00A16166" w:rsidP="006F2AB9">
      <w:pPr>
        <w:pStyle w:val="Default"/>
        <w:spacing w:line="276" w:lineRule="auto"/>
        <w:jc w:val="both"/>
        <w:rPr>
          <w:color w:val="595959" w:themeColor="text1" w:themeTint="A6"/>
          <w:sz w:val="21"/>
          <w:szCs w:val="21"/>
        </w:rPr>
      </w:pPr>
    </w:p>
    <w:p w14:paraId="17442EC1" w14:textId="0E93781B" w:rsidR="00A16166" w:rsidRDefault="00220790" w:rsidP="006F2AB9">
      <w:pPr>
        <w:pStyle w:val="Default"/>
        <w:spacing w:line="276" w:lineRule="auto"/>
        <w:jc w:val="both"/>
        <w:rPr>
          <w:color w:val="595959" w:themeColor="text1" w:themeTint="A6"/>
          <w:sz w:val="21"/>
          <w:szCs w:val="21"/>
        </w:rPr>
      </w:pPr>
      <w:r>
        <w:rPr>
          <w:color w:val="595959" w:themeColor="text1" w:themeTint="A6"/>
          <w:sz w:val="21"/>
          <w:szCs w:val="21"/>
        </w:rPr>
        <w:t>In sub-indicator 15.4.2a</w:t>
      </w:r>
      <w:r w:rsidR="0058434F">
        <w:rPr>
          <w:color w:val="595959" w:themeColor="text1" w:themeTint="A6"/>
          <w:sz w:val="21"/>
          <w:szCs w:val="21"/>
        </w:rPr>
        <w:t xml:space="preserve">, </w:t>
      </w:r>
      <w:r w:rsidR="0058434F" w:rsidRPr="0058434F">
        <w:rPr>
          <w:color w:val="595959" w:themeColor="text1" w:themeTint="A6"/>
          <w:sz w:val="21"/>
          <w:szCs w:val="21"/>
        </w:rPr>
        <w:t xml:space="preserve">land cover is used </w:t>
      </w:r>
      <w:r w:rsidR="00DA525B" w:rsidRPr="0058434F">
        <w:rPr>
          <w:color w:val="595959" w:themeColor="text1" w:themeTint="A6"/>
          <w:sz w:val="21"/>
          <w:szCs w:val="21"/>
        </w:rPr>
        <w:t>to</w:t>
      </w:r>
      <w:r w:rsidR="0058434F">
        <w:rPr>
          <w:color w:val="595959" w:themeColor="text1" w:themeTint="A6"/>
          <w:sz w:val="21"/>
          <w:szCs w:val="21"/>
        </w:rPr>
        <w:t xml:space="preserve"> categorize land into green and non-green cover areas. </w:t>
      </w:r>
      <w:r w:rsidR="00994540">
        <w:rPr>
          <w:color w:val="595959" w:themeColor="text1" w:themeTint="A6"/>
          <w:sz w:val="21"/>
          <w:szCs w:val="21"/>
        </w:rPr>
        <w:t>As showed in Table 3, g</w:t>
      </w:r>
      <w:r w:rsidR="0058434F">
        <w:rPr>
          <w:color w:val="595959" w:themeColor="text1" w:themeTint="A6"/>
          <w:sz w:val="21"/>
          <w:szCs w:val="21"/>
        </w:rPr>
        <w:t xml:space="preserve">reen cover includes </w:t>
      </w:r>
      <w:r w:rsidR="0058434F" w:rsidRPr="0058434F">
        <w:rPr>
          <w:rFonts w:eastAsia="Times New Roman" w:cs="Times New Roman"/>
          <w:color w:val="595959" w:themeColor="text1" w:themeTint="A6"/>
          <w:sz w:val="21"/>
          <w:szCs w:val="21"/>
          <w:lang w:eastAsia="en-GB"/>
        </w:rPr>
        <w:t xml:space="preserve">areas covered by both natural </w:t>
      </w:r>
      <w:r w:rsidR="00DA525B" w:rsidRPr="0058434F">
        <w:rPr>
          <w:rFonts w:eastAsia="Times New Roman" w:cs="Times New Roman"/>
          <w:color w:val="595959" w:themeColor="text1" w:themeTint="A6"/>
          <w:sz w:val="21"/>
          <w:szCs w:val="21"/>
          <w:lang w:eastAsia="en-GB"/>
        </w:rPr>
        <w:t xml:space="preserve">vegetation and vegetation resulting from </w:t>
      </w:r>
      <w:r w:rsidR="0058434F" w:rsidRPr="0058434F">
        <w:rPr>
          <w:rFonts w:eastAsia="Times New Roman" w:cs="Times New Roman"/>
          <w:color w:val="595959" w:themeColor="text1" w:themeTint="A6"/>
          <w:sz w:val="21"/>
          <w:szCs w:val="21"/>
          <w:lang w:eastAsia="en-GB"/>
        </w:rPr>
        <w:t>anthropic activity</w:t>
      </w:r>
      <w:r w:rsidR="00DA525B" w:rsidRPr="0058434F">
        <w:rPr>
          <w:rFonts w:eastAsia="Times New Roman" w:cs="Times New Roman"/>
          <w:color w:val="595959" w:themeColor="text1" w:themeTint="A6"/>
          <w:sz w:val="21"/>
          <w:szCs w:val="21"/>
          <w:lang w:eastAsia="en-GB"/>
        </w:rPr>
        <w:t>. Non-green areas include</w:t>
      </w:r>
      <w:r w:rsidR="00A16166">
        <w:rPr>
          <w:rFonts w:eastAsia="Times New Roman" w:cs="Times New Roman"/>
          <w:color w:val="595959" w:themeColor="text1" w:themeTint="A6"/>
          <w:sz w:val="21"/>
          <w:szCs w:val="21"/>
          <w:lang w:eastAsia="en-GB"/>
        </w:rPr>
        <w:t xml:space="preserve"> non-vegetated areas such as</w:t>
      </w:r>
      <w:r w:rsidR="00DA525B" w:rsidRPr="0058434F">
        <w:rPr>
          <w:rFonts w:eastAsia="Times New Roman" w:cs="Times New Roman"/>
          <w:color w:val="595959" w:themeColor="text1" w:themeTint="A6"/>
          <w:sz w:val="21"/>
          <w:szCs w:val="21"/>
          <w:lang w:eastAsia="en-GB"/>
        </w:rPr>
        <w:t xml:space="preserve"> bare land</w:t>
      </w:r>
      <w:r w:rsidR="00A16166">
        <w:rPr>
          <w:rFonts w:eastAsia="Times New Roman" w:cs="Times New Roman"/>
          <w:color w:val="595959" w:themeColor="text1" w:themeTint="A6"/>
          <w:sz w:val="21"/>
          <w:szCs w:val="21"/>
          <w:lang w:eastAsia="en-GB"/>
        </w:rPr>
        <w:t xml:space="preserve">, water, permanent ice/snow, </w:t>
      </w:r>
      <w:r w:rsidR="00DA525B" w:rsidRPr="0058434F">
        <w:rPr>
          <w:rFonts w:eastAsia="Times New Roman" w:cs="Times New Roman"/>
          <w:color w:val="595959" w:themeColor="text1" w:themeTint="A6"/>
          <w:sz w:val="21"/>
          <w:szCs w:val="21"/>
          <w:lang w:eastAsia="en-GB"/>
        </w:rPr>
        <w:t>urban areas</w:t>
      </w:r>
      <w:r w:rsidR="00A16166">
        <w:rPr>
          <w:rFonts w:eastAsia="Times New Roman" w:cs="Times New Roman"/>
          <w:color w:val="595959" w:themeColor="text1" w:themeTint="A6"/>
          <w:sz w:val="21"/>
          <w:szCs w:val="21"/>
          <w:lang w:eastAsia="en-GB"/>
        </w:rPr>
        <w:t xml:space="preserve"> and sparsely vegetated areas</w:t>
      </w:r>
      <w:r w:rsidR="00DA525B" w:rsidRPr="0058434F">
        <w:rPr>
          <w:rFonts w:eastAsia="Times New Roman" w:cs="Times New Roman"/>
          <w:color w:val="595959" w:themeColor="text1" w:themeTint="A6"/>
          <w:sz w:val="21"/>
          <w:szCs w:val="21"/>
          <w:lang w:eastAsia="en-GB"/>
        </w:rPr>
        <w:t>.</w:t>
      </w:r>
      <w:r w:rsidR="0058434F">
        <w:rPr>
          <w:rFonts w:eastAsia="Times New Roman" w:cs="Times New Roman"/>
          <w:color w:val="595959" w:themeColor="text1" w:themeTint="A6"/>
          <w:sz w:val="21"/>
          <w:szCs w:val="21"/>
          <w:lang w:eastAsia="en-GB"/>
        </w:rPr>
        <w:t xml:space="preserve"> </w:t>
      </w:r>
      <w:r w:rsidR="0056660F">
        <w:rPr>
          <w:rFonts w:eastAsia="Times New Roman" w:cs="Times New Roman"/>
          <w:color w:val="595959" w:themeColor="text1" w:themeTint="A6"/>
          <w:sz w:val="21"/>
          <w:szCs w:val="21"/>
          <w:lang w:eastAsia="en-GB"/>
        </w:rPr>
        <w:t>In addition, land cover is</w:t>
      </w:r>
      <w:r w:rsidR="00DE5949" w:rsidRPr="007A613E">
        <w:rPr>
          <w:rFonts w:eastAsia="Times New Roman" w:cs="Times New Roman"/>
          <w:color w:val="595959" w:themeColor="text1" w:themeTint="A6"/>
          <w:sz w:val="21"/>
          <w:szCs w:val="21"/>
          <w:lang w:eastAsia="en-GB"/>
        </w:rPr>
        <w:t xml:space="preserve"> used</w:t>
      </w:r>
      <w:r w:rsidR="00DA6B1F" w:rsidRPr="007A613E">
        <w:rPr>
          <w:rFonts w:eastAsia="Times New Roman" w:cs="Times New Roman"/>
          <w:color w:val="595959" w:themeColor="text1" w:themeTint="A6"/>
          <w:sz w:val="21"/>
          <w:szCs w:val="21"/>
          <w:lang w:eastAsia="en-GB"/>
        </w:rPr>
        <w:t xml:space="preserve"> </w:t>
      </w:r>
      <w:r w:rsidR="00DA6B1F" w:rsidRPr="007A613E">
        <w:rPr>
          <w:color w:val="595959" w:themeColor="text1" w:themeTint="A6"/>
          <w:sz w:val="21"/>
          <w:szCs w:val="21"/>
        </w:rPr>
        <w:t>to disaggregate the indicator into</w:t>
      </w:r>
      <w:r w:rsidR="00994540">
        <w:rPr>
          <w:color w:val="595959" w:themeColor="text1" w:themeTint="A6"/>
          <w:sz w:val="21"/>
          <w:szCs w:val="21"/>
        </w:rPr>
        <w:t xml:space="preserve"> the 10</w:t>
      </w:r>
      <w:r w:rsidR="00DA6B1F" w:rsidRPr="007A613E">
        <w:rPr>
          <w:color w:val="595959" w:themeColor="text1" w:themeTint="A6"/>
          <w:sz w:val="21"/>
          <w:szCs w:val="21"/>
        </w:rPr>
        <w:t xml:space="preserve"> land cover classes</w:t>
      </w:r>
      <w:r w:rsidR="00994540">
        <w:rPr>
          <w:color w:val="595959" w:themeColor="text1" w:themeTint="A6"/>
          <w:sz w:val="21"/>
          <w:szCs w:val="21"/>
        </w:rPr>
        <w:t xml:space="preserve"> included in Table 2</w:t>
      </w:r>
      <w:r w:rsidR="00DA6B1F" w:rsidRPr="007A613E">
        <w:rPr>
          <w:color w:val="595959" w:themeColor="text1" w:themeTint="A6"/>
          <w:sz w:val="21"/>
          <w:szCs w:val="21"/>
        </w:rPr>
        <w:t>, thus increasing the indicator’s policy relevance.</w:t>
      </w:r>
    </w:p>
    <w:p w14:paraId="5A4AAB65" w14:textId="762D5588" w:rsidR="00DA6B1F" w:rsidRPr="006F2AB9" w:rsidRDefault="00DA6B1F" w:rsidP="006F2AB9">
      <w:pPr>
        <w:pStyle w:val="Default"/>
        <w:spacing w:line="276" w:lineRule="auto"/>
        <w:jc w:val="both"/>
        <w:rPr>
          <w:color w:val="595959" w:themeColor="text1" w:themeTint="A6"/>
          <w:sz w:val="21"/>
          <w:szCs w:val="21"/>
        </w:rPr>
      </w:pPr>
    </w:p>
    <w:p w14:paraId="3D9CA351" w14:textId="79F118C3" w:rsidR="00994540" w:rsidRPr="006F2AB9" w:rsidRDefault="00994540" w:rsidP="006F2AB9">
      <w:pPr>
        <w:pStyle w:val="Caption"/>
        <w:keepNext/>
        <w:spacing w:after="60" w:line="276" w:lineRule="auto"/>
        <w:rPr>
          <w:rFonts w:cstheme="minorHAnsi"/>
          <w:color w:val="595959" w:themeColor="text1" w:themeTint="A6"/>
        </w:rPr>
      </w:pPr>
      <w:r w:rsidRPr="006F2AB9">
        <w:rPr>
          <w:rFonts w:cstheme="minorHAnsi"/>
          <w:b/>
          <w:i w:val="0"/>
          <w:color w:val="595959" w:themeColor="text1" w:themeTint="A6"/>
        </w:rPr>
        <w:t xml:space="preserve">Table </w:t>
      </w:r>
      <w:r w:rsidR="00417DE8">
        <w:rPr>
          <w:rFonts w:cstheme="minorHAnsi"/>
          <w:b/>
          <w:i w:val="0"/>
          <w:color w:val="595959" w:themeColor="text1" w:themeTint="A6"/>
        </w:rPr>
        <w:t>3</w:t>
      </w:r>
      <w:r w:rsidRPr="006F2AB9">
        <w:rPr>
          <w:rFonts w:cstheme="minorHAnsi"/>
          <w:b/>
          <w:i w:val="0"/>
          <w:color w:val="595959" w:themeColor="text1" w:themeTint="A6"/>
        </w:rPr>
        <w:t xml:space="preserve">. </w:t>
      </w:r>
      <w:r w:rsidRPr="006F2AB9">
        <w:rPr>
          <w:rFonts w:cstheme="minorHAnsi"/>
          <w:i w:val="0"/>
          <w:color w:val="595959" w:themeColor="text1" w:themeTint="A6"/>
        </w:rPr>
        <w:t>Classification of SEEA land cover classes into green and non-green cover.</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5627"/>
        <w:gridCol w:w="3399"/>
      </w:tblGrid>
      <w:tr w:rsidR="0056660F" w:rsidRPr="0041526F" w14:paraId="7A9F6F7B" w14:textId="77777777" w:rsidTr="006F2AB9">
        <w:trPr>
          <w:trHeight w:val="341"/>
        </w:trPr>
        <w:tc>
          <w:tcPr>
            <w:tcW w:w="5627" w:type="dxa"/>
            <w:tcBorders>
              <w:top w:val="single" w:sz="12" w:space="0" w:color="auto"/>
              <w:bottom w:val="single" w:sz="12" w:space="0" w:color="auto"/>
            </w:tcBorders>
            <w:vAlign w:val="center"/>
          </w:tcPr>
          <w:p w14:paraId="3D3238E9" w14:textId="77777777" w:rsidR="00994540" w:rsidRPr="006F2AB9" w:rsidRDefault="00994540" w:rsidP="006F2AB9">
            <w:pPr>
              <w:spacing w:line="276" w:lineRule="auto"/>
              <w:jc w:val="both"/>
              <w:rPr>
                <w:rFonts w:cstheme="minorHAnsi"/>
                <w:b/>
                <w:color w:val="595959" w:themeColor="text1" w:themeTint="A6"/>
                <w:sz w:val="20"/>
                <w:szCs w:val="20"/>
                <w:shd w:val="clear" w:color="auto" w:fill="FFFFFF"/>
              </w:rPr>
            </w:pPr>
            <w:r w:rsidRPr="006F2AB9">
              <w:rPr>
                <w:rFonts w:cstheme="minorHAnsi"/>
                <w:b/>
                <w:color w:val="595959" w:themeColor="text1" w:themeTint="A6"/>
                <w:sz w:val="20"/>
                <w:szCs w:val="20"/>
                <w:shd w:val="clear" w:color="auto" w:fill="FFFFFF"/>
              </w:rPr>
              <w:t>SEEA land cover classes</w:t>
            </w:r>
          </w:p>
        </w:tc>
        <w:tc>
          <w:tcPr>
            <w:tcW w:w="3399" w:type="dxa"/>
            <w:tcBorders>
              <w:top w:val="single" w:sz="12" w:space="0" w:color="auto"/>
              <w:bottom w:val="single" w:sz="12" w:space="0" w:color="auto"/>
            </w:tcBorders>
            <w:vAlign w:val="center"/>
          </w:tcPr>
          <w:p w14:paraId="4ABE1E5B" w14:textId="77777777" w:rsidR="00994540" w:rsidRPr="006F2AB9" w:rsidRDefault="00994540" w:rsidP="006F2AB9">
            <w:pPr>
              <w:spacing w:line="276" w:lineRule="auto"/>
              <w:jc w:val="both"/>
              <w:rPr>
                <w:rFonts w:cstheme="minorHAnsi"/>
                <w:b/>
                <w:color w:val="595959" w:themeColor="text1" w:themeTint="A6"/>
                <w:sz w:val="20"/>
                <w:szCs w:val="20"/>
                <w:shd w:val="clear" w:color="auto" w:fill="FFFFFF"/>
              </w:rPr>
            </w:pPr>
            <w:r w:rsidRPr="006F2AB9">
              <w:rPr>
                <w:rFonts w:cstheme="minorHAnsi"/>
                <w:b/>
                <w:color w:val="595959" w:themeColor="text1" w:themeTint="A6"/>
                <w:sz w:val="20"/>
                <w:szCs w:val="20"/>
                <w:shd w:val="clear" w:color="auto" w:fill="FFFFFF"/>
              </w:rPr>
              <w:t>Green/Non-green</w:t>
            </w:r>
          </w:p>
        </w:tc>
      </w:tr>
      <w:tr w:rsidR="0056660F" w:rsidRPr="0041526F" w14:paraId="7EA92D52" w14:textId="77777777" w:rsidTr="003D511E">
        <w:tc>
          <w:tcPr>
            <w:tcW w:w="5627" w:type="dxa"/>
            <w:vAlign w:val="center"/>
          </w:tcPr>
          <w:p w14:paraId="7318C064"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Croplands</w:t>
            </w:r>
          </w:p>
        </w:tc>
        <w:tc>
          <w:tcPr>
            <w:tcW w:w="3399" w:type="dxa"/>
            <w:vAlign w:val="center"/>
          </w:tcPr>
          <w:p w14:paraId="1799B45E"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08D49EA9" w14:textId="77777777" w:rsidTr="003D511E">
        <w:tc>
          <w:tcPr>
            <w:tcW w:w="5627" w:type="dxa"/>
            <w:vAlign w:val="center"/>
          </w:tcPr>
          <w:p w14:paraId="3B3CA551"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Grasslands</w:t>
            </w:r>
          </w:p>
        </w:tc>
        <w:tc>
          <w:tcPr>
            <w:tcW w:w="3399" w:type="dxa"/>
            <w:vAlign w:val="center"/>
          </w:tcPr>
          <w:p w14:paraId="209ED817"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 xml:space="preserve">Green </w:t>
            </w:r>
          </w:p>
        </w:tc>
      </w:tr>
      <w:tr w:rsidR="0056660F" w:rsidRPr="0041526F" w14:paraId="54792AFD" w14:textId="77777777" w:rsidTr="003D511E">
        <w:tc>
          <w:tcPr>
            <w:tcW w:w="5627" w:type="dxa"/>
            <w:vAlign w:val="center"/>
          </w:tcPr>
          <w:p w14:paraId="5FD764A0"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Tree-covered areas</w:t>
            </w:r>
          </w:p>
        </w:tc>
        <w:tc>
          <w:tcPr>
            <w:tcW w:w="3399" w:type="dxa"/>
            <w:vAlign w:val="center"/>
          </w:tcPr>
          <w:p w14:paraId="653C46E8"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4E60C3BF" w14:textId="77777777" w:rsidTr="003D511E">
        <w:tc>
          <w:tcPr>
            <w:tcW w:w="5627" w:type="dxa"/>
            <w:vAlign w:val="center"/>
          </w:tcPr>
          <w:p w14:paraId="47731DA7"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Shrub-covered areas</w:t>
            </w:r>
          </w:p>
        </w:tc>
        <w:tc>
          <w:tcPr>
            <w:tcW w:w="3399" w:type="dxa"/>
            <w:vAlign w:val="center"/>
          </w:tcPr>
          <w:p w14:paraId="26455F2B"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5AFEA70F" w14:textId="77777777" w:rsidTr="003D511E">
        <w:tc>
          <w:tcPr>
            <w:tcW w:w="5627" w:type="dxa"/>
            <w:vAlign w:val="center"/>
          </w:tcPr>
          <w:p w14:paraId="71424908"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eastAsia="Times New Roman" w:cstheme="minorHAnsi"/>
                <w:color w:val="595959" w:themeColor="text1" w:themeTint="A6"/>
                <w:sz w:val="20"/>
                <w:szCs w:val="20"/>
              </w:rPr>
              <w:t>Shrubs and/or herbaceous vegetation, aquatic or regularly flooded</w:t>
            </w:r>
            <w:r w:rsidRPr="006F2AB9">
              <w:rPr>
                <w:rFonts w:eastAsia="Times New Roman" w:cstheme="minorHAnsi"/>
                <w:i/>
                <w:iCs/>
                <w:color w:val="595959" w:themeColor="text1" w:themeTint="A6"/>
                <w:sz w:val="20"/>
                <w:szCs w:val="20"/>
              </w:rPr>
              <w:t> </w:t>
            </w:r>
          </w:p>
        </w:tc>
        <w:tc>
          <w:tcPr>
            <w:tcW w:w="3399" w:type="dxa"/>
            <w:vAlign w:val="center"/>
          </w:tcPr>
          <w:p w14:paraId="16F89F29"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0ED83371" w14:textId="77777777" w:rsidTr="003D511E">
        <w:trPr>
          <w:trHeight w:val="296"/>
        </w:trPr>
        <w:tc>
          <w:tcPr>
            <w:tcW w:w="5627" w:type="dxa"/>
            <w:vAlign w:val="center"/>
          </w:tcPr>
          <w:p w14:paraId="46F352E7" w14:textId="783FD146" w:rsidR="0056660F" w:rsidRPr="006F2AB9" w:rsidRDefault="0056660F" w:rsidP="0056660F">
            <w:pPr>
              <w:jc w:val="both"/>
              <w:rPr>
                <w:rFonts w:eastAsia="Times New Roman" w:cstheme="minorHAnsi"/>
                <w:color w:val="595959" w:themeColor="text1" w:themeTint="A6"/>
                <w:sz w:val="20"/>
                <w:szCs w:val="20"/>
              </w:rPr>
            </w:pPr>
            <w:r>
              <w:rPr>
                <w:rFonts w:eastAsia="Times New Roman" w:cstheme="minorHAnsi"/>
                <w:color w:val="595959" w:themeColor="text1" w:themeTint="A6"/>
                <w:sz w:val="20"/>
                <w:szCs w:val="20"/>
              </w:rPr>
              <w:t>Artificial surfaces</w:t>
            </w:r>
          </w:p>
        </w:tc>
        <w:tc>
          <w:tcPr>
            <w:tcW w:w="3399" w:type="dxa"/>
            <w:vAlign w:val="center"/>
          </w:tcPr>
          <w:p w14:paraId="7FC049B2" w14:textId="27FCD0AA" w:rsidR="0056660F" w:rsidRPr="006F2AB9" w:rsidRDefault="0056660F" w:rsidP="0056660F">
            <w:pPr>
              <w:jc w:val="both"/>
              <w:rPr>
                <w:rFonts w:cstheme="minorHAnsi"/>
                <w:color w:val="595959" w:themeColor="text1" w:themeTint="A6"/>
                <w:sz w:val="20"/>
                <w:szCs w:val="20"/>
                <w:shd w:val="clear" w:color="auto" w:fill="FFFFFF"/>
              </w:rPr>
            </w:pPr>
            <w:r>
              <w:rPr>
                <w:rFonts w:cstheme="minorHAnsi"/>
                <w:color w:val="595959" w:themeColor="text1" w:themeTint="A6"/>
                <w:sz w:val="20"/>
                <w:szCs w:val="20"/>
                <w:shd w:val="clear" w:color="auto" w:fill="FFFFFF"/>
              </w:rPr>
              <w:t>Non-green</w:t>
            </w:r>
          </w:p>
        </w:tc>
      </w:tr>
      <w:tr w:rsidR="0056660F" w:rsidRPr="0041526F" w14:paraId="0C565C2A" w14:textId="77777777" w:rsidTr="003D511E">
        <w:trPr>
          <w:trHeight w:val="70"/>
        </w:trPr>
        <w:tc>
          <w:tcPr>
            <w:tcW w:w="5627" w:type="dxa"/>
            <w:vAlign w:val="center"/>
          </w:tcPr>
          <w:p w14:paraId="765BC901"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eastAsia="Times New Roman" w:cstheme="minorHAnsi"/>
                <w:color w:val="595959" w:themeColor="text1" w:themeTint="A6"/>
                <w:sz w:val="20"/>
                <w:szCs w:val="20"/>
              </w:rPr>
              <w:t>Sparsely natural vegetated areas</w:t>
            </w:r>
            <w:r w:rsidRPr="006F2AB9">
              <w:rPr>
                <w:rFonts w:eastAsia="Times New Roman" w:cstheme="minorHAnsi"/>
                <w:i/>
                <w:iCs/>
                <w:color w:val="595959" w:themeColor="text1" w:themeTint="A6"/>
                <w:sz w:val="20"/>
                <w:szCs w:val="20"/>
              </w:rPr>
              <w:t> </w:t>
            </w:r>
          </w:p>
        </w:tc>
        <w:tc>
          <w:tcPr>
            <w:tcW w:w="3399" w:type="dxa"/>
            <w:vAlign w:val="center"/>
          </w:tcPr>
          <w:p w14:paraId="3A3B3468"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r w:rsidR="0056660F" w:rsidRPr="0041526F" w14:paraId="5D39CCD2" w14:textId="77777777" w:rsidTr="003D511E">
        <w:tc>
          <w:tcPr>
            <w:tcW w:w="5627" w:type="dxa"/>
            <w:vAlign w:val="center"/>
          </w:tcPr>
          <w:p w14:paraId="681A7DB0"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lastRenderedPageBreak/>
              <w:t>Terrestrial barren land</w:t>
            </w:r>
          </w:p>
        </w:tc>
        <w:tc>
          <w:tcPr>
            <w:tcW w:w="3399" w:type="dxa"/>
            <w:vAlign w:val="center"/>
          </w:tcPr>
          <w:p w14:paraId="5B54BF3F"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r w:rsidR="0056660F" w:rsidRPr="0041526F" w14:paraId="790AF461" w14:textId="77777777" w:rsidTr="003D511E">
        <w:tc>
          <w:tcPr>
            <w:tcW w:w="5627" w:type="dxa"/>
            <w:tcBorders>
              <w:bottom w:val="single" w:sz="4" w:space="0" w:color="auto"/>
            </w:tcBorders>
            <w:vAlign w:val="center"/>
          </w:tcPr>
          <w:p w14:paraId="0D737493"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Permanent snow and glaciers</w:t>
            </w:r>
          </w:p>
        </w:tc>
        <w:tc>
          <w:tcPr>
            <w:tcW w:w="3399" w:type="dxa"/>
            <w:tcBorders>
              <w:bottom w:val="single" w:sz="4" w:space="0" w:color="auto"/>
            </w:tcBorders>
            <w:vAlign w:val="center"/>
          </w:tcPr>
          <w:p w14:paraId="214BEE8A"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r w:rsidR="0056660F" w:rsidRPr="0041526F" w14:paraId="23E75F41" w14:textId="77777777" w:rsidTr="003D511E">
        <w:tc>
          <w:tcPr>
            <w:tcW w:w="5627" w:type="dxa"/>
            <w:tcBorders>
              <w:bottom w:val="single" w:sz="12" w:space="0" w:color="auto"/>
            </w:tcBorders>
            <w:vAlign w:val="center"/>
          </w:tcPr>
          <w:p w14:paraId="344E1BAF"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Inland water bodies</w:t>
            </w:r>
          </w:p>
        </w:tc>
        <w:tc>
          <w:tcPr>
            <w:tcW w:w="3399" w:type="dxa"/>
            <w:tcBorders>
              <w:bottom w:val="single" w:sz="12" w:space="0" w:color="auto"/>
            </w:tcBorders>
            <w:vAlign w:val="center"/>
          </w:tcPr>
          <w:p w14:paraId="3388D886"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bl>
    <w:p w14:paraId="59F961D8" w14:textId="4F2B7E73" w:rsidR="0056660F" w:rsidRDefault="0056660F" w:rsidP="006F2AB9">
      <w:pPr>
        <w:autoSpaceDE w:val="0"/>
        <w:autoSpaceDN w:val="0"/>
        <w:adjustRightInd w:val="0"/>
        <w:spacing w:after="120"/>
        <w:jc w:val="both"/>
        <w:rPr>
          <w:rFonts w:ascii="Calibri" w:hAnsi="Calibri" w:cs="Calibri"/>
          <w:color w:val="595959" w:themeColor="text1" w:themeTint="A6"/>
          <w:sz w:val="21"/>
          <w:szCs w:val="21"/>
          <w:lang w:val="en-US"/>
        </w:rPr>
      </w:pPr>
    </w:p>
    <w:p w14:paraId="6584F3A7" w14:textId="700CB807" w:rsidR="00FB1AD0" w:rsidRDefault="00220790" w:rsidP="006F2AB9">
      <w:pPr>
        <w:autoSpaceDE w:val="0"/>
        <w:autoSpaceDN w:val="0"/>
        <w:adjustRightInd w:val="0"/>
        <w:spacing w:after="0"/>
        <w:jc w:val="both"/>
        <w:rPr>
          <w:color w:val="595959" w:themeColor="text1" w:themeTint="A6"/>
          <w:sz w:val="21"/>
          <w:szCs w:val="21"/>
        </w:rPr>
      </w:pPr>
      <w:r>
        <w:rPr>
          <w:rFonts w:eastAsia="Times New Roman" w:cstheme="minorHAnsi"/>
          <w:color w:val="595959" w:themeColor="text1" w:themeTint="A6"/>
          <w:sz w:val="21"/>
          <w:szCs w:val="21"/>
          <w:lang w:eastAsia="en-GB"/>
        </w:rPr>
        <w:t>In sub-indicator 15.4.2b</w:t>
      </w:r>
      <w:r w:rsidR="0058434F" w:rsidRPr="006F2AB9">
        <w:rPr>
          <w:rFonts w:eastAsia="Times New Roman" w:cstheme="minorHAnsi"/>
          <w:color w:val="595959" w:themeColor="text1" w:themeTint="A6"/>
          <w:sz w:val="21"/>
          <w:szCs w:val="21"/>
          <w:lang w:eastAsia="en-GB"/>
        </w:rPr>
        <w:t xml:space="preserve">, land cover is used to </w:t>
      </w:r>
      <w:r w:rsidR="00A16166" w:rsidRPr="006F2AB9">
        <w:rPr>
          <w:rFonts w:eastAsia="Times New Roman" w:cstheme="minorHAnsi"/>
          <w:color w:val="595959" w:themeColor="text1" w:themeTint="A6"/>
          <w:sz w:val="21"/>
          <w:szCs w:val="21"/>
          <w:lang w:eastAsia="en-GB"/>
        </w:rPr>
        <w:t xml:space="preserve">identify areas where </w:t>
      </w:r>
      <w:r w:rsidR="00A16166" w:rsidRPr="006F2AB9">
        <w:rPr>
          <w:rFonts w:cstheme="minorHAnsi"/>
          <w:color w:val="595959" w:themeColor="text1" w:themeTint="A6"/>
          <w:sz w:val="21"/>
          <w:szCs w:val="21"/>
        </w:rPr>
        <w:t xml:space="preserve">changes in </w:t>
      </w:r>
      <w:r w:rsidR="00161CA9" w:rsidRPr="006F2AB9">
        <w:rPr>
          <w:rFonts w:cstheme="minorHAnsi"/>
          <w:color w:val="595959" w:themeColor="text1" w:themeTint="A6"/>
          <w:sz w:val="21"/>
          <w:szCs w:val="21"/>
        </w:rPr>
        <w:t xml:space="preserve">the type of </w:t>
      </w:r>
      <w:r w:rsidR="00A16166" w:rsidRPr="006F2AB9">
        <w:rPr>
          <w:rFonts w:cstheme="minorHAnsi"/>
          <w:color w:val="595959" w:themeColor="text1" w:themeTint="A6"/>
          <w:sz w:val="21"/>
          <w:szCs w:val="21"/>
        </w:rPr>
        <w:t xml:space="preserve">land cover </w:t>
      </w:r>
      <w:r w:rsidR="00161CA9" w:rsidRPr="006F2AB9">
        <w:rPr>
          <w:rFonts w:cstheme="minorHAnsi"/>
          <w:color w:val="595959" w:themeColor="text1" w:themeTint="A6"/>
          <w:sz w:val="21"/>
          <w:szCs w:val="21"/>
        </w:rPr>
        <w:t xml:space="preserve">(land cover transitions) </w:t>
      </w:r>
      <w:r w:rsidR="00A16166" w:rsidRPr="006F2AB9">
        <w:rPr>
          <w:rFonts w:cstheme="minorHAnsi"/>
          <w:color w:val="595959" w:themeColor="text1" w:themeTint="A6"/>
          <w:sz w:val="21"/>
          <w:szCs w:val="21"/>
        </w:rPr>
        <w:t xml:space="preserve">may indicate a decline or loss of biodiversity, </w:t>
      </w:r>
      <w:r w:rsidR="00EE175D">
        <w:rPr>
          <w:rFonts w:cstheme="minorHAnsi"/>
          <w:color w:val="595959" w:themeColor="text1" w:themeTint="A6"/>
          <w:sz w:val="21"/>
          <w:szCs w:val="21"/>
        </w:rPr>
        <w:t>mountain ecosystem functions or</w:t>
      </w:r>
      <w:r w:rsidR="00A16166" w:rsidRPr="006F2AB9">
        <w:rPr>
          <w:rFonts w:cstheme="minorHAnsi"/>
          <w:color w:val="595959" w:themeColor="text1" w:themeTint="A6"/>
          <w:sz w:val="21"/>
          <w:szCs w:val="21"/>
        </w:rPr>
        <w:t xml:space="preserve"> services </w:t>
      </w:r>
      <w:r w:rsidR="00A16166" w:rsidRPr="00500D30">
        <w:rPr>
          <w:rFonts w:cstheme="minorHAnsi"/>
          <w:color w:val="595959" w:themeColor="text1" w:themeTint="A6"/>
          <w:sz w:val="21"/>
          <w:szCs w:val="21"/>
        </w:rPr>
        <w:t>that are considered desirable</w:t>
      </w:r>
      <w:r w:rsidR="00DA6B1F" w:rsidRPr="00500D30">
        <w:rPr>
          <w:rFonts w:cstheme="minorHAnsi"/>
          <w:color w:val="595959" w:themeColor="text1" w:themeTint="A6"/>
          <w:sz w:val="21"/>
          <w:szCs w:val="21"/>
        </w:rPr>
        <w:t xml:space="preserve"> in a local or national context. </w:t>
      </w:r>
      <w:r w:rsidR="00161CA9" w:rsidRPr="00500D30">
        <w:rPr>
          <w:rFonts w:cstheme="minorHAnsi"/>
          <w:color w:val="595959" w:themeColor="text1" w:themeTint="A6"/>
          <w:sz w:val="21"/>
          <w:szCs w:val="21"/>
        </w:rPr>
        <w:t xml:space="preserve">A </w:t>
      </w:r>
      <w:r w:rsidR="00161CA9" w:rsidRPr="0041526F">
        <w:rPr>
          <w:rFonts w:cstheme="minorHAnsi"/>
          <w:color w:val="595959" w:themeColor="text1" w:themeTint="A6"/>
          <w:sz w:val="21"/>
          <w:szCs w:val="21"/>
          <w:lang w:val="en-US"/>
        </w:rPr>
        <w:t xml:space="preserve">transition that indicates a decline or loss of biodiversity and mountain ecosystem services of the land is considered degradation. </w:t>
      </w:r>
      <w:r w:rsidR="00DA6B1F" w:rsidRPr="0041526F">
        <w:rPr>
          <w:rFonts w:cstheme="minorHAnsi"/>
          <w:color w:val="595959" w:themeColor="text1" w:themeTint="A6"/>
          <w:sz w:val="21"/>
          <w:szCs w:val="21"/>
        </w:rPr>
        <w:t>The definition of land cover transitions</w:t>
      </w:r>
      <w:r w:rsidR="00CA14BD" w:rsidRPr="0041526F">
        <w:rPr>
          <w:rFonts w:cstheme="minorHAnsi"/>
          <w:color w:val="595959" w:themeColor="text1" w:themeTint="A6"/>
          <w:sz w:val="21"/>
          <w:szCs w:val="21"/>
        </w:rPr>
        <w:t xml:space="preserve"> </w:t>
      </w:r>
      <w:r w:rsidR="00CA14BD" w:rsidRPr="006F2AB9">
        <w:rPr>
          <w:color w:val="595959" w:themeColor="text1" w:themeTint="A6"/>
          <w:sz w:val="21"/>
          <w:szCs w:val="21"/>
        </w:rPr>
        <w:t>is documented in a transition matrix that specifies the land cover changes occurring in a given land unit (pixel) as being either degradation, imp</w:t>
      </w:r>
      <w:r w:rsidR="00AF504F">
        <w:rPr>
          <w:color w:val="595959" w:themeColor="text1" w:themeTint="A6"/>
          <w:sz w:val="21"/>
          <w:szCs w:val="21"/>
        </w:rPr>
        <w:t>rovement or neutral transitions</w:t>
      </w:r>
      <w:r w:rsidR="00FB1AD0">
        <w:rPr>
          <w:color w:val="595959" w:themeColor="text1" w:themeTint="A6"/>
          <w:sz w:val="21"/>
          <w:szCs w:val="21"/>
        </w:rPr>
        <w:t>.</w:t>
      </w:r>
    </w:p>
    <w:p w14:paraId="0490B4C3" w14:textId="77777777" w:rsidR="00791635" w:rsidRPr="006F2AB9" w:rsidRDefault="00791635" w:rsidP="006F2AB9">
      <w:pPr>
        <w:autoSpaceDE w:val="0"/>
        <w:autoSpaceDN w:val="0"/>
        <w:adjustRightInd w:val="0"/>
        <w:spacing w:after="0"/>
        <w:jc w:val="both"/>
        <w:rPr>
          <w:rFonts w:cstheme="minorHAnsi"/>
          <w:color w:val="595959" w:themeColor="text1" w:themeTint="A6"/>
          <w:sz w:val="21"/>
          <w:szCs w:val="21"/>
          <w:lang w:val="en-US"/>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22ECF36" w14:textId="6A1553E2" w:rsidR="008D476D" w:rsidRPr="008D476D" w:rsidRDefault="007047E5" w:rsidP="00576CFA">
      <w:pPr>
        <w:pStyle w:val="MText"/>
      </w:pPr>
      <w:r>
        <w:t>B</w:t>
      </w:r>
      <w:r w:rsidR="00AF504F">
        <w:t>oth sub-indicators</w:t>
      </w:r>
      <w:r>
        <w:t xml:space="preserve"> will be expressed as proportions (percent) and area (KM2)</w:t>
      </w:r>
      <w:r w:rsidR="00AF504F">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C4C3F25" w14:textId="0BADE758" w:rsidR="00AF504F" w:rsidRPr="0041526F" w:rsidRDefault="00524427" w:rsidP="00632555">
      <w:pPr>
        <w:pStyle w:val="MText"/>
        <w:jc w:val="both"/>
        <w:rPr>
          <w:color w:val="595959" w:themeColor="text1" w:themeTint="A6"/>
        </w:rPr>
      </w:pPr>
      <w:r w:rsidRPr="0041526F">
        <w:rPr>
          <w:color w:val="595959" w:themeColor="text1" w:themeTint="A6"/>
        </w:rPr>
        <w:t>This indicator uses two established classifications</w:t>
      </w:r>
      <w:r w:rsidR="00632555" w:rsidRPr="0041526F">
        <w:rPr>
          <w:color w:val="595959" w:themeColor="text1" w:themeTint="A6"/>
        </w:rPr>
        <w:t>: (1)</w:t>
      </w:r>
      <w:r w:rsidR="00AF504F" w:rsidRPr="0041526F">
        <w:rPr>
          <w:color w:val="595959" w:themeColor="text1" w:themeTint="A6"/>
        </w:rPr>
        <w:t xml:space="preserve"> the simplified UN-SEEA land cover classification included in Table 2, and (2) the mountain bioclimatic belt classification established by Körner </w:t>
      </w:r>
      <w:r w:rsidR="00AF504F" w:rsidRPr="0041526F">
        <w:rPr>
          <w:i/>
          <w:iCs/>
          <w:color w:val="595959" w:themeColor="text1" w:themeTint="A6"/>
        </w:rPr>
        <w:t xml:space="preserve">et al. </w:t>
      </w:r>
      <w:r w:rsidR="00EE175D">
        <w:rPr>
          <w:color w:val="595959" w:themeColor="text1" w:themeTint="A6"/>
        </w:rPr>
        <w:t>(2011). The latter is used for data disaggregation only.</w:t>
      </w:r>
    </w:p>
    <w:p w14:paraId="509D52E3" w14:textId="77777777" w:rsidR="00AF504F" w:rsidRPr="0041526F" w:rsidRDefault="00AF504F" w:rsidP="00632555">
      <w:pPr>
        <w:pStyle w:val="MText"/>
        <w:jc w:val="both"/>
        <w:rPr>
          <w:color w:val="595959" w:themeColor="text1" w:themeTint="A6"/>
        </w:rPr>
      </w:pPr>
    </w:p>
    <w:p w14:paraId="0EA6EF92" w14:textId="094C4AEF" w:rsidR="00AF504F" w:rsidRPr="0041526F" w:rsidRDefault="00AF504F" w:rsidP="00632555">
      <w:pPr>
        <w:pStyle w:val="MText"/>
        <w:jc w:val="both"/>
        <w:rPr>
          <w:color w:val="595959" w:themeColor="text1" w:themeTint="A6"/>
        </w:rPr>
      </w:pPr>
      <w:r w:rsidRPr="0041526F">
        <w:rPr>
          <w:color w:val="595959" w:themeColor="text1" w:themeTint="A6"/>
        </w:rPr>
        <w:t xml:space="preserve">Körner </w:t>
      </w:r>
      <w:r w:rsidRPr="0041526F">
        <w:rPr>
          <w:i/>
          <w:iCs/>
          <w:color w:val="595959" w:themeColor="text1" w:themeTint="A6"/>
        </w:rPr>
        <w:t xml:space="preserve">et al. </w:t>
      </w:r>
      <w:r w:rsidRPr="0041526F">
        <w:rPr>
          <w:color w:val="595959" w:themeColor="text1" w:themeTint="A6"/>
        </w:rPr>
        <w:t>(2011) subdiv</w:t>
      </w:r>
      <w:r w:rsidR="007C4627">
        <w:rPr>
          <w:color w:val="595959" w:themeColor="text1" w:themeTint="A6"/>
        </w:rPr>
        <w:t>ides mountains vertically into seven</w:t>
      </w:r>
      <w:r w:rsidRPr="0041526F">
        <w:rPr>
          <w:color w:val="595959" w:themeColor="text1" w:themeTint="A6"/>
        </w:rPr>
        <w:t xml:space="preserve"> bioclimatic belts based on average temperatures, therefore accounting</w:t>
      </w:r>
      <w:r w:rsidR="002F466C">
        <w:rPr>
          <w:color w:val="595959" w:themeColor="text1" w:themeTint="A6"/>
        </w:rPr>
        <w:t xml:space="preserve"> for</w:t>
      </w:r>
      <w:r w:rsidRPr="0041526F">
        <w:rPr>
          <w:color w:val="595959" w:themeColor="text1" w:themeTint="A6"/>
        </w:rPr>
        <w:t xml:space="preserve"> the latitudinal change in elevation of thermally similar areas</w:t>
      </w:r>
      <w:r w:rsidR="00A10A3C">
        <w:rPr>
          <w:color w:val="595959" w:themeColor="text1" w:themeTint="A6"/>
        </w:rPr>
        <w:t xml:space="preserve"> in the world’s mountains</w:t>
      </w:r>
      <w:r w:rsidRPr="0041526F">
        <w:rPr>
          <w:color w:val="595959" w:themeColor="text1" w:themeTint="A6"/>
        </w:rPr>
        <w:t>. For the pur</w:t>
      </w:r>
      <w:r w:rsidR="007C4627">
        <w:rPr>
          <w:color w:val="595959" w:themeColor="text1" w:themeTint="A6"/>
        </w:rPr>
        <w:t>poses of this indicator, these seven</w:t>
      </w:r>
      <w:r w:rsidRPr="0041526F">
        <w:rPr>
          <w:color w:val="595959" w:themeColor="text1" w:themeTint="A6"/>
        </w:rPr>
        <w:t xml:space="preserve"> bioclimatic</w:t>
      </w:r>
      <w:r w:rsidR="007C4627">
        <w:rPr>
          <w:color w:val="595959" w:themeColor="text1" w:themeTint="A6"/>
        </w:rPr>
        <w:t xml:space="preserve"> belts </w:t>
      </w:r>
      <w:r w:rsidR="00EE175D">
        <w:rPr>
          <w:color w:val="595959" w:themeColor="text1" w:themeTint="A6"/>
        </w:rPr>
        <w:t>are</w:t>
      </w:r>
      <w:r w:rsidR="007C4627">
        <w:rPr>
          <w:color w:val="595959" w:themeColor="text1" w:themeTint="A6"/>
        </w:rPr>
        <w:t xml:space="preserve"> aggregated into four</w:t>
      </w:r>
      <w:r w:rsidRPr="0041526F">
        <w:rPr>
          <w:color w:val="595959" w:themeColor="text1" w:themeTint="A6"/>
        </w:rPr>
        <w:t xml:space="preserve"> (Nival, Alpine, Montane and Remaining mountain areas)</w:t>
      </w:r>
      <w:r w:rsidR="00AE0A0F" w:rsidRPr="0041526F">
        <w:rPr>
          <w:color w:val="595959" w:themeColor="text1" w:themeTint="A6"/>
        </w:rPr>
        <w:t>, as illustrated in Table 4.</w:t>
      </w:r>
    </w:p>
    <w:p w14:paraId="2CAAFC68" w14:textId="77777777" w:rsidR="00AF504F" w:rsidRPr="0041526F" w:rsidRDefault="00AF504F" w:rsidP="0041526F">
      <w:pPr>
        <w:pStyle w:val="MText"/>
        <w:spacing w:after="60"/>
        <w:jc w:val="both"/>
        <w:rPr>
          <w:color w:val="595959" w:themeColor="text1" w:themeTint="A6"/>
        </w:rPr>
      </w:pPr>
    </w:p>
    <w:p w14:paraId="421575E0" w14:textId="63C54DC7" w:rsidR="00AE0A0F" w:rsidRPr="0041526F" w:rsidRDefault="00AE0A0F" w:rsidP="00AE0A0F">
      <w:pPr>
        <w:pStyle w:val="Caption"/>
        <w:keepNext/>
        <w:spacing w:after="120"/>
        <w:jc w:val="both"/>
        <w:rPr>
          <w:rFonts w:cstheme="minorHAnsi"/>
          <w:i w:val="0"/>
          <w:color w:val="595959" w:themeColor="text1" w:themeTint="A6"/>
        </w:rPr>
      </w:pPr>
      <w:r w:rsidRPr="0041526F">
        <w:rPr>
          <w:rFonts w:cstheme="minorHAnsi"/>
          <w:b/>
          <w:i w:val="0"/>
          <w:color w:val="595959" w:themeColor="text1" w:themeTint="A6"/>
        </w:rPr>
        <w:t xml:space="preserve">Table </w:t>
      </w:r>
      <w:r w:rsidR="00417DE8">
        <w:rPr>
          <w:rFonts w:cstheme="minorHAnsi"/>
          <w:b/>
          <w:i w:val="0"/>
          <w:color w:val="595959" w:themeColor="text1" w:themeTint="A6"/>
        </w:rPr>
        <w:t>4</w:t>
      </w:r>
      <w:r w:rsidR="00104DA0">
        <w:rPr>
          <w:rFonts w:cstheme="minorHAnsi"/>
          <w:b/>
          <w:i w:val="0"/>
          <w:color w:val="595959" w:themeColor="text1" w:themeTint="A6"/>
        </w:rPr>
        <w:t>.</w:t>
      </w:r>
      <w:r w:rsidRPr="0041526F">
        <w:rPr>
          <w:rFonts w:cstheme="minorHAnsi"/>
          <w:b/>
          <w:i w:val="0"/>
          <w:color w:val="595959" w:themeColor="text1" w:themeTint="A6"/>
        </w:rPr>
        <w:t xml:space="preserve"> </w:t>
      </w:r>
      <w:r w:rsidRPr="0041526F">
        <w:rPr>
          <w:rFonts w:cstheme="minorHAnsi"/>
          <w:i w:val="0"/>
          <w:color w:val="595959" w:themeColor="text1" w:themeTint="A6"/>
        </w:rPr>
        <w:t xml:space="preserve">Mountain </w:t>
      </w:r>
      <w:r w:rsidR="00EE175D">
        <w:rPr>
          <w:rFonts w:cstheme="minorHAnsi"/>
          <w:i w:val="0"/>
          <w:color w:val="595959" w:themeColor="text1" w:themeTint="A6"/>
        </w:rPr>
        <w:t>bioclimatic</w:t>
      </w:r>
      <w:r w:rsidRPr="0041526F">
        <w:rPr>
          <w:rFonts w:cstheme="minorHAnsi"/>
          <w:i w:val="0"/>
          <w:color w:val="595959" w:themeColor="text1" w:themeTint="A6"/>
        </w:rPr>
        <w:t xml:space="preserve"> belts as defined by </w:t>
      </w:r>
      <w:r w:rsidRPr="0041526F">
        <w:rPr>
          <w:rFonts w:cstheme="minorHAnsi"/>
          <w:i w:val="0"/>
          <w:color w:val="595959" w:themeColor="text1" w:themeTint="A6"/>
          <w:shd w:val="clear" w:color="auto" w:fill="FFFFFF"/>
        </w:rPr>
        <w:t xml:space="preserve">Körner </w:t>
      </w:r>
      <w:r w:rsidRPr="0041526F">
        <w:rPr>
          <w:rFonts w:cstheme="minorHAnsi"/>
          <w:color w:val="595959" w:themeColor="text1" w:themeTint="A6"/>
          <w:shd w:val="clear" w:color="auto" w:fill="FFFFFF"/>
        </w:rPr>
        <w:t>et al.</w:t>
      </w:r>
      <w:r w:rsidRPr="0041526F">
        <w:rPr>
          <w:rFonts w:cstheme="minorHAnsi"/>
          <w:i w:val="0"/>
          <w:color w:val="595959" w:themeColor="text1" w:themeTint="A6"/>
          <w:shd w:val="clear" w:color="auto" w:fill="FFFFFF"/>
        </w:rPr>
        <w:t xml:space="preserve"> (2011) and reclassification</w:t>
      </w:r>
      <w:r w:rsidR="004730CD">
        <w:rPr>
          <w:rFonts w:cstheme="minorHAnsi"/>
          <w:i w:val="0"/>
          <w:color w:val="595959" w:themeColor="text1" w:themeTint="A6"/>
          <w:shd w:val="clear" w:color="auto" w:fill="FFFFFF"/>
        </w:rPr>
        <w:t xml:space="preserve"> for data</w:t>
      </w:r>
      <w:r w:rsidR="004730CD" w:rsidRPr="00500D30">
        <w:rPr>
          <w:rFonts w:cstheme="minorHAnsi"/>
          <w:i w:val="0"/>
          <w:color w:val="595959" w:themeColor="text1" w:themeTint="A6"/>
          <w:shd w:val="clear" w:color="auto" w:fill="FFFFFF"/>
        </w:rPr>
        <w:t xml:space="preserve"> disaggregation of</w:t>
      </w:r>
      <w:r w:rsidRPr="0041526F">
        <w:rPr>
          <w:rFonts w:cstheme="minorHAnsi"/>
          <w:i w:val="0"/>
          <w:color w:val="595959" w:themeColor="text1" w:themeTint="A6"/>
          <w:shd w:val="clear" w:color="auto" w:fill="FFFFFF"/>
        </w:rPr>
        <w:t xml:space="preserve"> SDG Indicator 15.4.2. Growing season is defined as the number of days between </w:t>
      </w:r>
      <w:r w:rsidRPr="0041526F">
        <w:rPr>
          <w:rFonts w:cstheme="minorHAnsi"/>
          <w:i w:val="0"/>
          <w:color w:val="595959" w:themeColor="text1" w:themeTint="A6"/>
        </w:rPr>
        <w:t>daily mean temperature exceeds 0.9 °C then falls below 0.9 °C</w:t>
      </w:r>
    </w:p>
    <w:tbl>
      <w:tblPr>
        <w:tblStyle w:val="TableGrid"/>
        <w:tblW w:w="8995" w:type="dxa"/>
        <w:jc w:val="center"/>
        <w:tblLook w:val="04A0" w:firstRow="1" w:lastRow="0" w:firstColumn="1" w:lastColumn="0" w:noHBand="0" w:noVBand="1"/>
      </w:tblPr>
      <w:tblGrid>
        <w:gridCol w:w="2970"/>
        <w:gridCol w:w="1620"/>
        <w:gridCol w:w="1980"/>
        <w:gridCol w:w="2425"/>
      </w:tblGrid>
      <w:tr w:rsidR="00AE0A0F" w:rsidRPr="0041526F" w14:paraId="773207C9" w14:textId="77777777" w:rsidTr="0041526F">
        <w:trPr>
          <w:trHeight w:val="341"/>
          <w:jc w:val="center"/>
        </w:trPr>
        <w:tc>
          <w:tcPr>
            <w:tcW w:w="2970" w:type="dxa"/>
            <w:tcBorders>
              <w:top w:val="single" w:sz="12" w:space="0" w:color="auto"/>
              <w:left w:val="nil"/>
              <w:bottom w:val="single" w:sz="12" w:space="0" w:color="auto"/>
              <w:right w:val="single" w:sz="4" w:space="0" w:color="auto"/>
            </w:tcBorders>
            <w:vAlign w:val="center"/>
            <w:hideMark/>
          </w:tcPr>
          <w:p w14:paraId="4C57F01C" w14:textId="77777777" w:rsidR="00AE0A0F" w:rsidRPr="0041526F" w:rsidRDefault="00AE0A0F" w:rsidP="00500D30">
            <w:pPr>
              <w:jc w:val="center"/>
              <w:rPr>
                <w:rFonts w:cstheme="minorHAnsi"/>
                <w:b/>
                <w:color w:val="595959" w:themeColor="text1" w:themeTint="A6"/>
                <w:sz w:val="20"/>
                <w:szCs w:val="20"/>
                <w:shd w:val="clear" w:color="auto" w:fill="FFFFFF"/>
              </w:rPr>
            </w:pPr>
            <w:r w:rsidRPr="0041526F">
              <w:rPr>
                <w:rFonts w:cstheme="minorHAnsi"/>
                <w:b/>
                <w:color w:val="595959" w:themeColor="text1" w:themeTint="A6"/>
                <w:sz w:val="20"/>
                <w:szCs w:val="20"/>
                <w:shd w:val="clear" w:color="auto" w:fill="FFFFFF"/>
              </w:rPr>
              <w:t>Bioclimatic belts</w:t>
            </w:r>
          </w:p>
        </w:tc>
        <w:tc>
          <w:tcPr>
            <w:tcW w:w="1620" w:type="dxa"/>
            <w:tcBorders>
              <w:top w:val="single" w:sz="12" w:space="0" w:color="auto"/>
              <w:left w:val="single" w:sz="4" w:space="0" w:color="auto"/>
              <w:bottom w:val="single" w:sz="12" w:space="0" w:color="auto"/>
              <w:right w:val="single" w:sz="4" w:space="0" w:color="auto"/>
            </w:tcBorders>
            <w:vAlign w:val="center"/>
            <w:hideMark/>
          </w:tcPr>
          <w:p w14:paraId="64A344ED" w14:textId="77777777" w:rsidR="00AE0A0F" w:rsidRPr="0041526F" w:rsidRDefault="00AE0A0F" w:rsidP="00500D30">
            <w:pPr>
              <w:autoSpaceDE w:val="0"/>
              <w:autoSpaceDN w:val="0"/>
              <w:adjustRightInd w:val="0"/>
              <w:jc w:val="center"/>
              <w:rPr>
                <w:rFonts w:cstheme="minorHAnsi"/>
                <w:b/>
                <w:color w:val="595959" w:themeColor="text1" w:themeTint="A6"/>
                <w:sz w:val="20"/>
                <w:szCs w:val="20"/>
              </w:rPr>
            </w:pPr>
            <w:r w:rsidRPr="0041526F">
              <w:rPr>
                <w:rFonts w:cstheme="minorHAnsi"/>
                <w:b/>
                <w:color w:val="595959" w:themeColor="text1" w:themeTint="A6"/>
                <w:sz w:val="20"/>
                <w:szCs w:val="20"/>
              </w:rPr>
              <w:t>Growing season mean temperature</w:t>
            </w:r>
          </w:p>
        </w:tc>
        <w:tc>
          <w:tcPr>
            <w:tcW w:w="1980" w:type="dxa"/>
            <w:tcBorders>
              <w:top w:val="single" w:sz="12" w:space="0" w:color="auto"/>
              <w:left w:val="single" w:sz="4" w:space="0" w:color="auto"/>
              <w:bottom w:val="single" w:sz="12" w:space="0" w:color="auto"/>
              <w:right w:val="nil"/>
            </w:tcBorders>
            <w:vAlign w:val="center"/>
            <w:hideMark/>
          </w:tcPr>
          <w:p w14:paraId="6698215F" w14:textId="77777777" w:rsidR="00AE0A0F" w:rsidRPr="0041526F" w:rsidRDefault="00AE0A0F" w:rsidP="00500D30">
            <w:pPr>
              <w:autoSpaceDE w:val="0"/>
              <w:autoSpaceDN w:val="0"/>
              <w:adjustRightInd w:val="0"/>
              <w:jc w:val="center"/>
              <w:rPr>
                <w:rFonts w:cstheme="minorHAnsi"/>
                <w:b/>
                <w:color w:val="595959" w:themeColor="text1" w:themeTint="A6"/>
                <w:sz w:val="20"/>
                <w:szCs w:val="20"/>
              </w:rPr>
            </w:pPr>
            <w:r w:rsidRPr="0041526F">
              <w:rPr>
                <w:rFonts w:cstheme="minorHAnsi"/>
                <w:b/>
                <w:color w:val="595959" w:themeColor="text1" w:themeTint="A6"/>
                <w:sz w:val="20"/>
                <w:szCs w:val="20"/>
              </w:rPr>
              <w:t>Growing season length</w:t>
            </w:r>
          </w:p>
        </w:tc>
        <w:tc>
          <w:tcPr>
            <w:tcW w:w="2425" w:type="dxa"/>
            <w:tcBorders>
              <w:top w:val="single" w:sz="12" w:space="0" w:color="auto"/>
              <w:left w:val="single" w:sz="4" w:space="0" w:color="auto"/>
              <w:bottom w:val="single" w:sz="12" w:space="0" w:color="auto"/>
              <w:right w:val="nil"/>
            </w:tcBorders>
            <w:vAlign w:val="center"/>
          </w:tcPr>
          <w:p w14:paraId="75451B37" w14:textId="77777777" w:rsidR="00AE0A0F" w:rsidRPr="0041526F" w:rsidRDefault="00AE0A0F" w:rsidP="00500D30">
            <w:pPr>
              <w:autoSpaceDE w:val="0"/>
              <w:autoSpaceDN w:val="0"/>
              <w:adjustRightInd w:val="0"/>
              <w:jc w:val="center"/>
              <w:rPr>
                <w:rFonts w:cstheme="minorHAnsi"/>
                <w:b/>
                <w:color w:val="595959" w:themeColor="text1" w:themeTint="A6"/>
                <w:sz w:val="20"/>
                <w:szCs w:val="20"/>
              </w:rPr>
            </w:pPr>
            <w:r w:rsidRPr="0041526F">
              <w:rPr>
                <w:rFonts w:cstheme="minorHAnsi"/>
                <w:b/>
                <w:color w:val="595959" w:themeColor="text1" w:themeTint="A6"/>
                <w:sz w:val="20"/>
                <w:szCs w:val="20"/>
              </w:rPr>
              <w:t>Bioclimatic belts adopted for SDG Indicator 15.4.2</w:t>
            </w:r>
          </w:p>
        </w:tc>
      </w:tr>
      <w:tr w:rsidR="00AE0A0F" w:rsidRPr="0041526F" w14:paraId="0A7D03D4" w14:textId="77777777" w:rsidTr="0041526F">
        <w:trPr>
          <w:trHeight w:val="366"/>
          <w:jc w:val="center"/>
        </w:trPr>
        <w:tc>
          <w:tcPr>
            <w:tcW w:w="2970" w:type="dxa"/>
            <w:tcBorders>
              <w:top w:val="single" w:sz="12" w:space="0" w:color="auto"/>
              <w:left w:val="nil"/>
              <w:bottom w:val="single" w:sz="4" w:space="0" w:color="auto"/>
              <w:right w:val="single" w:sz="4" w:space="0" w:color="auto"/>
            </w:tcBorders>
            <w:vAlign w:val="center"/>
            <w:hideMark/>
          </w:tcPr>
          <w:p w14:paraId="55619F22"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Nival</w:t>
            </w:r>
          </w:p>
        </w:tc>
        <w:tc>
          <w:tcPr>
            <w:tcW w:w="1620" w:type="dxa"/>
            <w:tcBorders>
              <w:top w:val="single" w:sz="12" w:space="0" w:color="auto"/>
              <w:left w:val="single" w:sz="4" w:space="0" w:color="auto"/>
              <w:bottom w:val="single" w:sz="4" w:space="0" w:color="auto"/>
              <w:right w:val="single" w:sz="4" w:space="0" w:color="auto"/>
            </w:tcBorders>
            <w:vAlign w:val="center"/>
            <w:hideMark/>
          </w:tcPr>
          <w:p w14:paraId="1D22B199" w14:textId="77777777" w:rsidR="00AE0A0F" w:rsidRPr="0041526F" w:rsidRDefault="00AE0A0F" w:rsidP="00500D30">
            <w:pPr>
              <w:autoSpaceDE w:val="0"/>
              <w:autoSpaceDN w:val="0"/>
              <w:adjustRightInd w:val="0"/>
              <w:jc w:val="center"/>
              <w:rPr>
                <w:rFonts w:cstheme="minorHAnsi"/>
                <w:color w:val="595959" w:themeColor="text1" w:themeTint="A6"/>
                <w:sz w:val="20"/>
                <w:szCs w:val="20"/>
              </w:rPr>
            </w:pPr>
            <w:r w:rsidRPr="0041526F">
              <w:rPr>
                <w:rFonts w:cstheme="minorHAnsi"/>
                <w:color w:val="595959" w:themeColor="text1" w:themeTint="A6"/>
                <w:sz w:val="20"/>
                <w:szCs w:val="20"/>
              </w:rPr>
              <w:t xml:space="preserve">&lt; 3.5 </w:t>
            </w:r>
            <w:r w:rsidRPr="0041526F">
              <w:rPr>
                <w:rFonts w:cstheme="minorHAnsi"/>
                <w:color w:val="595959" w:themeColor="text1" w:themeTint="A6"/>
                <w:sz w:val="20"/>
                <w:szCs w:val="20"/>
                <w:shd w:val="clear" w:color="auto" w:fill="FCFCFC"/>
              </w:rPr>
              <w:t>°</w:t>
            </w:r>
            <w:r w:rsidRPr="0041526F">
              <w:rPr>
                <w:rFonts w:cstheme="minorHAnsi"/>
                <w:color w:val="595959" w:themeColor="text1" w:themeTint="A6"/>
                <w:sz w:val="20"/>
                <w:szCs w:val="20"/>
              </w:rPr>
              <w:t>C</w:t>
            </w:r>
          </w:p>
        </w:tc>
        <w:tc>
          <w:tcPr>
            <w:tcW w:w="1980" w:type="dxa"/>
            <w:tcBorders>
              <w:top w:val="single" w:sz="12" w:space="0" w:color="auto"/>
              <w:left w:val="single" w:sz="4" w:space="0" w:color="auto"/>
              <w:bottom w:val="single" w:sz="4" w:space="0" w:color="auto"/>
              <w:right w:val="nil"/>
            </w:tcBorders>
            <w:vAlign w:val="center"/>
            <w:hideMark/>
          </w:tcPr>
          <w:p w14:paraId="5703F0AE" w14:textId="77777777" w:rsidR="00AE0A0F" w:rsidRPr="0041526F" w:rsidRDefault="00AE0A0F" w:rsidP="00500D30">
            <w:pPr>
              <w:autoSpaceDE w:val="0"/>
              <w:autoSpaceDN w:val="0"/>
              <w:adjustRightInd w:val="0"/>
              <w:jc w:val="center"/>
              <w:rPr>
                <w:rFonts w:cstheme="minorHAnsi"/>
                <w:color w:val="595959" w:themeColor="text1" w:themeTint="A6"/>
                <w:sz w:val="20"/>
                <w:szCs w:val="20"/>
              </w:rPr>
            </w:pPr>
            <w:r w:rsidRPr="0041526F">
              <w:rPr>
                <w:rFonts w:cstheme="minorHAnsi"/>
                <w:color w:val="595959" w:themeColor="text1" w:themeTint="A6"/>
                <w:sz w:val="20"/>
                <w:szCs w:val="20"/>
              </w:rPr>
              <w:t>&lt; 10 days</w:t>
            </w:r>
          </w:p>
        </w:tc>
        <w:tc>
          <w:tcPr>
            <w:tcW w:w="2425" w:type="dxa"/>
            <w:tcBorders>
              <w:top w:val="single" w:sz="12" w:space="0" w:color="auto"/>
              <w:left w:val="single" w:sz="4" w:space="0" w:color="auto"/>
              <w:bottom w:val="single" w:sz="4" w:space="0" w:color="auto"/>
              <w:right w:val="nil"/>
            </w:tcBorders>
            <w:vAlign w:val="center"/>
          </w:tcPr>
          <w:p w14:paraId="4D352298" w14:textId="77777777" w:rsidR="00AE0A0F" w:rsidRPr="0041526F" w:rsidRDefault="00AE0A0F" w:rsidP="00500D30">
            <w:pPr>
              <w:autoSpaceDE w:val="0"/>
              <w:autoSpaceDN w:val="0"/>
              <w:adjustRightInd w:val="0"/>
              <w:jc w:val="center"/>
              <w:rPr>
                <w:rFonts w:cstheme="minorHAnsi"/>
                <w:color w:val="595959" w:themeColor="text1" w:themeTint="A6"/>
                <w:sz w:val="20"/>
                <w:szCs w:val="20"/>
              </w:rPr>
            </w:pPr>
            <w:r w:rsidRPr="0041526F">
              <w:rPr>
                <w:rFonts w:cstheme="minorHAnsi"/>
                <w:color w:val="595959" w:themeColor="text1" w:themeTint="A6"/>
                <w:sz w:val="20"/>
                <w:szCs w:val="20"/>
              </w:rPr>
              <w:t>Nival</w:t>
            </w:r>
          </w:p>
        </w:tc>
      </w:tr>
      <w:tr w:rsidR="00AE0A0F" w:rsidRPr="0041526F" w14:paraId="41EACDBA"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790890FD"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Upper alpine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8AF23DC"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rPr>
              <w:t xml:space="preserve">&lt; 3.5 </w:t>
            </w:r>
            <w:r w:rsidRPr="0041526F">
              <w:rPr>
                <w:rFonts w:cstheme="minorHAnsi"/>
                <w:color w:val="595959" w:themeColor="text1" w:themeTint="A6"/>
                <w:sz w:val="20"/>
                <w:szCs w:val="20"/>
                <w:shd w:val="clear" w:color="auto" w:fill="FCFCFC"/>
              </w:rPr>
              <w:t>°</w:t>
            </w:r>
            <w:r w:rsidRPr="0041526F">
              <w:rPr>
                <w:rFonts w:cstheme="minorHAnsi"/>
                <w:color w:val="595959" w:themeColor="text1" w:themeTint="A6"/>
                <w:sz w:val="20"/>
                <w:szCs w:val="20"/>
              </w:rPr>
              <w:t>C</w:t>
            </w:r>
          </w:p>
        </w:tc>
        <w:tc>
          <w:tcPr>
            <w:tcW w:w="1980" w:type="dxa"/>
            <w:tcBorders>
              <w:top w:val="single" w:sz="4" w:space="0" w:color="auto"/>
              <w:left w:val="single" w:sz="4" w:space="0" w:color="auto"/>
              <w:bottom w:val="single" w:sz="4" w:space="0" w:color="auto"/>
              <w:right w:val="nil"/>
            </w:tcBorders>
            <w:vAlign w:val="center"/>
            <w:hideMark/>
          </w:tcPr>
          <w:p w14:paraId="51FF82C4"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&gt; 10 days &amp; &lt; 54 days</w:t>
            </w:r>
          </w:p>
        </w:tc>
        <w:tc>
          <w:tcPr>
            <w:tcW w:w="2425" w:type="dxa"/>
            <w:vMerge w:val="restart"/>
            <w:tcBorders>
              <w:top w:val="single" w:sz="4" w:space="0" w:color="auto"/>
              <w:left w:val="single" w:sz="4" w:space="0" w:color="auto"/>
              <w:right w:val="nil"/>
            </w:tcBorders>
            <w:vAlign w:val="center"/>
          </w:tcPr>
          <w:p w14:paraId="52487CDB"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Alpine</w:t>
            </w:r>
          </w:p>
        </w:tc>
      </w:tr>
      <w:tr w:rsidR="00AE0A0F" w:rsidRPr="0041526F" w14:paraId="16B4888E"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67E32F2F"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Lower alpine</w:t>
            </w:r>
          </w:p>
        </w:tc>
        <w:tc>
          <w:tcPr>
            <w:tcW w:w="1620" w:type="dxa"/>
            <w:tcBorders>
              <w:top w:val="single" w:sz="4" w:space="0" w:color="auto"/>
              <w:left w:val="single" w:sz="4" w:space="0" w:color="auto"/>
              <w:bottom w:val="single" w:sz="4" w:space="0" w:color="auto"/>
              <w:right w:val="nil"/>
            </w:tcBorders>
            <w:vAlign w:val="center"/>
            <w:hideMark/>
          </w:tcPr>
          <w:p w14:paraId="11961D6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&lt; 6.4°C</w:t>
            </w:r>
          </w:p>
        </w:tc>
        <w:tc>
          <w:tcPr>
            <w:tcW w:w="1980" w:type="dxa"/>
            <w:tcBorders>
              <w:top w:val="single" w:sz="4" w:space="0" w:color="auto"/>
              <w:left w:val="single" w:sz="4" w:space="0" w:color="auto"/>
              <w:bottom w:val="single" w:sz="4" w:space="0" w:color="auto"/>
              <w:right w:val="nil"/>
            </w:tcBorders>
            <w:vAlign w:val="center"/>
            <w:hideMark/>
          </w:tcPr>
          <w:p w14:paraId="46F1DD04"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&lt; 54 days</w:t>
            </w:r>
          </w:p>
        </w:tc>
        <w:tc>
          <w:tcPr>
            <w:tcW w:w="2425" w:type="dxa"/>
            <w:vMerge/>
            <w:tcBorders>
              <w:left w:val="single" w:sz="4" w:space="0" w:color="auto"/>
              <w:bottom w:val="single" w:sz="4" w:space="0" w:color="auto"/>
              <w:right w:val="nil"/>
            </w:tcBorders>
            <w:vAlign w:val="center"/>
          </w:tcPr>
          <w:p w14:paraId="47B8C6EF" w14:textId="77777777" w:rsidR="00AE0A0F" w:rsidRPr="0041526F" w:rsidRDefault="00AE0A0F" w:rsidP="00500D30">
            <w:pPr>
              <w:jc w:val="center"/>
              <w:rPr>
                <w:rFonts w:cstheme="minorHAnsi"/>
                <w:color w:val="595959" w:themeColor="text1" w:themeTint="A6"/>
                <w:sz w:val="20"/>
                <w:szCs w:val="20"/>
                <w:shd w:val="clear" w:color="auto" w:fill="FFFFFF"/>
              </w:rPr>
            </w:pPr>
          </w:p>
        </w:tc>
      </w:tr>
      <w:tr w:rsidR="00AE0A0F" w:rsidRPr="0041526F" w14:paraId="1A08FDDC" w14:textId="77777777" w:rsidTr="0041526F">
        <w:trPr>
          <w:trHeight w:val="305"/>
          <w:jc w:val="center"/>
        </w:trPr>
        <w:tc>
          <w:tcPr>
            <w:tcW w:w="8995" w:type="dxa"/>
            <w:gridSpan w:val="4"/>
            <w:tcBorders>
              <w:top w:val="single" w:sz="4" w:space="0" w:color="auto"/>
              <w:left w:val="nil"/>
              <w:bottom w:val="single" w:sz="4" w:space="0" w:color="auto"/>
              <w:right w:val="nil"/>
            </w:tcBorders>
            <w:vAlign w:val="center"/>
            <w:hideMark/>
          </w:tcPr>
          <w:p w14:paraId="26E77F3D"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THE TREELINE</w:t>
            </w:r>
          </w:p>
        </w:tc>
      </w:tr>
      <w:tr w:rsidR="00AE0A0F" w:rsidRPr="0041526F" w14:paraId="76B2EEE2"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65FFAB53"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Upper montane</w:t>
            </w:r>
          </w:p>
        </w:tc>
        <w:tc>
          <w:tcPr>
            <w:tcW w:w="1620" w:type="dxa"/>
            <w:tcBorders>
              <w:top w:val="single" w:sz="4" w:space="0" w:color="auto"/>
              <w:left w:val="single" w:sz="4" w:space="0" w:color="auto"/>
              <w:bottom w:val="single" w:sz="4" w:space="0" w:color="auto"/>
              <w:right w:val="nil"/>
            </w:tcBorders>
            <w:vAlign w:val="center"/>
            <w:hideMark/>
          </w:tcPr>
          <w:p w14:paraId="1C5C7728"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 xml:space="preserve">&gt; </w:t>
            </w:r>
            <w:r w:rsidRPr="0041526F">
              <w:rPr>
                <w:rFonts w:cstheme="minorHAnsi"/>
                <w:color w:val="595959" w:themeColor="text1" w:themeTint="A6"/>
                <w:sz w:val="20"/>
                <w:szCs w:val="20"/>
                <w:shd w:val="clear" w:color="auto" w:fill="FCFCFC"/>
              </w:rPr>
              <w:t>6.4°C &amp; ≤ 10 °C</w:t>
            </w:r>
          </w:p>
        </w:tc>
        <w:tc>
          <w:tcPr>
            <w:tcW w:w="1980" w:type="dxa"/>
            <w:tcBorders>
              <w:top w:val="single" w:sz="4" w:space="0" w:color="auto"/>
              <w:left w:val="single" w:sz="4" w:space="0" w:color="auto"/>
              <w:bottom w:val="single" w:sz="4" w:space="0" w:color="auto"/>
              <w:right w:val="nil"/>
            </w:tcBorders>
            <w:vAlign w:val="center"/>
            <w:hideMark/>
          </w:tcPr>
          <w:p w14:paraId="2253F18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w:t>
            </w:r>
          </w:p>
        </w:tc>
        <w:tc>
          <w:tcPr>
            <w:tcW w:w="2425" w:type="dxa"/>
            <w:vMerge w:val="restart"/>
            <w:tcBorders>
              <w:top w:val="single" w:sz="4" w:space="0" w:color="auto"/>
              <w:left w:val="single" w:sz="4" w:space="0" w:color="auto"/>
              <w:right w:val="nil"/>
            </w:tcBorders>
            <w:vAlign w:val="center"/>
          </w:tcPr>
          <w:p w14:paraId="0964AFA4"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Montane</w:t>
            </w:r>
          </w:p>
        </w:tc>
      </w:tr>
      <w:tr w:rsidR="00AE0A0F" w:rsidRPr="0041526F" w14:paraId="7BA2C3F4"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498338CE"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Lower montane</w:t>
            </w:r>
          </w:p>
        </w:tc>
        <w:tc>
          <w:tcPr>
            <w:tcW w:w="1620" w:type="dxa"/>
            <w:tcBorders>
              <w:top w:val="single" w:sz="4" w:space="0" w:color="auto"/>
              <w:left w:val="single" w:sz="4" w:space="0" w:color="auto"/>
              <w:bottom w:val="single" w:sz="4" w:space="0" w:color="auto"/>
              <w:right w:val="nil"/>
            </w:tcBorders>
            <w:vAlign w:val="center"/>
            <w:hideMark/>
          </w:tcPr>
          <w:p w14:paraId="4A271578" w14:textId="54198DDD"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&gt; 10°C &amp; ≤ 15 °C</w:t>
            </w:r>
          </w:p>
        </w:tc>
        <w:tc>
          <w:tcPr>
            <w:tcW w:w="1980" w:type="dxa"/>
            <w:tcBorders>
              <w:top w:val="single" w:sz="4" w:space="0" w:color="auto"/>
              <w:left w:val="single" w:sz="4" w:space="0" w:color="auto"/>
              <w:bottom w:val="single" w:sz="4" w:space="0" w:color="auto"/>
              <w:right w:val="nil"/>
            </w:tcBorders>
            <w:vAlign w:val="center"/>
            <w:hideMark/>
          </w:tcPr>
          <w:p w14:paraId="586F863E"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w:t>
            </w:r>
          </w:p>
        </w:tc>
        <w:tc>
          <w:tcPr>
            <w:tcW w:w="2425" w:type="dxa"/>
            <w:vMerge/>
            <w:tcBorders>
              <w:left w:val="single" w:sz="4" w:space="0" w:color="auto"/>
              <w:bottom w:val="single" w:sz="4" w:space="0" w:color="auto"/>
              <w:right w:val="nil"/>
            </w:tcBorders>
            <w:vAlign w:val="center"/>
          </w:tcPr>
          <w:p w14:paraId="497DD6B5" w14:textId="77777777" w:rsidR="00AE0A0F" w:rsidRPr="0041526F" w:rsidRDefault="00AE0A0F" w:rsidP="00500D30">
            <w:pPr>
              <w:jc w:val="center"/>
              <w:rPr>
                <w:rFonts w:cstheme="minorHAnsi"/>
                <w:color w:val="595959" w:themeColor="text1" w:themeTint="A6"/>
                <w:sz w:val="20"/>
                <w:szCs w:val="20"/>
                <w:shd w:val="clear" w:color="auto" w:fill="FFFFFF"/>
              </w:rPr>
            </w:pPr>
          </w:p>
        </w:tc>
      </w:tr>
      <w:tr w:rsidR="00AE0A0F" w:rsidRPr="0041526F" w14:paraId="6058FC90"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2E445E8E"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Remaining mountain area with frost</w:t>
            </w:r>
          </w:p>
        </w:tc>
        <w:tc>
          <w:tcPr>
            <w:tcW w:w="1620" w:type="dxa"/>
            <w:tcBorders>
              <w:top w:val="single" w:sz="4" w:space="0" w:color="auto"/>
              <w:left w:val="single" w:sz="4" w:space="0" w:color="auto"/>
              <w:bottom w:val="single" w:sz="4" w:space="0" w:color="auto"/>
              <w:right w:val="nil"/>
            </w:tcBorders>
            <w:vAlign w:val="center"/>
            <w:hideMark/>
          </w:tcPr>
          <w:p w14:paraId="0FEC2B4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&gt; 15 °C</w:t>
            </w:r>
          </w:p>
        </w:tc>
        <w:tc>
          <w:tcPr>
            <w:tcW w:w="1980" w:type="dxa"/>
            <w:vMerge w:val="restart"/>
            <w:tcBorders>
              <w:top w:val="single" w:sz="4" w:space="0" w:color="auto"/>
              <w:left w:val="single" w:sz="4" w:space="0" w:color="auto"/>
              <w:bottom w:val="single" w:sz="12" w:space="0" w:color="auto"/>
              <w:right w:val="nil"/>
            </w:tcBorders>
            <w:vAlign w:val="center"/>
          </w:tcPr>
          <w:p w14:paraId="724422E5"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w:t>
            </w:r>
          </w:p>
        </w:tc>
        <w:tc>
          <w:tcPr>
            <w:tcW w:w="2425" w:type="dxa"/>
            <w:vMerge w:val="restart"/>
            <w:tcBorders>
              <w:top w:val="single" w:sz="4" w:space="0" w:color="auto"/>
              <w:left w:val="single" w:sz="4" w:space="0" w:color="auto"/>
              <w:bottom w:val="single" w:sz="12" w:space="0" w:color="auto"/>
              <w:right w:val="nil"/>
            </w:tcBorders>
            <w:vAlign w:val="center"/>
          </w:tcPr>
          <w:p w14:paraId="3AFB939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Remaining mountain areas</w:t>
            </w:r>
          </w:p>
        </w:tc>
      </w:tr>
      <w:tr w:rsidR="00AE0A0F" w:rsidRPr="0041526F" w14:paraId="55C726A3" w14:textId="77777777" w:rsidTr="0041526F">
        <w:trPr>
          <w:jc w:val="center"/>
        </w:trPr>
        <w:tc>
          <w:tcPr>
            <w:tcW w:w="2970" w:type="dxa"/>
            <w:tcBorders>
              <w:top w:val="single" w:sz="4" w:space="0" w:color="auto"/>
              <w:left w:val="nil"/>
              <w:bottom w:val="single" w:sz="12" w:space="0" w:color="auto"/>
              <w:right w:val="single" w:sz="4" w:space="0" w:color="auto"/>
            </w:tcBorders>
            <w:vAlign w:val="center"/>
            <w:hideMark/>
          </w:tcPr>
          <w:p w14:paraId="50DE06D0"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Remaining mountain area without frost</w:t>
            </w:r>
          </w:p>
        </w:tc>
        <w:tc>
          <w:tcPr>
            <w:tcW w:w="1620" w:type="dxa"/>
            <w:tcBorders>
              <w:top w:val="single" w:sz="4" w:space="0" w:color="auto"/>
              <w:left w:val="single" w:sz="4" w:space="0" w:color="auto"/>
              <w:bottom w:val="single" w:sz="12" w:space="0" w:color="auto"/>
              <w:right w:val="nil"/>
            </w:tcBorders>
            <w:vAlign w:val="center"/>
            <w:hideMark/>
          </w:tcPr>
          <w:p w14:paraId="70B845FB"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&gt; 15 °C</w:t>
            </w:r>
          </w:p>
        </w:tc>
        <w:tc>
          <w:tcPr>
            <w:tcW w:w="1980" w:type="dxa"/>
            <w:vMerge/>
            <w:tcBorders>
              <w:left w:val="single" w:sz="4" w:space="0" w:color="auto"/>
              <w:bottom w:val="single" w:sz="12" w:space="0" w:color="auto"/>
              <w:right w:val="nil"/>
            </w:tcBorders>
            <w:vAlign w:val="center"/>
          </w:tcPr>
          <w:p w14:paraId="6861A804" w14:textId="77777777" w:rsidR="00AE0A0F" w:rsidRPr="0041526F" w:rsidRDefault="00AE0A0F" w:rsidP="00500D30">
            <w:pPr>
              <w:jc w:val="both"/>
              <w:rPr>
                <w:rFonts w:cstheme="minorHAnsi"/>
                <w:color w:val="595959" w:themeColor="text1" w:themeTint="A6"/>
                <w:sz w:val="20"/>
                <w:szCs w:val="20"/>
                <w:shd w:val="clear" w:color="auto" w:fill="FFFFFF"/>
              </w:rPr>
            </w:pPr>
          </w:p>
        </w:tc>
        <w:tc>
          <w:tcPr>
            <w:tcW w:w="2425" w:type="dxa"/>
            <w:vMerge/>
            <w:tcBorders>
              <w:left w:val="single" w:sz="4" w:space="0" w:color="auto"/>
              <w:bottom w:val="single" w:sz="12" w:space="0" w:color="auto"/>
              <w:right w:val="nil"/>
            </w:tcBorders>
            <w:vAlign w:val="center"/>
          </w:tcPr>
          <w:p w14:paraId="057788C8" w14:textId="77777777" w:rsidR="00AE0A0F" w:rsidRPr="0041526F" w:rsidRDefault="00AE0A0F" w:rsidP="00500D30">
            <w:pPr>
              <w:jc w:val="both"/>
              <w:rPr>
                <w:rFonts w:cstheme="minorHAnsi"/>
                <w:color w:val="595959" w:themeColor="text1" w:themeTint="A6"/>
                <w:sz w:val="20"/>
                <w:szCs w:val="20"/>
                <w:shd w:val="clear" w:color="auto" w:fill="FFFFFF"/>
              </w:rPr>
            </w:pPr>
          </w:p>
        </w:tc>
      </w:tr>
    </w:tbl>
    <w:p w14:paraId="0979461D" w14:textId="77777777" w:rsidR="00AE0A0F" w:rsidRDefault="00AE0A0F" w:rsidP="00F719A8">
      <w:pPr>
        <w:pStyle w:val="MHeader"/>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1C91A37" w14:textId="2345ADC0" w:rsidR="002C697E" w:rsidRPr="0041526F" w:rsidRDefault="00500D30" w:rsidP="003D511E">
      <w:pPr>
        <w:autoSpaceDE w:val="0"/>
        <w:autoSpaceDN w:val="0"/>
        <w:adjustRightInd w:val="0"/>
        <w:spacing w:after="0"/>
        <w:jc w:val="both"/>
        <w:rPr>
          <w:rFonts w:cstheme="minorHAnsi"/>
          <w:color w:val="595959" w:themeColor="text1" w:themeTint="A6"/>
          <w:sz w:val="21"/>
          <w:szCs w:val="21"/>
          <w:lang w:val="en-US"/>
        </w:rPr>
      </w:pPr>
      <w:r w:rsidRPr="0041526F">
        <w:rPr>
          <w:rFonts w:cstheme="minorHAnsi"/>
          <w:color w:val="595959" w:themeColor="text1" w:themeTint="A6"/>
          <w:sz w:val="21"/>
          <w:szCs w:val="21"/>
          <w:lang w:val="en-US"/>
        </w:rPr>
        <w:lastRenderedPageBreak/>
        <w:t xml:space="preserve">Land cover </w:t>
      </w:r>
      <w:r w:rsidR="002C697E" w:rsidRPr="0041526F">
        <w:rPr>
          <w:rFonts w:cstheme="minorHAnsi"/>
          <w:color w:val="595959" w:themeColor="text1" w:themeTint="A6"/>
          <w:sz w:val="21"/>
          <w:szCs w:val="21"/>
          <w:lang w:val="en-US"/>
        </w:rPr>
        <w:t xml:space="preserve">maps developed by </w:t>
      </w:r>
      <w:r w:rsidR="002F466C">
        <w:rPr>
          <w:rFonts w:cstheme="minorHAnsi"/>
          <w:color w:val="595959" w:themeColor="text1" w:themeTint="A6"/>
          <w:sz w:val="21"/>
          <w:szCs w:val="21"/>
          <w:lang w:val="en-US"/>
        </w:rPr>
        <w:t>appropriate</w:t>
      </w:r>
      <w:r w:rsidRPr="0041526F">
        <w:rPr>
          <w:rFonts w:cstheme="minorHAnsi"/>
          <w:color w:val="595959" w:themeColor="text1" w:themeTint="A6"/>
          <w:sz w:val="21"/>
          <w:szCs w:val="21"/>
          <w:lang w:val="en-US"/>
        </w:rPr>
        <w:t xml:space="preserve"> national aut</w:t>
      </w:r>
      <w:r w:rsidR="002C697E" w:rsidRPr="0041526F">
        <w:rPr>
          <w:rFonts w:cstheme="minorHAnsi"/>
          <w:color w:val="595959" w:themeColor="text1" w:themeTint="A6"/>
          <w:sz w:val="21"/>
          <w:szCs w:val="21"/>
          <w:lang w:val="en-US"/>
        </w:rPr>
        <w:t xml:space="preserve">horities will generally provide </w:t>
      </w:r>
      <w:r w:rsidRPr="0041526F">
        <w:rPr>
          <w:rFonts w:cstheme="minorHAnsi"/>
          <w:color w:val="595959" w:themeColor="text1" w:themeTint="A6"/>
          <w:sz w:val="21"/>
          <w:szCs w:val="21"/>
          <w:lang w:val="en-US"/>
        </w:rPr>
        <w:t>the most relevant dat</w:t>
      </w:r>
      <w:r w:rsidR="002C697E" w:rsidRPr="0041526F">
        <w:rPr>
          <w:rFonts w:cstheme="minorHAnsi"/>
          <w:color w:val="595959" w:themeColor="text1" w:themeTint="A6"/>
          <w:sz w:val="21"/>
          <w:szCs w:val="21"/>
          <w:lang w:val="en-US"/>
        </w:rPr>
        <w:t>a source to compute this indicator. However, in certain cases, such data may not be available. In those cases, various regional or global products provide a viable alternative.</w:t>
      </w:r>
    </w:p>
    <w:p w14:paraId="7B97B810" w14:textId="067D2811" w:rsidR="002C697E" w:rsidRPr="0041526F" w:rsidRDefault="002C697E" w:rsidP="003D511E">
      <w:pPr>
        <w:autoSpaceDE w:val="0"/>
        <w:autoSpaceDN w:val="0"/>
        <w:adjustRightInd w:val="0"/>
        <w:spacing w:after="0"/>
        <w:jc w:val="both"/>
        <w:rPr>
          <w:rFonts w:cstheme="minorHAnsi"/>
          <w:color w:val="595959" w:themeColor="text1" w:themeTint="A6"/>
          <w:sz w:val="21"/>
          <w:szCs w:val="21"/>
          <w:lang w:val="en-US"/>
        </w:rPr>
      </w:pPr>
    </w:p>
    <w:p w14:paraId="195488D8" w14:textId="1DDA0C96" w:rsidR="001E725B" w:rsidRPr="00E26AFD" w:rsidRDefault="00CA4C69" w:rsidP="002A2E8D">
      <w:pPr>
        <w:spacing w:after="0"/>
        <w:jc w:val="both"/>
        <w:rPr>
          <w:rFonts w:cstheme="minorHAnsi"/>
          <w:color w:val="595959" w:themeColor="text1" w:themeTint="A6"/>
          <w:sz w:val="21"/>
          <w:szCs w:val="21"/>
          <w:lang w:val="en-US"/>
        </w:rPr>
      </w:pPr>
      <w:r w:rsidRPr="0041526F">
        <w:rPr>
          <w:rFonts w:cstheme="minorHAnsi"/>
          <w:color w:val="595959" w:themeColor="text1" w:themeTint="A6"/>
          <w:sz w:val="21"/>
          <w:szCs w:val="21"/>
        </w:rPr>
        <w:t xml:space="preserve">The global default source of </w:t>
      </w:r>
      <w:r w:rsidR="00E26AFD">
        <w:rPr>
          <w:rFonts w:cstheme="minorHAnsi"/>
          <w:color w:val="595959" w:themeColor="text1" w:themeTint="A6"/>
          <w:sz w:val="21"/>
          <w:szCs w:val="21"/>
        </w:rPr>
        <w:t xml:space="preserve">land cover </w:t>
      </w:r>
      <w:r w:rsidRPr="0041526F">
        <w:rPr>
          <w:rFonts w:cstheme="minorHAnsi"/>
          <w:color w:val="595959" w:themeColor="text1" w:themeTint="A6"/>
          <w:sz w:val="21"/>
          <w:szCs w:val="21"/>
        </w:rPr>
        <w:t>data for this indicator is the European Space Agency</w:t>
      </w:r>
      <w:r w:rsidR="001E725B" w:rsidRPr="0041526F">
        <w:rPr>
          <w:rFonts w:cstheme="minorHAnsi"/>
          <w:color w:val="595959" w:themeColor="text1" w:themeTint="A6"/>
          <w:sz w:val="21"/>
          <w:szCs w:val="21"/>
        </w:rPr>
        <w:t xml:space="preserve"> Climate Change Initiative (ESA-</w:t>
      </w:r>
      <w:r w:rsidRPr="0041526F">
        <w:rPr>
          <w:rFonts w:cstheme="minorHAnsi"/>
          <w:color w:val="595959" w:themeColor="text1" w:themeTint="A6"/>
          <w:sz w:val="21"/>
          <w:szCs w:val="21"/>
        </w:rPr>
        <w:t xml:space="preserve">CCI) Land Cover product </w:t>
      </w:r>
      <w:r w:rsidR="001E725B" w:rsidRPr="0041526F">
        <w:rPr>
          <w:rFonts w:cstheme="minorHAnsi"/>
          <w:color w:val="595959" w:themeColor="text1" w:themeTint="A6"/>
          <w:sz w:val="21"/>
          <w:szCs w:val="21"/>
        </w:rPr>
        <w:t xml:space="preserve">(ESA, 2017). The ESA-CCI product consists of a series of annual Land Cover </w:t>
      </w:r>
      <w:r w:rsidR="001E725B" w:rsidRPr="00E26AFD">
        <w:rPr>
          <w:rFonts w:cstheme="minorHAnsi"/>
          <w:color w:val="595959" w:themeColor="text1" w:themeTint="A6"/>
          <w:sz w:val="21"/>
          <w:szCs w:val="21"/>
        </w:rPr>
        <w:t xml:space="preserve">maps at 300 m resolution, providing </w:t>
      </w:r>
      <w:r w:rsidR="001E725B" w:rsidRPr="00E26AFD">
        <w:rPr>
          <w:rFonts w:cstheme="minorHAnsi"/>
          <w:color w:val="595959" w:themeColor="text1" w:themeTint="A6"/>
          <w:sz w:val="21"/>
          <w:szCs w:val="21"/>
          <w:lang w:val="en-US"/>
        </w:rPr>
        <w:t>22 land</w:t>
      </w:r>
      <w:r w:rsidR="001E725B" w:rsidRPr="00E26AFD">
        <w:rPr>
          <w:rFonts w:cstheme="minorHAnsi"/>
          <w:color w:val="595959" w:themeColor="text1" w:themeTint="A6"/>
          <w:sz w:val="21"/>
          <w:szCs w:val="21"/>
        </w:rPr>
        <w:t xml:space="preserve"> </w:t>
      </w:r>
      <w:r w:rsidR="001E725B" w:rsidRPr="00E26AFD">
        <w:rPr>
          <w:rFonts w:cstheme="minorHAnsi"/>
          <w:color w:val="595959" w:themeColor="text1" w:themeTint="A6"/>
          <w:sz w:val="21"/>
          <w:szCs w:val="21"/>
          <w:lang w:val="en-US"/>
        </w:rPr>
        <w:t xml:space="preserve">cover classes based on 300m MERIS, </w:t>
      </w:r>
      <w:r w:rsidR="001E725B" w:rsidRPr="00E26AFD">
        <w:rPr>
          <w:rFonts w:cstheme="minorHAnsi"/>
          <w:color w:val="595959" w:themeColor="text1" w:themeTint="A6"/>
          <w:sz w:val="21"/>
          <w:szCs w:val="21"/>
        </w:rPr>
        <w:t xml:space="preserve">1km SPOT –VEGETATION, 1km PROBA –V and 1km AVHRR. </w:t>
      </w:r>
      <w:r w:rsidR="0007070E" w:rsidRPr="00E26AFD">
        <w:rPr>
          <w:rFonts w:cstheme="minorHAnsi"/>
          <w:color w:val="595959" w:themeColor="text1" w:themeTint="A6"/>
          <w:sz w:val="21"/>
          <w:szCs w:val="21"/>
        </w:rPr>
        <w:t xml:space="preserve">The ESA CCI adheres to the </w:t>
      </w:r>
      <w:r w:rsidR="002F466C">
        <w:rPr>
          <w:rFonts w:cstheme="minorHAnsi"/>
          <w:color w:val="595959" w:themeColor="text1" w:themeTint="A6"/>
          <w:sz w:val="21"/>
          <w:szCs w:val="21"/>
        </w:rPr>
        <w:t xml:space="preserve">FAO Land </w:t>
      </w:r>
      <w:r w:rsidR="0007070E" w:rsidRPr="00E26AFD">
        <w:rPr>
          <w:rFonts w:cstheme="minorHAnsi"/>
          <w:color w:val="595959" w:themeColor="text1" w:themeTint="A6"/>
          <w:sz w:val="21"/>
          <w:szCs w:val="21"/>
        </w:rPr>
        <w:t xml:space="preserve">Cover Classification System </w:t>
      </w:r>
      <w:r w:rsidR="0007070E" w:rsidRPr="00E26AFD">
        <w:rPr>
          <w:rFonts w:cstheme="minorHAnsi"/>
          <w:noProof/>
          <w:color w:val="595959" w:themeColor="text1" w:themeTint="A6"/>
          <w:sz w:val="21"/>
          <w:szCs w:val="21"/>
        </w:rPr>
        <w:t xml:space="preserve">(Santoro </w:t>
      </w:r>
      <w:r w:rsidR="0007070E" w:rsidRPr="00E26AFD">
        <w:rPr>
          <w:rFonts w:cstheme="minorHAnsi"/>
          <w:i/>
          <w:noProof/>
          <w:color w:val="595959" w:themeColor="text1" w:themeTint="A6"/>
          <w:sz w:val="21"/>
          <w:szCs w:val="21"/>
        </w:rPr>
        <w:t>et al</w:t>
      </w:r>
      <w:r w:rsidR="003F0CBE">
        <w:rPr>
          <w:rFonts w:cstheme="minorHAnsi"/>
          <w:noProof/>
          <w:color w:val="595959" w:themeColor="text1" w:themeTint="A6"/>
          <w:sz w:val="21"/>
          <w:szCs w:val="21"/>
        </w:rPr>
        <w:t>.</w:t>
      </w:r>
      <w:r w:rsidR="0007070E" w:rsidRPr="00E26AFD">
        <w:rPr>
          <w:rFonts w:cstheme="minorHAnsi"/>
          <w:noProof/>
          <w:color w:val="595959" w:themeColor="text1" w:themeTint="A6"/>
          <w:sz w:val="21"/>
          <w:szCs w:val="21"/>
        </w:rPr>
        <w:t xml:space="preserve"> 2015)</w:t>
      </w:r>
      <w:r w:rsidR="0007070E" w:rsidRPr="00E26AFD">
        <w:rPr>
          <w:rFonts w:cstheme="minorHAnsi"/>
          <w:color w:val="595959" w:themeColor="text1" w:themeTint="A6"/>
          <w:sz w:val="21"/>
          <w:szCs w:val="21"/>
        </w:rPr>
        <w:t xml:space="preserve">. </w:t>
      </w:r>
      <w:r w:rsidR="001E725B" w:rsidRPr="00E26AFD">
        <w:rPr>
          <w:rFonts w:cstheme="minorHAnsi"/>
          <w:color w:val="595959" w:themeColor="text1" w:themeTint="A6"/>
          <w:sz w:val="21"/>
          <w:szCs w:val="21"/>
          <w:lang w:val="en-US"/>
        </w:rPr>
        <w:t>Annual updates are</w:t>
      </w:r>
      <w:r w:rsidR="0007070E" w:rsidRPr="00E26AFD">
        <w:rPr>
          <w:rFonts w:cstheme="minorHAnsi"/>
          <w:color w:val="595959" w:themeColor="text1" w:themeTint="A6"/>
          <w:sz w:val="21"/>
          <w:szCs w:val="21"/>
        </w:rPr>
        <w:t xml:space="preserve"> </w:t>
      </w:r>
      <w:r w:rsidR="001E725B" w:rsidRPr="00E26AFD">
        <w:rPr>
          <w:rFonts w:cstheme="minorHAnsi"/>
          <w:color w:val="595959" w:themeColor="text1" w:themeTint="A6"/>
          <w:sz w:val="21"/>
          <w:szCs w:val="21"/>
          <w:lang w:val="en-US"/>
        </w:rPr>
        <w:t>curre</w:t>
      </w:r>
      <w:r w:rsidR="0007070E" w:rsidRPr="00E26AFD">
        <w:rPr>
          <w:rFonts w:cstheme="minorHAnsi"/>
          <w:color w:val="595959" w:themeColor="text1" w:themeTint="A6"/>
          <w:sz w:val="21"/>
          <w:szCs w:val="21"/>
          <w:lang w:val="en-US"/>
        </w:rPr>
        <w:t>ntly available from 1992 to 2020</w:t>
      </w:r>
      <w:r w:rsidR="001E725B" w:rsidRPr="00E26AFD">
        <w:rPr>
          <w:rFonts w:cstheme="minorHAnsi"/>
          <w:color w:val="595959" w:themeColor="text1" w:themeTint="A6"/>
          <w:sz w:val="21"/>
          <w:szCs w:val="21"/>
          <w:lang w:val="en-US"/>
        </w:rPr>
        <w:t>. Additional</w:t>
      </w:r>
      <w:r w:rsidR="0007070E" w:rsidRPr="00E26AFD">
        <w:rPr>
          <w:rFonts w:cstheme="minorHAnsi"/>
          <w:color w:val="595959" w:themeColor="text1" w:themeTint="A6"/>
          <w:sz w:val="21"/>
          <w:szCs w:val="21"/>
        </w:rPr>
        <w:t xml:space="preserve"> </w:t>
      </w:r>
      <w:r w:rsidR="001E725B" w:rsidRPr="00E26AFD">
        <w:rPr>
          <w:rFonts w:cstheme="minorHAnsi"/>
          <w:color w:val="595959" w:themeColor="text1" w:themeTint="A6"/>
          <w:sz w:val="21"/>
          <w:szCs w:val="21"/>
          <w:lang w:val="en-US"/>
        </w:rPr>
        <w:t>years will be mad</w:t>
      </w:r>
      <w:r w:rsidR="0007070E" w:rsidRPr="00E26AFD">
        <w:rPr>
          <w:rFonts w:cstheme="minorHAnsi"/>
          <w:color w:val="595959" w:themeColor="text1" w:themeTint="A6"/>
          <w:sz w:val="21"/>
          <w:szCs w:val="21"/>
          <w:lang w:val="en-US"/>
        </w:rPr>
        <w:t>e available</w:t>
      </w:r>
      <w:r w:rsidR="001E725B" w:rsidRPr="00E26AFD">
        <w:rPr>
          <w:rFonts w:cstheme="minorHAnsi"/>
          <w:color w:val="595959" w:themeColor="text1" w:themeTint="A6"/>
          <w:sz w:val="21"/>
          <w:szCs w:val="21"/>
          <w:lang w:val="en-US"/>
        </w:rPr>
        <w:t xml:space="preserve"> by </w:t>
      </w:r>
      <w:r w:rsidR="0007070E" w:rsidRPr="00E26AFD">
        <w:rPr>
          <w:rFonts w:cstheme="minorHAnsi"/>
          <w:color w:val="595959" w:themeColor="text1" w:themeTint="A6"/>
          <w:sz w:val="21"/>
          <w:szCs w:val="21"/>
          <w:lang w:val="en-US"/>
        </w:rPr>
        <w:t xml:space="preserve">the European Space Agency. </w:t>
      </w:r>
    </w:p>
    <w:p w14:paraId="7A63F77B" w14:textId="77777777" w:rsidR="006E7679" w:rsidRPr="00E26AFD" w:rsidRDefault="006E7679" w:rsidP="002A2E8D">
      <w:pPr>
        <w:spacing w:after="0"/>
        <w:jc w:val="both"/>
        <w:rPr>
          <w:rFonts w:cstheme="minorHAnsi"/>
          <w:color w:val="595959" w:themeColor="text1" w:themeTint="A6"/>
          <w:sz w:val="21"/>
          <w:szCs w:val="21"/>
          <w:lang w:val="en-US"/>
        </w:rPr>
      </w:pPr>
    </w:p>
    <w:p w14:paraId="1DD86A1F" w14:textId="23F29C3C" w:rsidR="001E725B" w:rsidRPr="007B2926" w:rsidRDefault="006E7679" w:rsidP="00D20DFA">
      <w:pPr>
        <w:spacing w:after="0"/>
        <w:jc w:val="both"/>
        <w:rPr>
          <w:color w:val="595959" w:themeColor="text1" w:themeTint="A6"/>
          <w:sz w:val="21"/>
        </w:rPr>
      </w:pPr>
      <w:r w:rsidRPr="00104DA0">
        <w:rPr>
          <w:color w:val="595959" w:themeColor="text1" w:themeTint="A6"/>
          <w:sz w:val="21"/>
          <w:szCs w:val="21"/>
        </w:rPr>
        <w:t xml:space="preserve">A global mountain area map sub-divided by bioclimatic belts </w:t>
      </w:r>
      <w:r w:rsidR="00E26AFD" w:rsidRPr="00104DA0">
        <w:rPr>
          <w:color w:val="595959" w:themeColor="text1" w:themeTint="A6"/>
          <w:sz w:val="21"/>
          <w:szCs w:val="21"/>
        </w:rPr>
        <w:t xml:space="preserve">has been developed by FAO </w:t>
      </w:r>
      <w:r w:rsidR="00EE175D" w:rsidRPr="00104DA0">
        <w:rPr>
          <w:color w:val="595959" w:themeColor="text1" w:themeTint="A6"/>
          <w:sz w:val="21"/>
          <w:szCs w:val="21"/>
        </w:rPr>
        <w:t xml:space="preserve">and made available to national authorities </w:t>
      </w:r>
      <w:r w:rsidR="00E26AFD" w:rsidRPr="0020586C">
        <w:rPr>
          <w:color w:val="595959" w:themeColor="text1" w:themeTint="A6"/>
          <w:sz w:val="21"/>
          <w:szCs w:val="21"/>
        </w:rPr>
        <w:t>to facilitate the</w:t>
      </w:r>
      <w:r w:rsidR="0041526F" w:rsidRPr="0020586C">
        <w:rPr>
          <w:color w:val="595959" w:themeColor="text1" w:themeTint="A6"/>
          <w:sz w:val="21"/>
          <w:szCs w:val="21"/>
        </w:rPr>
        <w:t xml:space="preserve"> compute this indicator. </w:t>
      </w:r>
      <w:r w:rsidR="00E26AFD" w:rsidRPr="0020586C">
        <w:rPr>
          <w:color w:val="595959" w:themeColor="text1" w:themeTint="A6"/>
          <w:sz w:val="21"/>
          <w:szCs w:val="21"/>
        </w:rPr>
        <w:t>This map is the result of combining a global mountain area map developed</w:t>
      </w:r>
      <w:r w:rsidR="00960F01" w:rsidRPr="0020586C">
        <w:rPr>
          <w:color w:val="595959" w:themeColor="text1" w:themeTint="A6"/>
          <w:sz w:val="21"/>
          <w:szCs w:val="21"/>
        </w:rPr>
        <w:t xml:space="preserve"> from</w:t>
      </w:r>
      <w:r w:rsidR="00E26AFD" w:rsidRPr="0020586C">
        <w:rPr>
          <w:color w:val="595959" w:themeColor="text1" w:themeTint="A6"/>
          <w:sz w:val="21"/>
          <w:szCs w:val="21"/>
        </w:rPr>
        <w:t xml:space="preserve"> </w:t>
      </w:r>
      <w:r w:rsidR="00960F01" w:rsidRPr="0020586C">
        <w:rPr>
          <w:color w:val="595959" w:themeColor="text1" w:themeTint="A6"/>
          <w:sz w:val="21"/>
          <w:szCs w:val="21"/>
        </w:rPr>
        <w:t xml:space="preserve">the Global Multi-Resolution Terrain Elevation Data (GMTED2010), </w:t>
      </w:r>
      <w:r w:rsidR="00E26AFD" w:rsidRPr="0020586C">
        <w:rPr>
          <w:color w:val="595959" w:themeColor="text1" w:themeTint="A6"/>
          <w:sz w:val="21"/>
          <w:szCs w:val="21"/>
        </w:rPr>
        <w:t xml:space="preserve">following the </w:t>
      </w:r>
      <w:r w:rsidR="00960F01" w:rsidRPr="0020586C">
        <w:rPr>
          <w:color w:val="595959" w:themeColor="text1" w:themeTint="A6"/>
          <w:sz w:val="21"/>
          <w:szCs w:val="21"/>
        </w:rPr>
        <w:t xml:space="preserve">UNEP-WCMC </w:t>
      </w:r>
      <w:r w:rsidR="00E26AFD" w:rsidRPr="0020586C">
        <w:rPr>
          <w:color w:val="595959" w:themeColor="text1" w:themeTint="A6"/>
          <w:sz w:val="21"/>
          <w:szCs w:val="21"/>
        </w:rPr>
        <w:t xml:space="preserve">methodology </w:t>
      </w:r>
      <w:r w:rsidR="00795912" w:rsidRPr="0020586C">
        <w:rPr>
          <w:color w:val="595959" w:themeColor="text1" w:themeTint="A6"/>
          <w:sz w:val="21"/>
          <w:szCs w:val="21"/>
        </w:rPr>
        <w:t xml:space="preserve">(Ravilious </w:t>
      </w:r>
      <w:r w:rsidR="00795912" w:rsidRPr="0020586C">
        <w:rPr>
          <w:i/>
          <w:color w:val="595959" w:themeColor="text1" w:themeTint="A6"/>
          <w:sz w:val="21"/>
          <w:szCs w:val="21"/>
        </w:rPr>
        <w:t xml:space="preserve">et al. </w:t>
      </w:r>
      <w:r w:rsidR="00795912" w:rsidRPr="0020586C">
        <w:rPr>
          <w:color w:val="595959" w:themeColor="text1" w:themeTint="A6"/>
          <w:sz w:val="21"/>
          <w:szCs w:val="21"/>
        </w:rPr>
        <w:t xml:space="preserve">2021) </w:t>
      </w:r>
      <w:r w:rsidR="00960F01" w:rsidRPr="0020586C">
        <w:rPr>
          <w:color w:val="595959" w:themeColor="text1" w:themeTint="A6"/>
          <w:sz w:val="21"/>
          <w:szCs w:val="21"/>
        </w:rPr>
        <w:t xml:space="preserve">and a mountain bioclimatic belt map </w:t>
      </w:r>
      <w:r w:rsidR="00960F01" w:rsidRPr="007B2926">
        <w:rPr>
          <w:color w:val="595959" w:themeColor="text1" w:themeTint="A6"/>
          <w:sz w:val="21"/>
        </w:rPr>
        <w:t>created by the Global Mountain Biodiversity Assessment</w:t>
      </w:r>
      <w:r w:rsidR="00960F01" w:rsidRPr="007B2926">
        <w:rPr>
          <w:rStyle w:val="FootnoteReference"/>
          <w:color w:val="595959" w:themeColor="text1" w:themeTint="A6"/>
          <w:sz w:val="21"/>
        </w:rPr>
        <w:footnoteReference w:id="3"/>
      </w:r>
      <w:r w:rsidR="00960F01" w:rsidRPr="007B2926">
        <w:rPr>
          <w:color w:val="595959" w:themeColor="text1" w:themeTint="A6"/>
          <w:sz w:val="21"/>
        </w:rPr>
        <w:t>.</w:t>
      </w:r>
      <w:r w:rsidR="007C4627" w:rsidRPr="007B2926">
        <w:rPr>
          <w:color w:val="595959" w:themeColor="text1" w:themeTint="A6"/>
          <w:sz w:val="21"/>
        </w:rPr>
        <w:t xml:space="preserve"> </w:t>
      </w:r>
    </w:p>
    <w:p w14:paraId="4E911E04" w14:textId="18DFBE7E" w:rsidR="00AE0A0F" w:rsidRPr="00104DA0" w:rsidRDefault="00AE0A0F" w:rsidP="007C4627">
      <w:pPr>
        <w:shd w:val="clear" w:color="auto" w:fill="FFFFFF"/>
        <w:spacing w:after="0"/>
        <w:contextualSpacing/>
        <w:rPr>
          <w:rStyle w:val="normaltextrun"/>
          <w:color w:val="4A4A4A"/>
          <w:sz w:val="21"/>
          <w:szCs w:val="21"/>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8365DA9" w14:textId="1DC8CD08" w:rsidR="007C4627" w:rsidRPr="007C4627" w:rsidRDefault="007C4627" w:rsidP="007C4627">
      <w:pPr>
        <w:shd w:val="clear" w:color="auto" w:fill="FFFFFF"/>
        <w:spacing w:after="0"/>
        <w:contextualSpacing/>
        <w:jc w:val="both"/>
        <w:rPr>
          <w:rFonts w:eastAsia="Times New Roman" w:cs="Times New Roman"/>
          <w:color w:val="595959" w:themeColor="text1" w:themeTint="A6"/>
          <w:sz w:val="21"/>
          <w:szCs w:val="21"/>
          <w:lang w:eastAsia="en-GB"/>
        </w:rPr>
      </w:pPr>
      <w:r w:rsidRPr="007C4627">
        <w:rPr>
          <w:color w:val="595959" w:themeColor="text1" w:themeTint="A6"/>
          <w:sz w:val="21"/>
          <w:szCs w:val="21"/>
        </w:rPr>
        <w:t xml:space="preserve">Data on both sub-indicators will be provided by </w:t>
      </w:r>
      <w:r w:rsidR="00000958">
        <w:rPr>
          <w:color w:val="595959" w:themeColor="text1" w:themeTint="A6"/>
          <w:sz w:val="21"/>
          <w:szCs w:val="21"/>
        </w:rPr>
        <w:t>National Statistics Office (NSO)</w:t>
      </w:r>
      <w:r w:rsidR="002916F5">
        <w:rPr>
          <w:color w:val="595959" w:themeColor="text1" w:themeTint="A6"/>
          <w:sz w:val="21"/>
          <w:szCs w:val="21"/>
        </w:rPr>
        <w:t xml:space="preserve"> SDG focal points</w:t>
      </w:r>
      <w:r w:rsidRPr="007C4627">
        <w:rPr>
          <w:color w:val="595959" w:themeColor="text1" w:themeTint="A6"/>
          <w:sz w:val="21"/>
          <w:szCs w:val="21"/>
        </w:rPr>
        <w:t xml:space="preserve"> to the FAO following a standard format every three years</w:t>
      </w:r>
      <w:r w:rsidR="003178BA">
        <w:rPr>
          <w:color w:val="595959" w:themeColor="text1" w:themeTint="A6"/>
          <w:sz w:val="21"/>
          <w:szCs w:val="21"/>
        </w:rPr>
        <w:t>.</w:t>
      </w:r>
      <w:r w:rsidRPr="007C4627">
        <w:rPr>
          <w:color w:val="595959" w:themeColor="text1" w:themeTint="A6"/>
          <w:sz w:val="21"/>
          <w:szCs w:val="21"/>
        </w:rPr>
        <w:t xml:space="preserve"> This will include the original data and reference sources, and descriptions of how these have been used to derive sub-indicators values. </w:t>
      </w:r>
    </w:p>
    <w:p w14:paraId="238A4F39" w14:textId="77777777" w:rsidR="007C4627" w:rsidRPr="00BD50EB" w:rsidRDefault="007C4627" w:rsidP="007C4627">
      <w:pPr>
        <w:shd w:val="clear" w:color="auto" w:fill="FFFFFF"/>
        <w:spacing w:after="0"/>
        <w:contextualSpacing/>
        <w:jc w:val="both"/>
        <w:rPr>
          <w:rFonts w:ascii="Calibri" w:eastAsia="Times New Roman" w:hAnsi="Calibri" w:cs="Calibri"/>
          <w:color w:val="595959" w:themeColor="text1" w:themeTint="A6"/>
          <w:sz w:val="21"/>
          <w:szCs w:val="21"/>
          <w:lang w:eastAsia="en-GB"/>
        </w:rPr>
      </w:pPr>
    </w:p>
    <w:p w14:paraId="63105AAE" w14:textId="1DC09D18" w:rsidR="00C03897" w:rsidRPr="00BD50EB" w:rsidRDefault="0004654E" w:rsidP="00BD50EB">
      <w:pPr>
        <w:shd w:val="clear" w:color="auto" w:fill="FFFFFF"/>
        <w:spacing w:after="0"/>
        <w:contextualSpacing/>
        <w:jc w:val="both"/>
        <w:rPr>
          <w:rFonts w:ascii="Calibri" w:eastAsia="Times New Roman" w:hAnsi="Calibri" w:cs="Calibri"/>
          <w:color w:val="595959" w:themeColor="text1" w:themeTint="A6"/>
          <w:sz w:val="21"/>
          <w:szCs w:val="21"/>
          <w:lang w:eastAsia="en-GB"/>
        </w:rPr>
      </w:pPr>
      <w:r w:rsidRPr="00BD50EB">
        <w:rPr>
          <w:rFonts w:ascii="Calibri" w:eastAsia="Times New Roman" w:hAnsi="Calibri" w:cs="Calibri"/>
          <w:color w:val="595959" w:themeColor="text1" w:themeTint="A6"/>
          <w:sz w:val="21"/>
          <w:szCs w:val="21"/>
          <w:lang w:eastAsia="en-GB"/>
        </w:rPr>
        <w:t>In addition, g</w:t>
      </w:r>
      <w:r w:rsidR="007C4627" w:rsidRPr="00BD50EB">
        <w:rPr>
          <w:rFonts w:ascii="Calibri" w:eastAsia="Times New Roman" w:hAnsi="Calibri" w:cs="Calibri"/>
          <w:color w:val="595959" w:themeColor="text1" w:themeTint="A6"/>
          <w:sz w:val="21"/>
          <w:szCs w:val="21"/>
          <w:lang w:eastAsia="en-GB"/>
        </w:rPr>
        <w:t xml:space="preserve">lobal estimates of both sub-indicators for all countries and </w:t>
      </w:r>
      <w:r w:rsidR="00000958">
        <w:rPr>
          <w:rFonts w:ascii="Calibri" w:eastAsia="Times New Roman" w:hAnsi="Calibri" w:cs="Calibri"/>
          <w:color w:val="595959" w:themeColor="text1" w:themeTint="A6"/>
          <w:sz w:val="21"/>
          <w:szCs w:val="21"/>
          <w:lang w:eastAsia="en-GB"/>
        </w:rPr>
        <w:t xml:space="preserve">territories </w:t>
      </w:r>
      <w:r w:rsidR="007C4627" w:rsidRPr="00BD50EB">
        <w:rPr>
          <w:rFonts w:ascii="Calibri" w:eastAsia="Times New Roman" w:hAnsi="Calibri" w:cs="Calibri"/>
          <w:color w:val="595959" w:themeColor="text1" w:themeTint="A6"/>
          <w:sz w:val="21"/>
          <w:szCs w:val="21"/>
          <w:lang w:eastAsia="en-GB"/>
        </w:rPr>
        <w:t xml:space="preserve">having mountain areas will be computed </w:t>
      </w:r>
      <w:r w:rsidR="00C03897" w:rsidRPr="00BD50EB">
        <w:rPr>
          <w:rFonts w:ascii="Calibri" w:eastAsia="Times New Roman" w:hAnsi="Calibri" w:cs="Calibri"/>
          <w:color w:val="595959" w:themeColor="text1" w:themeTint="A6"/>
          <w:sz w:val="21"/>
          <w:szCs w:val="21"/>
          <w:lang w:eastAsia="en-GB"/>
        </w:rPr>
        <w:t>by FAO</w:t>
      </w:r>
      <w:r w:rsidR="007C4627" w:rsidRPr="00BD50EB">
        <w:rPr>
          <w:rFonts w:ascii="Calibri" w:eastAsia="Times New Roman" w:hAnsi="Calibri" w:cs="Calibri"/>
          <w:color w:val="595959" w:themeColor="text1" w:themeTint="A6"/>
          <w:sz w:val="21"/>
          <w:szCs w:val="21"/>
          <w:lang w:eastAsia="en-GB"/>
        </w:rPr>
        <w:t xml:space="preserve"> using the above-mentioned global default data sources</w:t>
      </w:r>
      <w:r w:rsidRPr="00BD50EB">
        <w:rPr>
          <w:rFonts w:ascii="Calibri" w:eastAsia="Times New Roman" w:hAnsi="Calibri" w:cs="Calibri"/>
          <w:color w:val="595959" w:themeColor="text1" w:themeTint="A6"/>
          <w:sz w:val="21"/>
          <w:szCs w:val="21"/>
          <w:lang w:eastAsia="en-GB"/>
        </w:rPr>
        <w:t xml:space="preserve"> </w:t>
      </w:r>
      <w:r w:rsidR="002916F5" w:rsidRPr="00BD50EB">
        <w:rPr>
          <w:rFonts w:ascii="Calibri" w:hAnsi="Calibri" w:cs="Calibri"/>
          <w:color w:val="595959" w:themeColor="text1" w:themeTint="A6"/>
          <w:sz w:val="21"/>
          <w:szCs w:val="21"/>
          <w:lang w:val="en-US"/>
        </w:rPr>
        <w:t>when national official data do</w:t>
      </w:r>
      <w:r w:rsidR="002916F5" w:rsidRPr="00BD50EB">
        <w:rPr>
          <w:rFonts w:ascii="Calibri" w:eastAsia="Times New Roman" w:hAnsi="Calibri" w:cs="Calibri"/>
          <w:color w:val="595959" w:themeColor="text1" w:themeTint="A6"/>
          <w:sz w:val="21"/>
          <w:szCs w:val="21"/>
          <w:lang w:eastAsia="en-GB"/>
        </w:rPr>
        <w:t xml:space="preserve"> </w:t>
      </w:r>
      <w:r w:rsidR="002916F5" w:rsidRPr="00BD50EB">
        <w:rPr>
          <w:rFonts w:ascii="Calibri" w:hAnsi="Calibri" w:cs="Calibri"/>
          <w:color w:val="595959" w:themeColor="text1" w:themeTint="A6"/>
          <w:sz w:val="21"/>
          <w:szCs w:val="21"/>
          <w:lang w:val="en-US"/>
        </w:rPr>
        <w:t xml:space="preserve">not exist or are incomplete. In such cases, </w:t>
      </w:r>
      <w:r w:rsidR="00C03897" w:rsidRPr="00BD50EB">
        <w:rPr>
          <w:rFonts w:ascii="Calibri" w:eastAsia="Times New Roman" w:hAnsi="Calibri" w:cs="Calibri"/>
          <w:color w:val="595959" w:themeColor="text1" w:themeTint="A6"/>
          <w:sz w:val="21"/>
          <w:szCs w:val="21"/>
          <w:lang w:eastAsia="en-GB"/>
        </w:rPr>
        <w:t xml:space="preserve">FAO shares country figures with NSO SDG focal points for their validation before publication, in accordance to the IAEG-SDG guidelines of Global Data Flows and Reporting.  </w:t>
      </w:r>
    </w:p>
    <w:p w14:paraId="7D9F065F" w14:textId="33C950EF" w:rsidR="00EC2915" w:rsidRPr="00A96255" w:rsidRDefault="00576CFA" w:rsidP="00576CFA">
      <w:pPr>
        <w:pStyle w:val="MText"/>
      </w:pPr>
      <w:r w:rsidRPr="00A96255">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F7E82F1" w14:textId="51218CE4" w:rsidR="00EF5903" w:rsidRPr="00FB7F4B" w:rsidRDefault="009B2B3A" w:rsidP="00EF5903">
      <w:pPr>
        <w:shd w:val="clear" w:color="auto" w:fill="FFFFFF"/>
        <w:spacing w:after="0"/>
        <w:contextualSpacing/>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 xml:space="preserve">SDG indicator 15.4.2 </w:t>
      </w:r>
      <w:r w:rsidR="00BD50EB" w:rsidRPr="00FB7F4B">
        <w:rPr>
          <w:rFonts w:eastAsia="Times New Roman" w:cs="Times New Roman"/>
          <w:color w:val="595959" w:themeColor="text1" w:themeTint="A6"/>
          <w:sz w:val="21"/>
          <w:szCs w:val="21"/>
          <w:lang w:eastAsia="en-GB"/>
        </w:rPr>
        <w:t>is</w:t>
      </w:r>
      <w:r w:rsidRPr="00FB7F4B">
        <w:rPr>
          <w:rFonts w:eastAsia="Times New Roman" w:cs="Times New Roman"/>
          <w:color w:val="595959" w:themeColor="text1" w:themeTint="A6"/>
          <w:sz w:val="21"/>
          <w:szCs w:val="21"/>
          <w:lang w:eastAsia="en-GB"/>
        </w:rPr>
        <w:t xml:space="preserve"> updated every </w:t>
      </w:r>
      <w:r w:rsidR="00BD50EB" w:rsidRPr="00FB7F4B">
        <w:rPr>
          <w:rFonts w:eastAsia="Times New Roman" w:cs="Times New Roman"/>
          <w:color w:val="595959" w:themeColor="text1" w:themeTint="A6"/>
          <w:sz w:val="21"/>
          <w:szCs w:val="21"/>
          <w:lang w:eastAsia="en-GB"/>
        </w:rPr>
        <w:t xml:space="preserve">three </w:t>
      </w:r>
      <w:r w:rsidRPr="00FB7F4B">
        <w:rPr>
          <w:rFonts w:eastAsia="Times New Roman" w:cs="Times New Roman"/>
          <w:color w:val="595959" w:themeColor="text1" w:themeTint="A6"/>
          <w:sz w:val="21"/>
          <w:szCs w:val="21"/>
          <w:lang w:eastAsia="en-GB"/>
        </w:rPr>
        <w:t>years</w:t>
      </w:r>
      <w:r w:rsidR="00BD50EB" w:rsidRPr="00FB7F4B">
        <w:rPr>
          <w:rFonts w:eastAsia="Times New Roman" w:cs="Times New Roman"/>
          <w:color w:val="595959" w:themeColor="text1" w:themeTint="A6"/>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E181F14" w14:textId="5B2E5350" w:rsidR="00EF5903" w:rsidRPr="00FB7F4B" w:rsidRDefault="0006596A" w:rsidP="00686FB9">
      <w:pPr>
        <w:shd w:val="clear" w:color="auto" w:fill="FFFFFF"/>
        <w:spacing w:after="0"/>
        <w:contextualSpacing/>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March of every year, in line with the annual SDG reporting cycle</w:t>
      </w:r>
      <w:r w:rsidR="00757F17" w:rsidRPr="00FB7F4B">
        <w:rPr>
          <w:rFonts w:eastAsia="Times New Roman" w:cs="Times New Roman"/>
          <w:color w:val="595959" w:themeColor="text1" w:themeTint="A6"/>
          <w:sz w:val="21"/>
          <w:szCs w:val="21"/>
          <w:lang w:eastAsia="en-GB"/>
        </w:rPr>
        <w:t>.</w:t>
      </w:r>
    </w:p>
    <w:p w14:paraId="64C749BD" w14:textId="77777777" w:rsidR="00EC2915" w:rsidRPr="00A96255" w:rsidRDefault="00EC2915" w:rsidP="00576CFA">
      <w:pPr>
        <w:pStyle w:val="MText"/>
      </w:pPr>
    </w:p>
    <w:p w14:paraId="3A4F3065" w14:textId="3AD52F9D" w:rsidR="00E46D96" w:rsidRPr="007B2926" w:rsidRDefault="00E46D96" w:rsidP="00F719A8">
      <w:pPr>
        <w:pStyle w:val="MHeader2"/>
        <w:rPr>
          <w:lang w:val="it-IT"/>
        </w:rPr>
      </w:pPr>
      <w:r w:rsidRPr="007B2926">
        <w:rPr>
          <w:lang w:val="it-IT"/>
        </w:rPr>
        <w:t xml:space="preserve">3.e. Data providers </w:t>
      </w:r>
      <w:r>
        <w:rPr>
          <w:color w:val="B4B4B4"/>
          <w:sz w:val="20"/>
        </w:rPr>
        <w:t>(DATA_SOURCE)</w:t>
      </w:r>
    </w:p>
    <w:p w14:paraId="23B3DF00" w14:textId="5368E907" w:rsidR="00000958" w:rsidRPr="00000958" w:rsidRDefault="00000958" w:rsidP="003D511E">
      <w:pPr>
        <w:autoSpaceDE w:val="0"/>
        <w:autoSpaceDN w:val="0"/>
        <w:adjustRightInd w:val="0"/>
        <w:spacing w:after="0"/>
        <w:jc w:val="both"/>
        <w:rPr>
          <w:rFonts w:cstheme="minorHAnsi"/>
          <w:color w:val="595959" w:themeColor="text1" w:themeTint="A6"/>
          <w:sz w:val="21"/>
          <w:szCs w:val="21"/>
        </w:rPr>
      </w:pPr>
      <w:r w:rsidRPr="00000958">
        <w:rPr>
          <w:rFonts w:cstheme="minorHAnsi"/>
          <w:color w:val="595959" w:themeColor="text1" w:themeTint="A6"/>
          <w:sz w:val="21"/>
          <w:szCs w:val="21"/>
        </w:rPr>
        <w:t xml:space="preserve">NSO </w:t>
      </w:r>
      <w:r w:rsidR="00BD50EB" w:rsidRPr="00000958">
        <w:rPr>
          <w:rFonts w:cstheme="minorHAnsi"/>
          <w:color w:val="595959" w:themeColor="text1" w:themeTint="A6"/>
          <w:sz w:val="21"/>
          <w:szCs w:val="21"/>
        </w:rPr>
        <w:t xml:space="preserve">SDG focal points will </w:t>
      </w:r>
      <w:r w:rsidRPr="00000958">
        <w:rPr>
          <w:rFonts w:cstheme="minorHAnsi"/>
          <w:color w:val="595959" w:themeColor="text1" w:themeTint="A6"/>
          <w:sz w:val="21"/>
          <w:szCs w:val="21"/>
        </w:rPr>
        <w:t xml:space="preserve">provide reports that include values for both sub-indicators, including the original data and reference sources, and descriptions of how these have been used to derive sub-indicators values. FAO will provide </w:t>
      </w:r>
      <w:r w:rsidRPr="00000958">
        <w:rPr>
          <w:rFonts w:cstheme="minorHAnsi"/>
          <w:color w:val="595959" w:themeColor="text1" w:themeTint="A6"/>
          <w:sz w:val="21"/>
          <w:szCs w:val="21"/>
          <w:lang w:val="en-US"/>
        </w:rPr>
        <w:t>country-specific values for both sub-indicators when national official data do not exist or are incomplete, in consultation with concerned countries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3BE941B7" w14:textId="2B54BB72" w:rsidR="00EF5903" w:rsidRPr="00FB7F4B" w:rsidRDefault="00F50CC7" w:rsidP="00EF5903">
      <w:pPr>
        <w:shd w:val="clear" w:color="auto" w:fill="FFFFFF"/>
        <w:spacing w:after="0"/>
        <w:contextualSpacing/>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lastRenderedPageBreak/>
        <w:t>Food and Agriculture Organization of the United Nations (</w:t>
      </w:r>
      <w:r w:rsidR="00EF5903" w:rsidRPr="00FB7F4B">
        <w:rPr>
          <w:rFonts w:eastAsia="Times New Roman" w:cs="Times New Roman"/>
          <w:color w:val="595959" w:themeColor="text1" w:themeTint="A6"/>
          <w:sz w:val="21"/>
          <w:szCs w:val="21"/>
          <w:lang w:eastAsia="en-GB"/>
        </w:rPr>
        <w:t>FAO</w:t>
      </w:r>
      <w:r w:rsidRPr="00FB7F4B">
        <w:rPr>
          <w:rFonts w:eastAsia="Times New Roman" w:cs="Times New Roman"/>
          <w:color w:val="595959" w:themeColor="text1" w:themeTint="A6"/>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9227E02" w14:textId="0F26DBBA" w:rsidR="000646C5" w:rsidRPr="00FB7F4B" w:rsidRDefault="000646C5" w:rsidP="00220790">
      <w:pPr>
        <w:pStyle w:val="MText"/>
        <w:jc w:val="both"/>
        <w:rPr>
          <w:color w:val="595959" w:themeColor="text1" w:themeTint="A6"/>
        </w:rPr>
      </w:pPr>
      <w:r w:rsidRPr="00FB7F4B">
        <w:rPr>
          <w:color w:val="595959" w:themeColor="text1" w:themeTint="A6"/>
        </w:rPr>
        <w:t>Article 1 of FAO’s constitution specifies that “The Organization shall collect, analy</w:t>
      </w:r>
      <w:r w:rsidR="00220790" w:rsidRPr="00FB7F4B">
        <w:rPr>
          <w:color w:val="595959" w:themeColor="text1" w:themeTint="A6"/>
        </w:rPr>
        <w:t>s</w:t>
      </w:r>
      <w:r w:rsidRPr="00FB7F4B">
        <w:rPr>
          <w:color w:val="595959" w:themeColor="text1" w:themeTint="A6"/>
        </w:rPr>
        <w:t>e, interpret, and disseminate information related to nutrition, food and agriculture.” In this regard, FAO collects national level data from member countries, which it then standardizes and disseminates through corporate statistical databases. FAO is the custodian UN agency for 21 SDG indicators, including 15.4.2.</w:t>
      </w:r>
    </w:p>
    <w:p w14:paraId="5AC76E73" w14:textId="77777777" w:rsidR="000646C5" w:rsidRPr="00A96255" w:rsidRDefault="000646C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4D3E6135" w14:textId="1CAE4DEE" w:rsidR="00C03897" w:rsidRPr="00F72C69" w:rsidRDefault="00576CFA" w:rsidP="00F72C69">
      <w:pPr>
        <w:pStyle w:val="MHeader2"/>
      </w:pPr>
      <w:r w:rsidRPr="00A96255">
        <w:t xml:space="preserve">4.a. Rationale </w:t>
      </w:r>
      <w:r>
        <w:rPr>
          <w:color w:val="B4B4B4"/>
          <w:sz w:val="20"/>
        </w:rPr>
        <w:t>(RATIONALE)</w:t>
      </w:r>
    </w:p>
    <w:p w14:paraId="181AEFAC" w14:textId="693976E7" w:rsidR="00C03897" w:rsidRPr="00FB7F4B" w:rsidRDefault="00C03897" w:rsidP="00220790">
      <w:pPr>
        <w:shd w:val="clear" w:color="auto" w:fill="FFFFFF"/>
        <w:spacing w:after="0"/>
        <w:contextualSpacing/>
        <w:jc w:val="both"/>
        <w:rPr>
          <w:rFonts w:eastAsia="Times New Roman" w:cs="Times New Roman"/>
          <w:color w:val="595959" w:themeColor="text1" w:themeTint="A6"/>
          <w:sz w:val="21"/>
          <w:szCs w:val="21"/>
          <w:lang w:eastAsia="en-GB"/>
        </w:rPr>
      </w:pPr>
      <w:r w:rsidRPr="00C03897">
        <w:rPr>
          <w:rFonts w:eastAsia="Times New Roman" w:cs="Times New Roman"/>
          <w:color w:val="4A4A4A"/>
          <w:sz w:val="21"/>
          <w:szCs w:val="21"/>
          <w:lang w:eastAsia="en-GB"/>
        </w:rPr>
        <w:t>Mountain ecosystems are important biodiversity centres that provide valuable ecosystem services to upstream and downstream areas. Yet, mountains are very fragile and impacted easily by both natural and anthropogenic factors. These can include climate change, unplanned agricultural expansion, unplanned urbanization, timber extraction</w:t>
      </w:r>
      <w:r w:rsidR="00757F17">
        <w:rPr>
          <w:rFonts w:eastAsia="Times New Roman" w:cs="Times New Roman"/>
          <w:color w:val="4A4A4A"/>
          <w:sz w:val="21"/>
          <w:szCs w:val="21"/>
          <w:lang w:eastAsia="en-GB"/>
        </w:rPr>
        <w:t>,</w:t>
      </w:r>
      <w:r w:rsidRPr="00C03897">
        <w:rPr>
          <w:rFonts w:eastAsia="Times New Roman" w:cs="Times New Roman"/>
          <w:color w:val="4A4A4A"/>
          <w:sz w:val="21"/>
          <w:szCs w:val="21"/>
          <w:lang w:eastAsia="en-GB"/>
        </w:rPr>
        <w:t xml:space="preserve"> recreational activities</w:t>
      </w:r>
      <w:r w:rsidR="00757F17">
        <w:rPr>
          <w:rFonts w:eastAsia="Times New Roman" w:cs="Times New Roman"/>
          <w:color w:val="4A4A4A"/>
          <w:sz w:val="21"/>
          <w:szCs w:val="21"/>
          <w:lang w:eastAsia="en-GB"/>
        </w:rPr>
        <w:t xml:space="preserve"> and </w:t>
      </w:r>
      <w:r w:rsidR="00757F17" w:rsidRPr="00C03897">
        <w:rPr>
          <w:rFonts w:eastAsia="Times New Roman" w:cs="Times New Roman"/>
          <w:color w:val="4A4A4A"/>
          <w:sz w:val="21"/>
          <w:szCs w:val="21"/>
          <w:lang w:eastAsia="en-GB"/>
        </w:rPr>
        <w:t>natural hazards s</w:t>
      </w:r>
      <w:r w:rsidR="00757F17">
        <w:rPr>
          <w:rFonts w:eastAsia="Times New Roman" w:cs="Times New Roman"/>
          <w:color w:val="4A4A4A"/>
          <w:sz w:val="21"/>
          <w:szCs w:val="21"/>
          <w:lang w:eastAsia="en-GB"/>
        </w:rPr>
        <w:t>uch as landslides and flooding</w:t>
      </w:r>
      <w:r w:rsidRPr="00C03897">
        <w:rPr>
          <w:rFonts w:eastAsia="Times New Roman" w:cs="Times New Roman"/>
          <w:color w:val="4A4A4A"/>
          <w:sz w:val="21"/>
          <w:szCs w:val="21"/>
          <w:lang w:eastAsia="en-GB"/>
        </w:rPr>
        <w:t xml:space="preserve">. </w:t>
      </w:r>
      <w:r w:rsidRPr="00220790">
        <w:rPr>
          <w:rFonts w:eastAsia="Times New Roman" w:cs="Times New Roman"/>
          <w:color w:val="595959" w:themeColor="text1" w:themeTint="A6"/>
          <w:sz w:val="21"/>
          <w:szCs w:val="21"/>
          <w:lang w:eastAsia="en-GB"/>
        </w:rPr>
        <w:t xml:space="preserve">The degradation of mountain ecosystems such as loss of the glacial cover, mountain biodiversity and green </w:t>
      </w:r>
      <w:r w:rsidRPr="00FB7F4B">
        <w:rPr>
          <w:rFonts w:eastAsia="Times New Roman" w:cs="Times New Roman"/>
          <w:color w:val="595959" w:themeColor="text1" w:themeTint="A6"/>
          <w:sz w:val="21"/>
          <w:szCs w:val="21"/>
          <w:lang w:eastAsia="en-GB"/>
        </w:rPr>
        <w:t xml:space="preserve">cover will affect the ability of the ecosystem to supply water downstream. The loss of forest and vegetative cover will reduce the ability of the ecosystem to retain soil and prevent landslides and flooding downstream. </w:t>
      </w:r>
    </w:p>
    <w:p w14:paraId="5C6961B7" w14:textId="77777777" w:rsidR="00C03897" w:rsidRPr="00FB7F4B" w:rsidRDefault="00C03897" w:rsidP="00220790">
      <w:pPr>
        <w:shd w:val="clear" w:color="auto" w:fill="FFFFFF"/>
        <w:spacing w:after="0"/>
        <w:contextualSpacing/>
        <w:jc w:val="both"/>
        <w:rPr>
          <w:rFonts w:eastAsia="Times New Roman" w:cs="Times New Roman"/>
          <w:color w:val="595959" w:themeColor="text1" w:themeTint="A6"/>
          <w:sz w:val="21"/>
          <w:szCs w:val="21"/>
          <w:lang w:eastAsia="en-GB"/>
        </w:rPr>
      </w:pPr>
    </w:p>
    <w:p w14:paraId="51D68737" w14:textId="12FC698B" w:rsidR="00C03897" w:rsidRPr="00FB7F4B" w:rsidRDefault="00C03897" w:rsidP="00220790">
      <w:pPr>
        <w:shd w:val="clear" w:color="auto" w:fill="FFFFFF" w:themeFill="background1"/>
        <w:spacing w:after="0"/>
        <w:contextualSpacing/>
        <w:jc w:val="both"/>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 xml:space="preserve">Therefore, monitoring mountain vegetation changes </w:t>
      </w:r>
      <w:r w:rsidR="007C5AB8" w:rsidRPr="00FB7F4B">
        <w:rPr>
          <w:color w:val="595959" w:themeColor="text1" w:themeTint="A6"/>
          <w:sz w:val="21"/>
          <w:szCs w:val="21"/>
        </w:rPr>
        <w:t xml:space="preserve">and its estimated impact in terms of ecosystem degradation and recovery </w:t>
      </w:r>
      <w:r w:rsidRPr="00FB7F4B">
        <w:rPr>
          <w:rFonts w:eastAsia="Times New Roman" w:cs="Times New Roman"/>
          <w:color w:val="595959" w:themeColor="text1" w:themeTint="A6"/>
          <w:sz w:val="21"/>
          <w:szCs w:val="21"/>
          <w:lang w:eastAsia="en-GB"/>
        </w:rPr>
        <w:t>provides information on the status of mountain ecosystems. Assessing the change</w:t>
      </w:r>
      <w:r w:rsidR="007C5AB8" w:rsidRPr="00FB7F4B">
        <w:rPr>
          <w:rFonts w:eastAsia="Times New Roman" w:cs="Times New Roman"/>
          <w:color w:val="595959" w:themeColor="text1" w:themeTint="A6"/>
          <w:sz w:val="21"/>
          <w:szCs w:val="21"/>
          <w:lang w:eastAsia="en-GB"/>
        </w:rPr>
        <w:t xml:space="preserve">s in land cover </w:t>
      </w:r>
      <w:r w:rsidRPr="00FB7F4B">
        <w:rPr>
          <w:rFonts w:eastAsia="Times New Roman" w:cs="Times New Roman"/>
          <w:color w:val="595959" w:themeColor="text1" w:themeTint="A6"/>
          <w:sz w:val="21"/>
          <w:szCs w:val="21"/>
          <w:lang w:eastAsia="en-GB"/>
        </w:rPr>
        <w:t xml:space="preserve">differentiated by </w:t>
      </w:r>
      <w:r w:rsidR="007C5AB8" w:rsidRPr="00FB7F4B">
        <w:rPr>
          <w:rFonts w:eastAsia="Times New Roman" w:cs="Times New Roman"/>
          <w:color w:val="595959" w:themeColor="text1" w:themeTint="A6"/>
          <w:sz w:val="21"/>
          <w:szCs w:val="21"/>
          <w:lang w:eastAsia="en-GB"/>
        </w:rPr>
        <w:t xml:space="preserve">bioclimatic belts </w:t>
      </w:r>
      <w:r w:rsidRPr="00FB7F4B">
        <w:rPr>
          <w:rFonts w:eastAsia="Times New Roman" w:cs="Times New Roman"/>
          <w:color w:val="595959" w:themeColor="text1" w:themeTint="A6"/>
          <w:sz w:val="21"/>
          <w:szCs w:val="21"/>
          <w:lang w:eastAsia="en-GB"/>
        </w:rPr>
        <w:t>is important in understanding the role that environmental factors, such as climate, play in explaining variations of mountain green cover across regions</w:t>
      </w:r>
      <w:r w:rsidR="007C5AB8" w:rsidRPr="00FB7F4B">
        <w:rPr>
          <w:rFonts w:eastAsia="Times New Roman" w:cs="Times New Roman"/>
          <w:color w:val="595959" w:themeColor="text1" w:themeTint="A6"/>
          <w:sz w:val="21"/>
          <w:szCs w:val="21"/>
          <w:lang w:eastAsia="en-GB"/>
        </w:rPr>
        <w:t xml:space="preserve"> and helps to better interpret the direction of those changes. </w:t>
      </w:r>
    </w:p>
    <w:p w14:paraId="18EA7892" w14:textId="2631358A" w:rsidR="00576CFA" w:rsidRPr="00A96255" w:rsidRDefault="00576CFA" w:rsidP="00576CFA">
      <w:pPr>
        <w:pStyle w:val="MText"/>
      </w:pPr>
    </w:p>
    <w:p w14:paraId="788EE664" w14:textId="14E0C726" w:rsidR="00C03897" w:rsidRPr="00F72C69" w:rsidRDefault="00E1050F" w:rsidP="00F72C69">
      <w:pPr>
        <w:pStyle w:val="MHeader2"/>
      </w:pPr>
      <w:r w:rsidRPr="00A96255">
        <w:t xml:space="preserve">4.b. Comment and limitations </w:t>
      </w:r>
      <w:r>
        <w:rPr>
          <w:color w:val="B4B4B4"/>
          <w:sz w:val="20"/>
        </w:rPr>
        <w:t>(REC_USE_LIM)</w:t>
      </w:r>
    </w:p>
    <w:p w14:paraId="537C9E64" w14:textId="39E03870" w:rsidR="00C03897" w:rsidRPr="00220790" w:rsidRDefault="00C03897" w:rsidP="002A2E8D">
      <w:pPr>
        <w:shd w:val="clear" w:color="auto" w:fill="FFFFFF"/>
        <w:spacing w:after="0"/>
        <w:contextualSpacing/>
        <w:jc w:val="both"/>
        <w:rPr>
          <w:rFonts w:eastAsia="Times New Roman" w:cs="Times New Roman"/>
          <w:color w:val="595959" w:themeColor="text1" w:themeTint="A6"/>
          <w:sz w:val="21"/>
          <w:szCs w:val="21"/>
          <w:lang w:eastAsia="en-GB"/>
        </w:rPr>
      </w:pPr>
      <w:r w:rsidRPr="00220790">
        <w:rPr>
          <w:rFonts w:eastAsia="Times New Roman" w:cs="Times New Roman"/>
          <w:color w:val="595959" w:themeColor="text1" w:themeTint="A6"/>
          <w:sz w:val="21"/>
          <w:szCs w:val="21"/>
          <w:lang w:eastAsia="en-GB"/>
        </w:rPr>
        <w:t>The indicator can be calculated using freely available Earth Observation data and simple G</w:t>
      </w:r>
      <w:r w:rsidR="003178BA">
        <w:rPr>
          <w:rFonts w:eastAsia="Times New Roman" w:cs="Times New Roman"/>
          <w:color w:val="595959" w:themeColor="text1" w:themeTint="A6"/>
          <w:sz w:val="21"/>
          <w:szCs w:val="21"/>
          <w:lang w:eastAsia="en-GB"/>
        </w:rPr>
        <w:t>eographic Information Science (GIS)</w:t>
      </w:r>
      <w:r w:rsidRPr="00220790">
        <w:rPr>
          <w:rFonts w:eastAsia="Times New Roman" w:cs="Times New Roman"/>
          <w:color w:val="595959" w:themeColor="text1" w:themeTint="A6"/>
          <w:sz w:val="21"/>
          <w:szCs w:val="21"/>
          <w:lang w:eastAsia="en-GB"/>
        </w:rPr>
        <w:t xml:space="preserve"> operations that can be processed in free and open source software (FOSS) GIS. </w:t>
      </w:r>
      <w:r w:rsidR="007C5AB8" w:rsidRPr="00220790">
        <w:rPr>
          <w:color w:val="595959" w:themeColor="text1" w:themeTint="A6"/>
          <w:sz w:val="21"/>
          <w:szCs w:val="21"/>
        </w:rPr>
        <w:t>Regional and global land cover data derived from Earth observation can play an important role in the absence of, to complement, or to enhance national official data sources. These datasets can help validate and improve national statistics for greater accuracy by ensuring that the data</w:t>
      </w:r>
    </w:p>
    <w:p w14:paraId="6ED53798" w14:textId="77777777" w:rsidR="00C03897" w:rsidRPr="00220790" w:rsidRDefault="00C03897" w:rsidP="00D20DFA">
      <w:pPr>
        <w:shd w:val="clear" w:color="auto" w:fill="FFFFFF"/>
        <w:spacing w:after="0"/>
        <w:contextualSpacing/>
        <w:rPr>
          <w:rFonts w:eastAsia="Times New Roman" w:cs="Times New Roman"/>
          <w:color w:val="595959" w:themeColor="text1" w:themeTint="A6"/>
          <w:sz w:val="21"/>
          <w:szCs w:val="21"/>
          <w:lang w:eastAsia="en-GB"/>
        </w:rPr>
      </w:pPr>
    </w:p>
    <w:p w14:paraId="29368B9D" w14:textId="3F0C893A" w:rsidR="007C5AB8" w:rsidRPr="00220790" w:rsidRDefault="007C5AB8" w:rsidP="00D20DFA">
      <w:pPr>
        <w:shd w:val="clear" w:color="auto" w:fill="FFFFFF"/>
        <w:spacing w:after="0"/>
        <w:contextualSpacing/>
        <w:jc w:val="both"/>
        <w:rPr>
          <w:color w:val="595959" w:themeColor="text1" w:themeTint="A6"/>
          <w:sz w:val="21"/>
          <w:szCs w:val="21"/>
        </w:rPr>
      </w:pPr>
      <w:r w:rsidRPr="00220790">
        <w:rPr>
          <w:color w:val="595959" w:themeColor="text1" w:themeTint="A6"/>
          <w:sz w:val="21"/>
          <w:szCs w:val="21"/>
        </w:rPr>
        <w:t xml:space="preserve">Recognizing that </w:t>
      </w:r>
      <w:r w:rsidR="003A689A" w:rsidRPr="003A689A">
        <w:rPr>
          <w:color w:val="595959" w:themeColor="text1" w:themeTint="A6"/>
          <w:sz w:val="21"/>
          <w:szCs w:val="21"/>
        </w:rPr>
        <w:t>this indicator</w:t>
      </w:r>
      <w:r w:rsidRPr="00220790">
        <w:rPr>
          <w:color w:val="595959" w:themeColor="text1" w:themeTint="A6"/>
          <w:sz w:val="21"/>
          <w:szCs w:val="21"/>
        </w:rPr>
        <w:t xml:space="preserve"> cannot fully capture the complexity of mountain </w:t>
      </w:r>
      <w:r w:rsidRPr="003A689A">
        <w:rPr>
          <w:color w:val="595959" w:themeColor="text1" w:themeTint="A6"/>
          <w:sz w:val="21"/>
          <w:szCs w:val="21"/>
        </w:rPr>
        <w:t xml:space="preserve">ecosystems </w:t>
      </w:r>
      <w:r w:rsidR="003A689A" w:rsidRPr="003A689A">
        <w:rPr>
          <w:color w:val="595959" w:themeColor="text1" w:themeTint="A6"/>
          <w:sz w:val="21"/>
          <w:szCs w:val="21"/>
        </w:rPr>
        <w:t xml:space="preserve">across the world, </w:t>
      </w:r>
      <w:r w:rsidRPr="00220790">
        <w:rPr>
          <w:color w:val="595959" w:themeColor="text1" w:themeTint="A6"/>
          <w:sz w:val="21"/>
          <w:szCs w:val="21"/>
        </w:rPr>
        <w:t>countries are strongly encouraged to use other relevant national or sub-national indicators, data and information to strengthen their interpretation</w:t>
      </w:r>
      <w:r w:rsidR="003A689A" w:rsidRPr="003A689A">
        <w:rPr>
          <w:color w:val="595959" w:themeColor="text1" w:themeTint="A6"/>
          <w:sz w:val="21"/>
          <w:szCs w:val="21"/>
        </w:rPr>
        <w:t>, as well as taking</w:t>
      </w:r>
      <w:r w:rsidR="003A689A" w:rsidRPr="00220790">
        <w:rPr>
          <w:color w:val="595959" w:themeColor="text1" w:themeTint="A6"/>
          <w:sz w:val="21"/>
          <w:szCs w:val="21"/>
        </w:rPr>
        <w:t xml:space="preserve"> into account the following limitations: </w:t>
      </w:r>
    </w:p>
    <w:p w14:paraId="27B451BB" w14:textId="490D741B" w:rsidR="003A689A" w:rsidRPr="00220790" w:rsidRDefault="003A689A" w:rsidP="00D20DFA">
      <w:pPr>
        <w:shd w:val="clear" w:color="auto" w:fill="FFFFFF"/>
        <w:spacing w:after="0"/>
        <w:contextualSpacing/>
        <w:jc w:val="both"/>
        <w:rPr>
          <w:color w:val="595959" w:themeColor="text1" w:themeTint="A6"/>
          <w:sz w:val="21"/>
          <w:szCs w:val="21"/>
        </w:rPr>
      </w:pPr>
    </w:p>
    <w:p w14:paraId="7FFB2B47" w14:textId="52BB0141" w:rsidR="003A689A" w:rsidRPr="00E550CB" w:rsidRDefault="003A689A" w:rsidP="007B2926">
      <w:pPr>
        <w:pStyle w:val="Default"/>
        <w:numPr>
          <w:ilvl w:val="0"/>
          <w:numId w:val="15"/>
        </w:numPr>
        <w:spacing w:after="200" w:line="276" w:lineRule="auto"/>
        <w:ind w:left="360"/>
        <w:jc w:val="both"/>
        <w:rPr>
          <w:color w:val="595959" w:themeColor="text1" w:themeTint="A6"/>
          <w:sz w:val="21"/>
          <w:szCs w:val="21"/>
        </w:rPr>
      </w:pPr>
      <w:r w:rsidRPr="00220790">
        <w:rPr>
          <w:color w:val="595959" w:themeColor="text1" w:themeTint="A6"/>
          <w:sz w:val="21"/>
          <w:szCs w:val="21"/>
        </w:rPr>
        <w:t xml:space="preserve">Sub-indicator </w:t>
      </w:r>
      <w:r w:rsidRPr="003A689A">
        <w:rPr>
          <w:color w:val="595959" w:themeColor="text1" w:themeTint="A6"/>
          <w:sz w:val="21"/>
          <w:szCs w:val="21"/>
        </w:rPr>
        <w:t>‘’</w:t>
      </w:r>
      <w:r w:rsidRPr="002A2E8D">
        <w:rPr>
          <w:color w:val="595959" w:themeColor="text1" w:themeTint="A6"/>
          <w:sz w:val="21"/>
          <w:szCs w:val="21"/>
        </w:rPr>
        <w:t>a</w:t>
      </w:r>
      <w:r w:rsidRPr="003A689A">
        <w:rPr>
          <w:color w:val="595959" w:themeColor="text1" w:themeTint="A6"/>
          <w:sz w:val="21"/>
          <w:szCs w:val="21"/>
        </w:rPr>
        <w:t>’’</w:t>
      </w:r>
      <w:r w:rsidRPr="002A2E8D">
        <w:rPr>
          <w:color w:val="595959" w:themeColor="text1" w:themeTint="A6"/>
          <w:sz w:val="21"/>
          <w:szCs w:val="21"/>
        </w:rPr>
        <w:t xml:space="preserve"> should be interpreted with care given that: 1) lack of green cover does not necessarily mean that a particular mountain area is degraded (i.e. areas of permanent snow and ice, scree slopes and natural sparsely vegetated areas above the tree line, 2) it does not capture significant drivers of change such as conversion of natural areas to cropland or pastureland, and 3) increase in green cover may due to impacts of climate change in mountain areas (i.e. increase in green cover due to snow and glacier retreat due to global warming). </w:t>
      </w:r>
    </w:p>
    <w:p w14:paraId="61B84B63" w14:textId="7054B3C3" w:rsidR="003A689A" w:rsidRPr="002A2E8D" w:rsidRDefault="003A689A" w:rsidP="007B2926">
      <w:pPr>
        <w:pStyle w:val="Default"/>
        <w:numPr>
          <w:ilvl w:val="0"/>
          <w:numId w:val="15"/>
        </w:numPr>
        <w:tabs>
          <w:tab w:val="left" w:pos="360"/>
        </w:tabs>
        <w:spacing w:after="200" w:line="276" w:lineRule="auto"/>
        <w:ind w:left="360"/>
        <w:jc w:val="both"/>
        <w:rPr>
          <w:color w:val="595959" w:themeColor="text1" w:themeTint="A6"/>
          <w:sz w:val="21"/>
          <w:szCs w:val="21"/>
        </w:rPr>
      </w:pPr>
      <w:r w:rsidRPr="002A2E8D">
        <w:rPr>
          <w:color w:val="595959" w:themeColor="text1" w:themeTint="A6"/>
          <w:sz w:val="21"/>
          <w:szCs w:val="21"/>
        </w:rPr>
        <w:lastRenderedPageBreak/>
        <w:t xml:space="preserve">Because land cover refers to the naturally stable aspects of land and the structure of its key elements, transient aspects such as vegetation phenology, snow or flooding cannot be captured by land cover transitions as measured in sub-indicator </w:t>
      </w:r>
      <w:r w:rsidR="00757F17">
        <w:rPr>
          <w:color w:val="595959" w:themeColor="text1" w:themeTint="A6"/>
          <w:sz w:val="21"/>
          <w:szCs w:val="21"/>
        </w:rPr>
        <w:t>15.4.2</w:t>
      </w:r>
      <w:r w:rsidRPr="002A2E8D">
        <w:rPr>
          <w:color w:val="595959" w:themeColor="text1" w:themeTint="A6"/>
          <w:sz w:val="21"/>
          <w:szCs w:val="21"/>
        </w:rPr>
        <w:t xml:space="preserve">b. In the context of SDG Target 15.4, this is particularly relevant for snow cover dynamics (snow cover duration within a year), which has been highlighted as a key impact of global warming in mountain ecosystems with direct impacts to water provision (Notarnicola, 2020). </w:t>
      </w:r>
    </w:p>
    <w:p w14:paraId="7630F3E5" w14:textId="29FDAB7A" w:rsidR="003A689A" w:rsidRPr="002A2E8D" w:rsidRDefault="003A689A" w:rsidP="007B2926">
      <w:pPr>
        <w:pStyle w:val="Default"/>
        <w:numPr>
          <w:ilvl w:val="0"/>
          <w:numId w:val="15"/>
        </w:numPr>
        <w:spacing w:after="200" w:line="276" w:lineRule="auto"/>
        <w:ind w:left="360"/>
        <w:jc w:val="both"/>
        <w:rPr>
          <w:color w:val="595959" w:themeColor="text1" w:themeTint="A6"/>
          <w:sz w:val="21"/>
          <w:szCs w:val="21"/>
        </w:rPr>
      </w:pPr>
      <w:r w:rsidRPr="002A2E8D">
        <w:rPr>
          <w:color w:val="595959" w:themeColor="text1" w:themeTint="A6"/>
          <w:sz w:val="21"/>
          <w:szCs w:val="21"/>
        </w:rPr>
        <w:t xml:space="preserve">Decisions about which land cover transitions are linked to degradation processes would sometimes require information on the use of land, not only land cover. For example, the conversion of tree-covered areas to grassland may be a result of deforestation (change in land cover and land use) or just the result of certain management practices and natural disturbance (change in land cover only). The former could be identified as a negative transition, while the latter could be considered as stable or unchanging. The use of land use information would help to better characterize those changes in the context of sub-indicator “b’’. </w:t>
      </w:r>
    </w:p>
    <w:p w14:paraId="4F099DB7" w14:textId="663A073A" w:rsidR="003A689A" w:rsidRPr="002A2E8D" w:rsidRDefault="003A689A" w:rsidP="007B2926">
      <w:pPr>
        <w:pStyle w:val="Default"/>
        <w:numPr>
          <w:ilvl w:val="0"/>
          <w:numId w:val="15"/>
        </w:numPr>
        <w:spacing w:after="200" w:line="276" w:lineRule="auto"/>
        <w:ind w:left="360"/>
        <w:jc w:val="both"/>
        <w:rPr>
          <w:color w:val="595959" w:themeColor="text1" w:themeTint="A6"/>
          <w:sz w:val="21"/>
          <w:szCs w:val="21"/>
        </w:rPr>
      </w:pPr>
      <w:r w:rsidRPr="002A2E8D">
        <w:rPr>
          <w:color w:val="595959" w:themeColor="text1" w:themeTint="A6"/>
          <w:sz w:val="21"/>
          <w:szCs w:val="21"/>
        </w:rPr>
        <w:t>Both sub-indicators are not able to capture ecosystem degradation drivers that do not necessarily result in changes in land cover. Some examples of this include conversions of natural forest</w:t>
      </w:r>
      <w:r w:rsidR="00A407B5">
        <w:rPr>
          <w:color w:val="595959" w:themeColor="text1" w:themeTint="A6"/>
          <w:sz w:val="21"/>
          <w:szCs w:val="21"/>
        </w:rPr>
        <w:t>s</w:t>
      </w:r>
      <w:r w:rsidRPr="002A2E8D">
        <w:rPr>
          <w:color w:val="595959" w:themeColor="text1" w:themeTint="A6"/>
          <w:sz w:val="21"/>
          <w:szCs w:val="21"/>
        </w:rPr>
        <w:t xml:space="preserve"> to</w:t>
      </w:r>
      <w:r w:rsidR="003178BA">
        <w:rPr>
          <w:color w:val="595959" w:themeColor="text1" w:themeTint="A6"/>
          <w:sz w:val="21"/>
          <w:szCs w:val="21"/>
        </w:rPr>
        <w:t xml:space="preserve"> </w:t>
      </w:r>
      <w:r w:rsidR="00A407B5">
        <w:rPr>
          <w:color w:val="595959" w:themeColor="text1" w:themeTint="A6"/>
          <w:sz w:val="21"/>
          <w:szCs w:val="21"/>
        </w:rPr>
        <w:t>intensively managed production systems such as plantation forests, orchards and oil palm plantations;</w:t>
      </w:r>
      <w:r w:rsidRPr="002A2E8D">
        <w:rPr>
          <w:color w:val="595959" w:themeColor="text1" w:themeTint="A6"/>
          <w:sz w:val="21"/>
          <w:szCs w:val="21"/>
        </w:rPr>
        <w:t xml:space="preserve"> conversion of natural and semi-natural grasslands to intensively used pastures, forest and grassland degradation or invasive species invasion, among others. However, the use of more detailed national land use maps may be able to overcome some of these gaps for sub-indicator </w:t>
      </w:r>
      <w:r w:rsidR="00757F17">
        <w:rPr>
          <w:color w:val="595959" w:themeColor="text1" w:themeTint="A6"/>
          <w:sz w:val="21"/>
          <w:szCs w:val="21"/>
        </w:rPr>
        <w:t>15.4.2b</w:t>
      </w:r>
      <w:r w:rsidRPr="002A2E8D">
        <w:rPr>
          <w:color w:val="595959" w:themeColor="text1" w:themeTint="A6"/>
          <w:sz w:val="21"/>
          <w:szCs w:val="21"/>
        </w:rPr>
        <w:t>.</w:t>
      </w:r>
    </w:p>
    <w:p w14:paraId="1A78223A" w14:textId="7B56608F" w:rsidR="005D73A1" w:rsidRPr="007B2926" w:rsidRDefault="002351A4" w:rsidP="007B2926">
      <w:pPr>
        <w:pStyle w:val="Default"/>
        <w:numPr>
          <w:ilvl w:val="0"/>
          <w:numId w:val="15"/>
        </w:numPr>
        <w:spacing w:after="200" w:line="276" w:lineRule="auto"/>
        <w:ind w:left="360"/>
        <w:jc w:val="both"/>
        <w:rPr>
          <w:rFonts w:asciiTheme="minorHAnsi" w:hAnsiTheme="minorHAnsi"/>
          <w:color w:val="4A4A4A"/>
          <w:sz w:val="21"/>
        </w:rPr>
      </w:pPr>
      <w:r w:rsidRPr="002A2E8D">
        <w:rPr>
          <w:color w:val="595959" w:themeColor="text1" w:themeTint="A6"/>
          <w:sz w:val="21"/>
          <w:szCs w:val="21"/>
        </w:rPr>
        <w:t xml:space="preserve">While access to remote sensing imagery has improved dramatically in recent years, there is still a need </w:t>
      </w:r>
      <w:r w:rsidRPr="007B2926">
        <w:rPr>
          <w:rFonts w:asciiTheme="minorHAnsi" w:hAnsiTheme="minorHAnsi"/>
          <w:color w:val="595959" w:themeColor="text1" w:themeTint="A6"/>
          <w:sz w:val="21"/>
        </w:rPr>
        <w:t xml:space="preserve">for </w:t>
      </w:r>
      <w:r w:rsidRPr="007B2926">
        <w:rPr>
          <w:rFonts w:asciiTheme="minorHAnsi" w:hAnsiTheme="minorHAnsi"/>
          <w:color w:val="4A4A4A"/>
          <w:sz w:val="21"/>
        </w:rPr>
        <w:t xml:space="preserve">essential historical time series that is currently only available at coarse to medium resolution. </w:t>
      </w:r>
      <w:r w:rsidR="00C03897" w:rsidRPr="007B2926">
        <w:rPr>
          <w:rFonts w:asciiTheme="minorHAnsi" w:hAnsiTheme="minorHAnsi"/>
          <w:color w:val="4A4A4A"/>
          <w:sz w:val="21"/>
        </w:rPr>
        <w:t xml:space="preserve">Therefore, if countries have national land cover maps of higher spatial resolution and comparable or better quality, FAO advises using them, following the same methodology presented here, for the generation of </w:t>
      </w:r>
      <w:r w:rsidR="00220790" w:rsidRPr="007B2926">
        <w:rPr>
          <w:rFonts w:asciiTheme="minorHAnsi" w:hAnsiTheme="minorHAnsi"/>
          <w:color w:val="4A4A4A"/>
          <w:sz w:val="21"/>
        </w:rPr>
        <w:t xml:space="preserve">the indicator’s </w:t>
      </w:r>
      <w:r w:rsidR="00C03897" w:rsidRPr="007B2926">
        <w:rPr>
          <w:rFonts w:asciiTheme="minorHAnsi" w:hAnsiTheme="minorHAnsi"/>
          <w:color w:val="4A4A4A"/>
          <w:sz w:val="21"/>
        </w:rPr>
        <w:t xml:space="preserve">values. </w:t>
      </w:r>
    </w:p>
    <w:p w14:paraId="3CFA4E61" w14:textId="736449C6" w:rsidR="00C03897" w:rsidRPr="005D73A1" w:rsidRDefault="009F33B9" w:rsidP="009F33B9">
      <w:pPr>
        <w:pStyle w:val="Default"/>
        <w:numPr>
          <w:ilvl w:val="0"/>
          <w:numId w:val="15"/>
        </w:numPr>
        <w:spacing w:line="276" w:lineRule="auto"/>
        <w:ind w:left="360"/>
        <w:jc w:val="both"/>
        <w:rPr>
          <w:rFonts w:asciiTheme="minorHAnsi" w:eastAsia="Times New Roman" w:hAnsiTheme="minorHAnsi" w:cs="Times New Roman"/>
          <w:color w:val="4A4A4A"/>
          <w:sz w:val="21"/>
          <w:szCs w:val="21"/>
          <w:lang w:eastAsia="en-GB"/>
        </w:rPr>
      </w:pPr>
      <w:r w:rsidRPr="005D73A1">
        <w:rPr>
          <w:rStyle w:val="Emphasis"/>
          <w:rFonts w:asciiTheme="minorHAnsi" w:hAnsiTheme="minorHAnsi" w:cs="Arial"/>
          <w:bCs/>
          <w:i w:val="0"/>
          <w:iCs w:val="0"/>
          <w:color w:val="4A4A4A"/>
          <w:sz w:val="21"/>
          <w:szCs w:val="21"/>
          <w:shd w:val="clear" w:color="auto" w:fill="FFFFFF"/>
        </w:rPr>
        <w:t>Area estimation</w:t>
      </w:r>
      <w:r w:rsidR="00E550CB" w:rsidRPr="005D73A1">
        <w:rPr>
          <w:rStyle w:val="Emphasis"/>
          <w:rFonts w:asciiTheme="minorHAnsi" w:hAnsiTheme="minorHAnsi" w:cs="Arial"/>
          <w:bCs/>
          <w:i w:val="0"/>
          <w:iCs w:val="0"/>
          <w:color w:val="4A4A4A"/>
          <w:sz w:val="21"/>
          <w:szCs w:val="21"/>
          <w:shd w:val="clear" w:color="auto" w:fill="FFFFFF"/>
        </w:rPr>
        <w:t>s</w:t>
      </w:r>
      <w:r w:rsidR="00E550CB" w:rsidRPr="005D73A1">
        <w:rPr>
          <w:rFonts w:asciiTheme="minorHAnsi" w:hAnsiTheme="minorHAnsi" w:cs="Arial"/>
          <w:color w:val="4A4A4A"/>
          <w:sz w:val="21"/>
          <w:szCs w:val="21"/>
          <w:shd w:val="clear" w:color="auto" w:fill="FFFFFF"/>
        </w:rPr>
        <w:t xml:space="preserve"> based on </w:t>
      </w:r>
      <w:r w:rsidRPr="005D73A1">
        <w:rPr>
          <w:rFonts w:asciiTheme="minorHAnsi" w:hAnsiTheme="minorHAnsi" w:cs="Arial"/>
          <w:color w:val="4A4A4A"/>
          <w:sz w:val="21"/>
          <w:szCs w:val="21"/>
          <w:shd w:val="clear" w:color="auto" w:fill="FFFFFF"/>
        </w:rPr>
        <w:t>remote-sensing-derived land cover maps</w:t>
      </w:r>
      <w:r w:rsidR="00E550CB" w:rsidRPr="005D73A1">
        <w:rPr>
          <w:rFonts w:asciiTheme="minorHAnsi" w:hAnsiTheme="minorHAnsi" w:cs="Arial"/>
          <w:color w:val="4A4A4A"/>
          <w:sz w:val="21"/>
          <w:szCs w:val="21"/>
          <w:shd w:val="clear" w:color="auto" w:fill="FFFFFF"/>
        </w:rPr>
        <w:t xml:space="preserve"> such as the ESA-CCI product</w:t>
      </w:r>
      <w:r w:rsidRPr="005D73A1">
        <w:rPr>
          <w:rFonts w:asciiTheme="minorHAnsi" w:hAnsiTheme="minorHAnsi" w:cs="Arial"/>
          <w:color w:val="4A4A4A"/>
          <w:sz w:val="21"/>
          <w:szCs w:val="21"/>
          <w:shd w:val="clear" w:color="auto" w:fill="FFFFFF"/>
        </w:rPr>
        <w:t xml:space="preserve"> via</w:t>
      </w:r>
      <w:r w:rsidR="007F5477">
        <w:rPr>
          <w:rFonts w:asciiTheme="minorHAnsi" w:hAnsiTheme="minorHAnsi" w:cs="Arial"/>
          <w:color w:val="4A4A4A"/>
          <w:sz w:val="21"/>
          <w:szCs w:val="21"/>
          <w:shd w:val="clear" w:color="auto" w:fill="FFFFFF"/>
        </w:rPr>
        <w:t xml:space="preserve"> </w:t>
      </w:r>
      <w:r w:rsidRPr="005D73A1">
        <w:rPr>
          <w:rStyle w:val="Emphasis"/>
          <w:rFonts w:asciiTheme="minorHAnsi" w:hAnsiTheme="minorHAnsi" w:cs="Arial"/>
          <w:bCs/>
          <w:i w:val="0"/>
          <w:iCs w:val="0"/>
          <w:color w:val="4A4A4A"/>
          <w:sz w:val="21"/>
          <w:szCs w:val="21"/>
          <w:shd w:val="clear" w:color="auto" w:fill="FFFFFF"/>
        </w:rPr>
        <w:t>pixel counting</w:t>
      </w:r>
      <w:r w:rsidR="00E550CB" w:rsidRPr="005D73A1">
        <w:rPr>
          <w:rStyle w:val="Emphasis"/>
          <w:rFonts w:asciiTheme="minorHAnsi" w:hAnsiTheme="minorHAnsi" w:cs="Arial"/>
          <w:bCs/>
          <w:i w:val="0"/>
          <w:iCs w:val="0"/>
          <w:color w:val="4A4A4A"/>
          <w:sz w:val="21"/>
          <w:szCs w:val="21"/>
          <w:shd w:val="clear" w:color="auto" w:fill="FFFFFF"/>
        </w:rPr>
        <w:t xml:space="preserve"> may lead to biased area estimates </w:t>
      </w:r>
      <w:r w:rsidR="005D73A1" w:rsidRPr="005D73A1">
        <w:rPr>
          <w:rStyle w:val="Emphasis"/>
          <w:rFonts w:asciiTheme="minorHAnsi" w:hAnsiTheme="minorHAnsi" w:cs="Arial"/>
          <w:bCs/>
          <w:i w:val="0"/>
          <w:iCs w:val="0"/>
          <w:color w:val="4A4A4A"/>
          <w:sz w:val="21"/>
          <w:szCs w:val="21"/>
          <w:shd w:val="clear" w:color="auto" w:fill="FFFFFF"/>
        </w:rPr>
        <w:t>due to map errors</w:t>
      </w:r>
      <w:r w:rsidR="005D73A1">
        <w:rPr>
          <w:rStyle w:val="Emphasis"/>
          <w:rFonts w:asciiTheme="minorHAnsi" w:hAnsiTheme="minorHAnsi" w:cs="Arial"/>
          <w:bCs/>
          <w:i w:val="0"/>
          <w:iCs w:val="0"/>
          <w:color w:val="4A4A4A"/>
          <w:sz w:val="21"/>
          <w:szCs w:val="21"/>
          <w:shd w:val="clear" w:color="auto" w:fill="FFFFFF"/>
        </w:rPr>
        <w:t xml:space="preserve"> </w:t>
      </w:r>
      <w:r w:rsidR="005D73A1" w:rsidRPr="005D73A1">
        <w:rPr>
          <w:rStyle w:val="Emphasis"/>
          <w:rFonts w:asciiTheme="minorHAnsi" w:hAnsiTheme="minorHAnsi" w:cs="Arial"/>
          <w:bCs/>
          <w:i w:val="0"/>
          <w:iCs w:val="0"/>
          <w:color w:val="4A4A4A"/>
          <w:sz w:val="21"/>
          <w:szCs w:val="21"/>
          <w:shd w:val="clear" w:color="auto" w:fill="FFFFFF"/>
        </w:rPr>
        <w:t xml:space="preserve">(Olofsson </w:t>
      </w:r>
      <w:r w:rsidR="005D73A1" w:rsidRPr="005D73A1">
        <w:rPr>
          <w:rStyle w:val="Emphasis"/>
          <w:rFonts w:asciiTheme="minorHAnsi" w:hAnsiTheme="minorHAnsi" w:cs="Arial"/>
          <w:bCs/>
          <w:iCs w:val="0"/>
          <w:color w:val="4A4A4A"/>
          <w:sz w:val="21"/>
          <w:szCs w:val="21"/>
          <w:shd w:val="clear" w:color="auto" w:fill="FFFFFF"/>
        </w:rPr>
        <w:t>et al.</w:t>
      </w:r>
      <w:r w:rsidR="005D73A1" w:rsidRPr="005D73A1">
        <w:rPr>
          <w:rStyle w:val="Emphasis"/>
          <w:rFonts w:asciiTheme="minorHAnsi" w:hAnsiTheme="minorHAnsi" w:cs="Arial"/>
          <w:bCs/>
          <w:i w:val="0"/>
          <w:iCs w:val="0"/>
          <w:color w:val="4A4A4A"/>
          <w:sz w:val="21"/>
          <w:szCs w:val="21"/>
          <w:shd w:val="clear" w:color="auto" w:fill="FFFFFF"/>
        </w:rPr>
        <w:t xml:space="preserve"> 2014)</w:t>
      </w:r>
      <w:r w:rsidR="00E550CB" w:rsidRPr="005D73A1">
        <w:rPr>
          <w:rStyle w:val="Emphasis"/>
          <w:rFonts w:asciiTheme="minorHAnsi" w:hAnsiTheme="minorHAnsi" w:cs="Arial"/>
          <w:bCs/>
          <w:i w:val="0"/>
          <w:iCs w:val="0"/>
          <w:color w:val="4A4A4A"/>
          <w:sz w:val="21"/>
          <w:szCs w:val="21"/>
          <w:shd w:val="clear" w:color="auto" w:fill="FFFFFF"/>
        </w:rPr>
        <w:t xml:space="preserve">. Countries are encouraged </w:t>
      </w:r>
      <w:r w:rsidR="00E550CB" w:rsidRPr="005D73A1">
        <w:rPr>
          <w:rFonts w:asciiTheme="minorHAnsi" w:hAnsiTheme="minorHAnsi"/>
          <w:color w:val="4A4A4A"/>
          <w:sz w:val="21"/>
          <w:szCs w:val="21"/>
          <w:shd w:val="clear" w:color="auto" w:fill="FFFFFF"/>
        </w:rPr>
        <w:t>to further refine those estimates by comparing them against reference datasets and applying bias corrections.</w:t>
      </w:r>
    </w:p>
    <w:p w14:paraId="398C00AE" w14:textId="77777777" w:rsidR="00EC2915" w:rsidRPr="007B2926" w:rsidRDefault="00EC2915" w:rsidP="00576CFA">
      <w:pPr>
        <w:pStyle w:val="MText"/>
        <w:rPr>
          <w:lang w:val="en-US"/>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3C6623F" w14:textId="5FB9A7C7" w:rsidR="00EE3003" w:rsidRPr="003D511E" w:rsidRDefault="00EE3003" w:rsidP="00EE3003">
      <w:pPr>
        <w:spacing w:after="0"/>
        <w:jc w:val="both"/>
        <w:rPr>
          <w:rFonts w:cstheme="minorHAnsi"/>
          <w:color w:val="595959" w:themeColor="text1" w:themeTint="A6"/>
          <w:sz w:val="21"/>
          <w:szCs w:val="21"/>
          <w:shd w:val="clear" w:color="auto" w:fill="FFFFFF"/>
        </w:rPr>
      </w:pPr>
      <w:r w:rsidRPr="00FB7F4B">
        <w:rPr>
          <w:rStyle w:val="normaltextrun"/>
          <w:rFonts w:cstheme="minorHAnsi"/>
          <w:b/>
          <w:color w:val="595959" w:themeColor="text1" w:themeTint="A6"/>
          <w:sz w:val="21"/>
          <w:szCs w:val="21"/>
          <w:shd w:val="clear" w:color="auto" w:fill="FFFFFF"/>
        </w:rPr>
        <w:t>Sub-indicator 15.4</w:t>
      </w:r>
      <w:r w:rsidR="00351476">
        <w:rPr>
          <w:rStyle w:val="normaltextrun"/>
          <w:rFonts w:cstheme="minorHAnsi"/>
          <w:b/>
          <w:color w:val="595959" w:themeColor="text1" w:themeTint="A6"/>
          <w:sz w:val="21"/>
          <w:szCs w:val="21"/>
          <w:shd w:val="clear" w:color="auto" w:fill="FFFFFF"/>
        </w:rPr>
        <w:t>.</w:t>
      </w:r>
      <w:r w:rsidRPr="00FB7F4B">
        <w:rPr>
          <w:rStyle w:val="normaltextrun"/>
          <w:rFonts w:cstheme="minorHAnsi"/>
          <w:b/>
          <w:color w:val="595959" w:themeColor="text1" w:themeTint="A6"/>
          <w:sz w:val="21"/>
          <w:szCs w:val="21"/>
          <w:shd w:val="clear" w:color="auto" w:fill="FFFFFF"/>
        </w:rPr>
        <w:t>2a</w:t>
      </w:r>
      <w:r w:rsidRPr="003D511E">
        <w:rPr>
          <w:rStyle w:val="normaltextrun"/>
          <w:rFonts w:cstheme="minorHAnsi"/>
          <w:color w:val="595959" w:themeColor="text1" w:themeTint="A6"/>
          <w:sz w:val="21"/>
          <w:szCs w:val="21"/>
          <w:shd w:val="clear" w:color="auto" w:fill="FFFFFF"/>
        </w:rPr>
        <w:t xml:space="preserve">, Mountain Green Cover Index, is defined as: </w:t>
      </w:r>
    </w:p>
    <w:p w14:paraId="7CB3FDC0" w14:textId="77777777" w:rsidR="00EE3003" w:rsidRPr="003D511E" w:rsidRDefault="00EE3003" w:rsidP="00EE3003">
      <w:pPr>
        <w:jc w:val="both"/>
        <w:rPr>
          <w:rFonts w:eastAsia="Times New Roman" w:cstheme="minorHAnsi"/>
          <w:color w:val="595959" w:themeColor="text1" w:themeTint="A6"/>
          <w:sz w:val="21"/>
          <w:szCs w:val="21"/>
          <w:lang w:eastAsia="en-GB"/>
        </w:rPr>
      </w:pPr>
    </w:p>
    <w:p w14:paraId="201A9A0D" w14:textId="670FC336" w:rsidR="00EE3003" w:rsidRPr="003D511E" w:rsidRDefault="00EE3003" w:rsidP="00EE3003">
      <w:pPr>
        <w:shd w:val="clear" w:color="auto" w:fill="FFFFFF"/>
        <w:spacing w:after="0"/>
        <w:contextualSpacing/>
        <w:rPr>
          <w:rFonts w:eastAsia="Times New Roman" w:cstheme="minorHAnsi"/>
          <w:b/>
          <w:bCs/>
          <w:color w:val="595959" w:themeColor="text1" w:themeTint="A6"/>
          <w:sz w:val="21"/>
          <w:szCs w:val="21"/>
          <w:lang w:eastAsia="en-GB"/>
        </w:rPr>
      </w:pPr>
      <m:oMathPara>
        <m:oMath>
          <m:r>
            <w:rPr>
              <w:rFonts w:ascii="Cambria Math" w:eastAsia="Times New Roman" w:hAnsi="Cambria Math" w:cstheme="minorHAnsi"/>
              <w:color w:val="595959" w:themeColor="text1" w:themeTint="A6"/>
              <w:sz w:val="21"/>
              <w:szCs w:val="21"/>
              <w:lang w:eastAsia="en-GB"/>
            </w:rPr>
            <m:t xml:space="preserve">MGCI= </m:t>
          </m:r>
          <m:f>
            <m:fPr>
              <m:ctrlPr>
                <w:rPr>
                  <w:rFonts w:ascii="Cambria Math" w:eastAsia="Times New Roman" w:hAnsi="Cambria Math" w:cstheme="minorHAnsi"/>
                  <w:i/>
                  <w:color w:val="595959" w:themeColor="text1" w:themeTint="A6"/>
                  <w:sz w:val="21"/>
                  <w:szCs w:val="21"/>
                  <w:lang w:eastAsia="en-GB"/>
                </w:rPr>
              </m:ctrlPr>
            </m:fPr>
            <m:num>
              <m:sSub>
                <m:sSubPr>
                  <m:ctrlPr>
                    <w:rPr>
                      <w:rFonts w:ascii="Cambria Math" w:eastAsia="Times New Roman" w:hAnsi="Cambria Math" w:cstheme="minorHAnsi"/>
                      <w:i/>
                      <w:color w:val="595959" w:themeColor="text1" w:themeTint="A6"/>
                      <w:sz w:val="21"/>
                      <w:szCs w:val="21"/>
                      <w:lang w:eastAsia="en-GB"/>
                    </w:rPr>
                  </m:ctrlPr>
                </m:sSubPr>
                <m:e>
                  <m:r>
                    <w:rPr>
                      <w:rFonts w:ascii="Cambria Math" w:eastAsia="Times New Roman" w:hAnsi="Cambria Math" w:cstheme="minorHAnsi"/>
                      <w:color w:val="595959" w:themeColor="text1" w:themeTint="A6"/>
                      <w:sz w:val="21"/>
                      <w:szCs w:val="21"/>
                      <w:lang w:eastAsia="en-GB"/>
                    </w:rPr>
                    <m:t>Mountain Green Cover Area</m:t>
                  </m:r>
                </m:e>
                <m:sub>
                  <m:r>
                    <w:rPr>
                      <w:rFonts w:ascii="Cambria Math" w:eastAsia="Times New Roman" w:hAnsi="Cambria Math" w:cstheme="minorHAnsi"/>
                      <w:color w:val="595959" w:themeColor="text1" w:themeTint="A6"/>
                      <w:sz w:val="21"/>
                      <w:szCs w:val="21"/>
                      <w:lang w:eastAsia="en-GB"/>
                    </w:rPr>
                    <m:t>n</m:t>
                  </m:r>
                </m:sub>
              </m:sSub>
              <m:r>
                <w:rPr>
                  <w:rFonts w:ascii="Cambria Math" w:eastAsia="Times New Roman" w:hAnsi="Cambria Math" w:cstheme="minorHAnsi"/>
                  <w:color w:val="595959" w:themeColor="text1" w:themeTint="A6"/>
                  <w:sz w:val="21"/>
                  <w:szCs w:val="21"/>
                  <w:lang w:eastAsia="en-GB"/>
                </w:rPr>
                <m:t xml:space="preserve"> </m:t>
              </m:r>
            </m:num>
            <m:den>
              <m:r>
                <w:rPr>
                  <w:rFonts w:ascii="Cambria Math" w:eastAsia="Times New Roman" w:hAnsi="Cambria Math" w:cstheme="minorHAnsi"/>
                  <w:color w:val="595959" w:themeColor="text1" w:themeTint="A6"/>
                  <w:sz w:val="21"/>
                  <w:szCs w:val="21"/>
                  <w:lang w:eastAsia="en-GB"/>
                </w:rPr>
                <m:t>Total Mountain Area</m:t>
              </m:r>
            </m:den>
          </m:f>
          <m:r>
            <w:rPr>
              <w:rFonts w:ascii="Cambria Math" w:eastAsia="Times New Roman" w:hAnsi="Cambria Math" w:cstheme="minorHAnsi"/>
              <w:color w:val="595959" w:themeColor="text1" w:themeTint="A6"/>
              <w:sz w:val="21"/>
              <w:szCs w:val="21"/>
              <w:lang w:eastAsia="en-GB"/>
            </w:rPr>
            <m:t>×100</m:t>
          </m:r>
        </m:oMath>
      </m:oMathPara>
    </w:p>
    <w:p w14:paraId="37949C65" w14:textId="77777777" w:rsidR="00EE3003" w:rsidRPr="003D511E" w:rsidRDefault="00EE3003" w:rsidP="00EE3003">
      <w:pPr>
        <w:spacing w:after="0"/>
        <w:rPr>
          <w:rFonts w:eastAsia="Times New Roman" w:cstheme="minorHAnsi"/>
          <w:b/>
          <w:color w:val="595959" w:themeColor="text1" w:themeTint="A6"/>
          <w:sz w:val="21"/>
          <w:szCs w:val="21"/>
          <w:lang w:eastAsia="en-GB"/>
        </w:rPr>
      </w:pPr>
    </w:p>
    <w:p w14:paraId="5B40A6F5" w14:textId="696F1FBF" w:rsidR="00EE3003" w:rsidRPr="003D511E" w:rsidRDefault="00EE3003" w:rsidP="00EE3003">
      <w:pPr>
        <w:spacing w:after="120" w:line="240" w:lineRule="auto"/>
        <w:textAlignment w:val="baseline"/>
        <w:rPr>
          <w:rFonts w:eastAsia="Times New Roman" w:cstheme="minorHAnsi"/>
          <w:color w:val="595959" w:themeColor="text1" w:themeTint="A6"/>
          <w:sz w:val="21"/>
          <w:szCs w:val="21"/>
        </w:rPr>
      </w:pPr>
      <w:r w:rsidRPr="003D511E">
        <w:rPr>
          <w:rStyle w:val="normaltextrun"/>
          <w:rFonts w:cstheme="minorHAnsi"/>
          <w:color w:val="595959" w:themeColor="text1" w:themeTint="A6"/>
          <w:sz w:val="21"/>
          <w:szCs w:val="21"/>
          <w:shd w:val="clear" w:color="auto" w:fill="FFFFFF"/>
        </w:rPr>
        <w:t>Where:</w:t>
      </w:r>
    </w:p>
    <w:p w14:paraId="5A51DDCB" w14:textId="4BDF7C1D" w:rsidR="00EE3003" w:rsidRPr="003D511E" w:rsidRDefault="00EE3003" w:rsidP="00EE3003">
      <w:pPr>
        <w:pStyle w:val="ListParagraph"/>
        <w:numPr>
          <w:ilvl w:val="0"/>
          <w:numId w:val="16"/>
        </w:numPr>
        <w:tabs>
          <w:tab w:val="left" w:pos="720"/>
        </w:tabs>
        <w:spacing w:after="120" w:line="240" w:lineRule="auto"/>
        <w:ind w:left="274" w:hanging="274"/>
        <w:contextualSpacing w:val="0"/>
        <w:jc w:val="both"/>
        <w:textAlignment w:val="baseline"/>
        <w:rPr>
          <w:rFonts w:eastAsia="Times New Roman" w:cstheme="minorHAnsi"/>
          <w:color w:val="595959" w:themeColor="text1" w:themeTint="A6"/>
          <w:sz w:val="21"/>
          <w:szCs w:val="21"/>
        </w:rPr>
      </w:pPr>
      <w:r w:rsidRPr="003D511E">
        <w:rPr>
          <w:rFonts w:eastAsia="Times New Roman" w:cstheme="minorHAnsi"/>
          <w:i/>
          <w:color w:val="595959" w:themeColor="text1" w:themeTint="A6"/>
          <w:sz w:val="21"/>
          <w:szCs w:val="21"/>
        </w:rPr>
        <w:t xml:space="preserve">Mountain Green Cover </w:t>
      </w:r>
      <w:proofErr w:type="spellStart"/>
      <w:r w:rsidRPr="003D511E">
        <w:rPr>
          <w:rFonts w:eastAsia="Times New Roman" w:cstheme="minorHAnsi"/>
          <w:i/>
          <w:color w:val="595959" w:themeColor="text1" w:themeTint="A6"/>
          <w:sz w:val="21"/>
          <w:szCs w:val="21"/>
        </w:rPr>
        <w:t>Area</w:t>
      </w:r>
      <w:r w:rsidRPr="003D511E">
        <w:rPr>
          <w:rFonts w:eastAsia="Times New Roman" w:cstheme="minorHAnsi"/>
          <w:i/>
          <w:color w:val="595959" w:themeColor="text1" w:themeTint="A6"/>
          <w:sz w:val="21"/>
          <w:szCs w:val="21"/>
          <w:vertAlign w:val="subscript"/>
        </w:rPr>
        <w:t>n</w:t>
      </w:r>
      <w:proofErr w:type="spellEnd"/>
      <w:r w:rsidRPr="003D511E">
        <w:rPr>
          <w:rFonts w:eastAsia="Times New Roman" w:cstheme="minorHAnsi"/>
          <w:i/>
          <w:color w:val="595959" w:themeColor="text1" w:themeTint="A6"/>
          <w:sz w:val="21"/>
          <w:szCs w:val="21"/>
        </w:rPr>
        <w:t xml:space="preserve"> </w:t>
      </w:r>
      <w:r w:rsidRPr="003D511E">
        <w:rPr>
          <w:rFonts w:eastAsia="Times New Roman" w:cstheme="minorHAnsi"/>
          <w:color w:val="595959" w:themeColor="text1" w:themeTint="A6"/>
          <w:sz w:val="21"/>
          <w:szCs w:val="21"/>
        </w:rPr>
        <w:t xml:space="preserve">=Sum of areas </w:t>
      </w:r>
      <w:r w:rsidR="009F33B9">
        <w:rPr>
          <w:rFonts w:eastAsia="Times New Roman" w:cstheme="minorHAnsi"/>
          <w:color w:val="595959" w:themeColor="text1" w:themeTint="A6"/>
          <w:sz w:val="21"/>
          <w:szCs w:val="21"/>
        </w:rPr>
        <w:t xml:space="preserve">(in </w:t>
      </w:r>
      <w:r w:rsidR="00AE4904">
        <w:rPr>
          <w:rFonts w:eastAsia="Times New Roman" w:cstheme="minorHAnsi"/>
          <w:color w:val="595959" w:themeColor="text1" w:themeTint="A6"/>
          <w:sz w:val="21"/>
          <w:szCs w:val="21"/>
        </w:rPr>
        <w:t>k</w:t>
      </w:r>
      <w:r w:rsidR="009F33B9">
        <w:rPr>
          <w:rFonts w:eastAsia="Times New Roman" w:cstheme="minorHAnsi"/>
          <w:color w:val="595959" w:themeColor="text1" w:themeTint="A6"/>
          <w:sz w:val="21"/>
          <w:szCs w:val="21"/>
        </w:rPr>
        <w:t>m</w:t>
      </w:r>
      <w:r w:rsidR="009F33B9" w:rsidRPr="009F33B9">
        <w:rPr>
          <w:rFonts w:eastAsia="Times New Roman" w:cstheme="minorHAnsi"/>
          <w:color w:val="595959" w:themeColor="text1" w:themeTint="A6"/>
          <w:sz w:val="21"/>
          <w:szCs w:val="21"/>
          <w:vertAlign w:val="superscript"/>
        </w:rPr>
        <w:t>2</w:t>
      </w:r>
      <w:r w:rsidR="009F33B9">
        <w:rPr>
          <w:rFonts w:eastAsia="Times New Roman" w:cstheme="minorHAnsi"/>
          <w:color w:val="595959" w:themeColor="text1" w:themeTint="A6"/>
          <w:sz w:val="21"/>
          <w:szCs w:val="21"/>
        </w:rPr>
        <w:t xml:space="preserve">) </w:t>
      </w:r>
      <w:r w:rsidRPr="003D511E">
        <w:rPr>
          <w:rFonts w:eastAsia="Times New Roman" w:cstheme="minorHAnsi"/>
          <w:color w:val="595959" w:themeColor="text1" w:themeTint="A6"/>
          <w:sz w:val="21"/>
          <w:szCs w:val="21"/>
        </w:rPr>
        <w:t xml:space="preserve">covered by (1) tree-covered areas, (2) croplands, (3) grasslands, (4) shrub-covered areas and (5) shrubs and/or herbaceous vegetation, aquatic or regularly flooded classes </w:t>
      </w:r>
      <w:r w:rsidRPr="003D511E">
        <w:rPr>
          <w:rFonts w:eastAsia="Times New Roman" w:cstheme="minorHAnsi"/>
          <w:color w:val="595959" w:themeColor="text1" w:themeTint="A6"/>
          <w:sz w:val="21"/>
          <w:szCs w:val="21"/>
          <w:shd w:val="clear" w:color="auto" w:fill="FCFCFC"/>
        </w:rPr>
        <w:t>in the reporting period</w:t>
      </w:r>
      <w:r w:rsidR="007F5477">
        <w:rPr>
          <w:rFonts w:eastAsia="Times New Roman" w:cstheme="minorHAnsi"/>
          <w:color w:val="595959" w:themeColor="text1" w:themeTint="A6"/>
          <w:sz w:val="21"/>
          <w:szCs w:val="21"/>
          <w:shd w:val="clear" w:color="auto" w:fill="FCFCFC"/>
        </w:rPr>
        <w:t xml:space="preserve"> </w:t>
      </w:r>
      <w:r w:rsidRPr="003D511E">
        <w:rPr>
          <w:rFonts w:eastAsia="Times New Roman" w:cstheme="minorHAnsi"/>
          <w:i/>
          <w:iCs/>
          <w:color w:val="595959" w:themeColor="text1" w:themeTint="A6"/>
          <w:sz w:val="21"/>
          <w:szCs w:val="21"/>
          <w:shd w:val="clear" w:color="auto" w:fill="FCFCFC"/>
        </w:rPr>
        <w:t>n.</w:t>
      </w:r>
    </w:p>
    <w:p w14:paraId="11B697F4" w14:textId="3E64DAE8" w:rsidR="00EE3003" w:rsidRPr="003D511E" w:rsidRDefault="00EE3003" w:rsidP="00EE3003">
      <w:pPr>
        <w:pStyle w:val="ListParagraph"/>
        <w:numPr>
          <w:ilvl w:val="0"/>
          <w:numId w:val="16"/>
        </w:numPr>
        <w:tabs>
          <w:tab w:val="left" w:pos="720"/>
        </w:tabs>
        <w:spacing w:after="60" w:line="240" w:lineRule="auto"/>
        <w:ind w:left="274" w:hanging="274"/>
        <w:contextualSpacing w:val="0"/>
        <w:jc w:val="both"/>
        <w:textAlignment w:val="baseline"/>
        <w:rPr>
          <w:rStyle w:val="normaltextrun"/>
          <w:rFonts w:eastAsia="Times New Roman" w:cstheme="minorHAnsi"/>
          <w:color w:val="595959" w:themeColor="text1" w:themeTint="A6"/>
          <w:sz w:val="21"/>
          <w:szCs w:val="21"/>
        </w:rPr>
      </w:pPr>
      <w:r w:rsidRPr="003D511E">
        <w:rPr>
          <w:rFonts w:eastAsia="Times New Roman" w:cstheme="minorHAnsi"/>
          <w:i/>
          <w:color w:val="595959" w:themeColor="text1" w:themeTint="A6"/>
          <w:sz w:val="21"/>
          <w:szCs w:val="21"/>
        </w:rPr>
        <w:t>Total mountain are</w:t>
      </w:r>
      <w:r w:rsidR="00753171">
        <w:rPr>
          <w:rFonts w:eastAsia="Times New Roman" w:cstheme="minorHAnsi"/>
          <w:i/>
          <w:color w:val="595959" w:themeColor="text1" w:themeTint="A6"/>
          <w:sz w:val="21"/>
          <w:szCs w:val="21"/>
        </w:rPr>
        <w:t xml:space="preserve">a </w:t>
      </w:r>
      <w:r w:rsidRPr="003D511E">
        <w:rPr>
          <w:rFonts w:eastAsia="Times New Roman" w:cstheme="minorHAnsi"/>
          <w:color w:val="595959" w:themeColor="text1" w:themeTint="A6"/>
          <w:sz w:val="21"/>
          <w:szCs w:val="21"/>
        </w:rPr>
        <w:t>=</w:t>
      </w:r>
      <w:r w:rsidR="00753171">
        <w:rPr>
          <w:rFonts w:eastAsia="Times New Roman" w:cstheme="minorHAnsi"/>
          <w:color w:val="595959" w:themeColor="text1" w:themeTint="A6"/>
          <w:sz w:val="21"/>
          <w:szCs w:val="21"/>
        </w:rPr>
        <w:t xml:space="preserve"> </w:t>
      </w:r>
      <w:r w:rsidRPr="003D511E">
        <w:rPr>
          <w:rFonts w:eastAsia="Times New Roman" w:cstheme="minorHAnsi"/>
          <w:color w:val="595959" w:themeColor="text1" w:themeTint="A6"/>
          <w:sz w:val="21"/>
          <w:szCs w:val="21"/>
        </w:rPr>
        <w:t>T</w:t>
      </w:r>
      <w:r w:rsidRPr="003D511E">
        <w:rPr>
          <w:rFonts w:eastAsia="Times New Roman" w:cstheme="minorHAnsi"/>
          <w:color w:val="595959" w:themeColor="text1" w:themeTint="A6"/>
          <w:sz w:val="21"/>
          <w:szCs w:val="21"/>
          <w:shd w:val="clear" w:color="auto" w:fill="FCFCFC"/>
        </w:rPr>
        <w:t xml:space="preserve">otal area of mountains </w:t>
      </w:r>
      <w:r w:rsidRPr="00AE4904">
        <w:rPr>
          <w:rFonts w:eastAsia="Times New Roman" w:cstheme="minorHAnsi"/>
          <w:color w:val="595959" w:themeColor="text1" w:themeTint="A6"/>
          <w:sz w:val="21"/>
          <w:szCs w:val="21"/>
          <w:shd w:val="clear" w:color="auto" w:fill="FCFCFC"/>
        </w:rPr>
        <w:t xml:space="preserve">(in </w:t>
      </w:r>
      <w:r w:rsidR="00AE4904" w:rsidRPr="00AE4904">
        <w:rPr>
          <w:rFonts w:eastAsia="Times New Roman" w:cstheme="minorHAnsi"/>
          <w:color w:val="595959" w:themeColor="text1" w:themeTint="A6"/>
          <w:sz w:val="21"/>
          <w:szCs w:val="21"/>
          <w:shd w:val="clear" w:color="auto" w:fill="FCFCFC"/>
        </w:rPr>
        <w:t>k</w:t>
      </w:r>
      <w:r w:rsidRPr="00AE4904">
        <w:rPr>
          <w:rFonts w:eastAsia="Times New Roman" w:cstheme="minorHAnsi"/>
          <w:color w:val="595959" w:themeColor="text1" w:themeTint="A6"/>
          <w:sz w:val="21"/>
          <w:szCs w:val="21"/>
          <w:shd w:val="clear" w:color="auto" w:fill="FCFCFC"/>
        </w:rPr>
        <w:t>m</w:t>
      </w:r>
      <w:r w:rsidRPr="00AE4904">
        <w:rPr>
          <w:rFonts w:eastAsia="Times New Roman" w:cstheme="minorHAnsi"/>
          <w:color w:val="595959" w:themeColor="text1" w:themeTint="A6"/>
          <w:sz w:val="21"/>
          <w:szCs w:val="21"/>
          <w:shd w:val="clear" w:color="auto" w:fill="FCFCFC"/>
          <w:vertAlign w:val="superscript"/>
        </w:rPr>
        <w:t>2</w:t>
      </w:r>
      <w:r w:rsidRPr="00AE4904">
        <w:rPr>
          <w:rFonts w:eastAsia="Times New Roman" w:cstheme="minorHAnsi"/>
          <w:color w:val="595959" w:themeColor="text1" w:themeTint="A6"/>
          <w:sz w:val="21"/>
          <w:szCs w:val="21"/>
          <w:shd w:val="clear" w:color="auto" w:fill="FCFCFC"/>
        </w:rPr>
        <w:t>). In</w:t>
      </w:r>
      <w:r w:rsidRPr="003D511E">
        <w:rPr>
          <w:rFonts w:eastAsia="Times New Roman" w:cstheme="minorHAnsi"/>
          <w:color w:val="595959" w:themeColor="text1" w:themeTint="A6"/>
          <w:sz w:val="21"/>
          <w:szCs w:val="21"/>
          <w:shd w:val="clear" w:color="auto" w:fill="FCFCFC"/>
        </w:rPr>
        <w:t xml:space="preserve"> both the numerator and denominator, mountain area</w:t>
      </w:r>
      <w:r w:rsidR="007F5477">
        <w:rPr>
          <w:rFonts w:eastAsia="Times New Roman" w:cstheme="minorHAnsi"/>
          <w:color w:val="595959" w:themeColor="text1" w:themeTint="A6"/>
          <w:sz w:val="21"/>
          <w:szCs w:val="21"/>
          <w:shd w:val="clear" w:color="auto" w:fill="FCFCFC"/>
        </w:rPr>
        <w:t xml:space="preserve"> </w:t>
      </w:r>
      <w:r w:rsidRPr="003D511E">
        <w:rPr>
          <w:rFonts w:eastAsia="Times New Roman" w:cstheme="minorHAnsi"/>
          <w:color w:val="595959" w:themeColor="text1" w:themeTint="A6"/>
          <w:sz w:val="21"/>
          <w:szCs w:val="21"/>
          <w:shd w:val="clear" w:color="auto" w:fill="FCFCFC"/>
        </w:rPr>
        <w:t>is defined</w:t>
      </w:r>
      <w:r w:rsidR="007F5477">
        <w:rPr>
          <w:rFonts w:eastAsia="Times New Roman" w:cstheme="minorHAnsi"/>
          <w:color w:val="595959" w:themeColor="text1" w:themeTint="A6"/>
          <w:sz w:val="21"/>
          <w:szCs w:val="21"/>
          <w:shd w:val="clear" w:color="auto" w:fill="FCFCFC"/>
        </w:rPr>
        <w:t xml:space="preserve"> </w:t>
      </w:r>
      <w:r w:rsidRPr="003D511E">
        <w:rPr>
          <w:rFonts w:eastAsia="Times New Roman" w:cstheme="minorHAnsi"/>
          <w:color w:val="595959" w:themeColor="text1" w:themeTint="A6"/>
          <w:sz w:val="21"/>
          <w:szCs w:val="21"/>
          <w:shd w:val="clear" w:color="auto" w:fill="FCFCFC"/>
        </w:rPr>
        <w:t>according to UNEP-WCMC</w:t>
      </w:r>
      <w:r w:rsidR="007F5477">
        <w:rPr>
          <w:rFonts w:eastAsia="Times New Roman" w:cstheme="minorHAnsi"/>
          <w:color w:val="595959" w:themeColor="text1" w:themeTint="A6"/>
          <w:sz w:val="21"/>
          <w:szCs w:val="21"/>
          <w:shd w:val="clear" w:color="auto" w:fill="FCFCFC"/>
        </w:rPr>
        <w:t xml:space="preserve"> </w:t>
      </w:r>
      <w:r w:rsidRPr="003D511E">
        <w:rPr>
          <w:rFonts w:eastAsia="Times New Roman" w:cstheme="minorHAnsi"/>
          <w:iCs/>
          <w:color w:val="595959" w:themeColor="text1" w:themeTint="A6"/>
          <w:sz w:val="21"/>
          <w:szCs w:val="21"/>
          <w:shd w:val="clear" w:color="auto" w:fill="FCFCFC"/>
        </w:rPr>
        <w:t>(</w:t>
      </w:r>
      <w:r w:rsidRPr="003D511E">
        <w:rPr>
          <w:rFonts w:eastAsia="Times New Roman" w:cstheme="minorHAnsi"/>
          <w:color w:val="595959" w:themeColor="text1" w:themeTint="A6"/>
          <w:sz w:val="21"/>
          <w:szCs w:val="21"/>
          <w:shd w:val="clear" w:color="auto" w:fill="FCFCFC"/>
        </w:rPr>
        <w:t>2002).</w:t>
      </w:r>
    </w:p>
    <w:p w14:paraId="3F7978F4" w14:textId="4E2C8ECA" w:rsidR="00220790" w:rsidRPr="003D511E" w:rsidRDefault="00220790" w:rsidP="007B2926">
      <w:pPr>
        <w:spacing w:after="0"/>
        <w:jc w:val="both"/>
        <w:rPr>
          <w:rFonts w:eastAsia="Times New Roman" w:cstheme="minorHAnsi"/>
          <w:color w:val="595959" w:themeColor="text1" w:themeTint="A6"/>
          <w:sz w:val="21"/>
          <w:szCs w:val="21"/>
          <w:lang w:eastAsia="en-GB"/>
        </w:rPr>
      </w:pPr>
    </w:p>
    <w:p w14:paraId="17EBE03A" w14:textId="5257C589" w:rsidR="00B77F40" w:rsidRPr="003D511E" w:rsidRDefault="00B77F40" w:rsidP="003D511E">
      <w:pPr>
        <w:spacing w:after="240"/>
        <w:jc w:val="both"/>
        <w:rPr>
          <w:rFonts w:cstheme="minorHAnsi"/>
          <w:color w:val="595959" w:themeColor="text1" w:themeTint="A6"/>
          <w:sz w:val="21"/>
          <w:szCs w:val="21"/>
          <w:shd w:val="clear" w:color="auto" w:fill="FFFFFF"/>
        </w:rPr>
      </w:pPr>
      <w:r w:rsidRPr="00FB7F4B">
        <w:rPr>
          <w:rStyle w:val="normaltextrun"/>
          <w:rFonts w:cstheme="minorHAnsi"/>
          <w:b/>
          <w:color w:val="595959" w:themeColor="text1" w:themeTint="A6"/>
          <w:sz w:val="21"/>
          <w:szCs w:val="21"/>
          <w:shd w:val="clear" w:color="auto" w:fill="FFFFFF"/>
        </w:rPr>
        <w:lastRenderedPageBreak/>
        <w:t>Sub-indicator 15.4.2b</w:t>
      </w:r>
      <w:r w:rsidRPr="003D511E">
        <w:rPr>
          <w:rStyle w:val="normaltextrun"/>
          <w:rFonts w:cstheme="minorHAnsi"/>
          <w:color w:val="595959" w:themeColor="text1" w:themeTint="A6"/>
          <w:sz w:val="21"/>
          <w:szCs w:val="21"/>
          <w:shd w:val="clear" w:color="auto" w:fill="FFFFFF"/>
        </w:rPr>
        <w:t>, Proportion of degraded mountain area, is reported as a </w:t>
      </w:r>
      <w:r w:rsidRPr="003D511E">
        <w:rPr>
          <w:rStyle w:val="normaltextrun"/>
          <w:rFonts w:cstheme="minorHAnsi"/>
          <w:bCs/>
          <w:color w:val="595959" w:themeColor="text1" w:themeTint="A6"/>
          <w:sz w:val="21"/>
          <w:szCs w:val="21"/>
          <w:shd w:val="clear" w:color="auto" w:fill="FFFFFF"/>
        </w:rPr>
        <w:t>binary quantification</w:t>
      </w:r>
      <w:r w:rsidRPr="003D511E">
        <w:rPr>
          <w:rStyle w:val="normaltextrun"/>
          <w:rFonts w:cstheme="minorHAnsi"/>
          <w:color w:val="595959" w:themeColor="text1" w:themeTint="A6"/>
          <w:sz w:val="21"/>
          <w:szCs w:val="21"/>
          <w:shd w:val="clear" w:color="auto" w:fill="FFFFFF"/>
        </w:rPr>
        <w:t> (degraded/non-degraded) of the </w:t>
      </w:r>
      <w:r w:rsidRPr="003D511E">
        <w:rPr>
          <w:rStyle w:val="normaltextrun"/>
          <w:rFonts w:cstheme="minorHAnsi"/>
          <w:bCs/>
          <w:color w:val="595959" w:themeColor="text1" w:themeTint="A6"/>
          <w:sz w:val="21"/>
          <w:szCs w:val="21"/>
          <w:shd w:val="clear" w:color="auto" w:fill="FFFFFF"/>
        </w:rPr>
        <w:t>extent of degraded land over total mountain area</w:t>
      </w:r>
      <w:r w:rsidRPr="003D511E">
        <w:rPr>
          <w:rStyle w:val="normaltextrun"/>
          <w:rFonts w:cstheme="minorHAnsi"/>
          <w:color w:val="595959" w:themeColor="text1" w:themeTint="A6"/>
          <w:sz w:val="21"/>
          <w:szCs w:val="21"/>
          <w:shd w:val="clear" w:color="auto" w:fill="FFFFFF"/>
        </w:rPr>
        <w:t>, given by:</w:t>
      </w:r>
    </w:p>
    <w:p w14:paraId="4F05D208" w14:textId="77777777" w:rsidR="00B77F40" w:rsidRPr="003D511E" w:rsidRDefault="00B77F40" w:rsidP="00B77F40">
      <w:pPr>
        <w:jc w:val="center"/>
        <w:rPr>
          <w:rFonts w:cstheme="minorHAnsi"/>
          <w:color w:val="595959" w:themeColor="text1" w:themeTint="A6"/>
          <w:sz w:val="21"/>
          <w:szCs w:val="21"/>
        </w:rPr>
      </w:pPr>
      <m:oMathPara>
        <m:oMath>
          <m:r>
            <w:rPr>
              <w:rFonts w:ascii="Cambria Math" w:hAnsi="Cambria Math" w:cstheme="minorHAnsi"/>
              <w:color w:val="595959" w:themeColor="text1" w:themeTint="A6"/>
              <w:sz w:val="21"/>
              <w:szCs w:val="21"/>
            </w:rPr>
            <m:t>Proportion of degraded mountain area=</m:t>
          </m:r>
          <m:f>
            <m:fPr>
              <m:ctrlPr>
                <w:rPr>
                  <w:rFonts w:ascii="Cambria Math" w:hAnsi="Cambria Math" w:cstheme="minorHAnsi"/>
                  <w:i/>
                  <w:color w:val="595959" w:themeColor="text1" w:themeTint="A6"/>
                  <w:sz w:val="21"/>
                  <w:szCs w:val="21"/>
                </w:rPr>
              </m:ctrlPr>
            </m:fPr>
            <m:num>
              <m:r>
                <w:rPr>
                  <w:rFonts w:ascii="Cambria Math" w:hAnsi="Cambria Math" w:cstheme="minorHAnsi"/>
                  <w:color w:val="595959" w:themeColor="text1" w:themeTint="A6"/>
                  <w:sz w:val="21"/>
                  <w:szCs w:val="21"/>
                </w:rPr>
                <m:t>Degraded mountain area n</m:t>
              </m:r>
            </m:num>
            <m:den>
              <m:r>
                <w:rPr>
                  <w:rFonts w:ascii="Cambria Math" w:hAnsi="Cambria Math" w:cstheme="minorHAnsi"/>
                  <w:color w:val="595959" w:themeColor="text1" w:themeTint="A6"/>
                  <w:sz w:val="21"/>
                  <w:szCs w:val="21"/>
                </w:rPr>
                <m:t>Total mountain area</m:t>
              </m:r>
            </m:den>
          </m:f>
          <m:r>
            <w:rPr>
              <w:rFonts w:ascii="Cambria Math" w:hAnsi="Cambria Math" w:cstheme="minorHAnsi"/>
              <w:color w:val="595959" w:themeColor="text1" w:themeTint="A6"/>
              <w:sz w:val="21"/>
              <w:szCs w:val="21"/>
            </w:rPr>
            <m:t xml:space="preserve"> ×100</m:t>
          </m:r>
        </m:oMath>
      </m:oMathPara>
    </w:p>
    <w:p w14:paraId="2D576941" w14:textId="77777777" w:rsidR="00B77F40" w:rsidRPr="003D511E" w:rsidRDefault="00B77F40" w:rsidP="00B77F40">
      <w:pPr>
        <w:spacing w:after="120" w:line="240" w:lineRule="auto"/>
        <w:textAlignment w:val="baseline"/>
        <w:rPr>
          <w:rFonts w:eastAsia="Times New Roman" w:cstheme="minorHAnsi"/>
          <w:color w:val="595959" w:themeColor="text1" w:themeTint="A6"/>
          <w:sz w:val="21"/>
          <w:szCs w:val="21"/>
        </w:rPr>
      </w:pPr>
      <w:r w:rsidRPr="003D511E">
        <w:rPr>
          <w:rStyle w:val="normaltextrun"/>
          <w:rFonts w:cstheme="minorHAnsi"/>
          <w:color w:val="595959" w:themeColor="text1" w:themeTint="A6"/>
          <w:sz w:val="21"/>
          <w:szCs w:val="21"/>
          <w:shd w:val="clear" w:color="auto" w:fill="FFFFFF"/>
        </w:rPr>
        <w:t>Where:</w:t>
      </w:r>
      <w:r w:rsidRPr="003D511E">
        <w:rPr>
          <w:rStyle w:val="eop"/>
          <w:rFonts w:cstheme="minorHAnsi"/>
          <w:color w:val="595959" w:themeColor="text1" w:themeTint="A6"/>
          <w:sz w:val="21"/>
          <w:szCs w:val="21"/>
          <w:shd w:val="clear" w:color="auto" w:fill="FFFFFF"/>
        </w:rPr>
        <w:t> </w:t>
      </w:r>
    </w:p>
    <w:p w14:paraId="0D6DAF1E" w14:textId="4FA7B8ED" w:rsidR="00B77F40" w:rsidRPr="003D511E" w:rsidRDefault="00B77F40" w:rsidP="00B77F40">
      <w:pPr>
        <w:pStyle w:val="ListParagraph"/>
        <w:numPr>
          <w:ilvl w:val="0"/>
          <w:numId w:val="16"/>
        </w:numPr>
        <w:tabs>
          <w:tab w:val="left" w:pos="720"/>
        </w:tabs>
        <w:spacing w:after="120" w:line="240" w:lineRule="auto"/>
        <w:ind w:left="274" w:hanging="274"/>
        <w:contextualSpacing w:val="0"/>
        <w:jc w:val="both"/>
        <w:textAlignment w:val="baseline"/>
        <w:rPr>
          <w:rFonts w:eastAsia="Times New Roman" w:cstheme="minorHAnsi"/>
          <w:color w:val="595959" w:themeColor="text1" w:themeTint="A6"/>
          <w:sz w:val="21"/>
          <w:szCs w:val="21"/>
        </w:rPr>
      </w:pPr>
      <w:r w:rsidRPr="003D511E">
        <w:rPr>
          <w:rFonts w:eastAsia="Times New Roman" w:cstheme="minorHAnsi"/>
          <w:i/>
          <w:color w:val="595959" w:themeColor="text1" w:themeTint="A6"/>
          <w:sz w:val="21"/>
          <w:szCs w:val="21"/>
        </w:rPr>
        <w:t>Degraded mountain area</w:t>
      </w:r>
      <w:r w:rsidRPr="003D511E">
        <w:rPr>
          <w:rFonts w:eastAsia="Times New Roman" w:cstheme="minorHAnsi"/>
          <w:i/>
          <w:color w:val="595959" w:themeColor="text1" w:themeTint="A6"/>
          <w:sz w:val="21"/>
          <w:szCs w:val="21"/>
          <w:vertAlign w:val="subscript"/>
        </w:rPr>
        <w:t>n</w:t>
      </w:r>
      <w:r w:rsidRPr="003D511E">
        <w:rPr>
          <w:rFonts w:eastAsia="Times New Roman" w:cstheme="minorHAnsi"/>
          <w:i/>
          <w:color w:val="595959" w:themeColor="text1" w:themeTint="A6"/>
          <w:sz w:val="21"/>
          <w:szCs w:val="21"/>
        </w:rPr>
        <w:t xml:space="preserve"> </w:t>
      </w:r>
      <w:r w:rsidRPr="003D511E">
        <w:rPr>
          <w:rFonts w:eastAsia="Times New Roman" w:cstheme="minorHAnsi"/>
          <w:color w:val="595959" w:themeColor="text1" w:themeTint="A6"/>
          <w:sz w:val="21"/>
          <w:szCs w:val="21"/>
        </w:rPr>
        <w:t>= Total degraded </w:t>
      </w:r>
      <w:r w:rsidRPr="003D511E">
        <w:rPr>
          <w:rFonts w:eastAsia="Times New Roman" w:cstheme="minorHAnsi"/>
          <w:color w:val="595959" w:themeColor="text1" w:themeTint="A6"/>
          <w:sz w:val="21"/>
          <w:szCs w:val="21"/>
          <w:shd w:val="clear" w:color="auto" w:fill="FCFCFC"/>
        </w:rPr>
        <w:t xml:space="preserve">mountain </w:t>
      </w:r>
      <w:r w:rsidRPr="00AE4904">
        <w:rPr>
          <w:rFonts w:eastAsia="Times New Roman" w:cstheme="minorHAnsi"/>
          <w:color w:val="595959" w:themeColor="text1" w:themeTint="A6"/>
          <w:sz w:val="21"/>
          <w:szCs w:val="21"/>
          <w:shd w:val="clear" w:color="auto" w:fill="FCFCFC"/>
        </w:rPr>
        <w:t xml:space="preserve">area (in </w:t>
      </w:r>
      <w:r w:rsidR="00AE4904" w:rsidRPr="00AE4904">
        <w:rPr>
          <w:rFonts w:eastAsia="Times New Roman" w:cstheme="minorHAnsi"/>
          <w:color w:val="595959" w:themeColor="text1" w:themeTint="A6"/>
          <w:sz w:val="21"/>
          <w:szCs w:val="21"/>
          <w:shd w:val="clear" w:color="auto" w:fill="FCFCFC"/>
        </w:rPr>
        <w:t>k</w:t>
      </w:r>
      <w:r w:rsidRPr="00AE4904">
        <w:rPr>
          <w:rFonts w:eastAsia="Times New Roman" w:cstheme="minorHAnsi"/>
          <w:color w:val="595959" w:themeColor="text1" w:themeTint="A6"/>
          <w:sz w:val="21"/>
          <w:szCs w:val="21"/>
          <w:shd w:val="clear" w:color="auto" w:fill="FCFCFC"/>
        </w:rPr>
        <w:t>m</w:t>
      </w:r>
      <w:r w:rsidRPr="00AE4904">
        <w:rPr>
          <w:rFonts w:eastAsia="Times New Roman" w:cstheme="minorHAnsi"/>
          <w:color w:val="595959" w:themeColor="text1" w:themeTint="A6"/>
          <w:sz w:val="21"/>
          <w:szCs w:val="21"/>
          <w:shd w:val="clear" w:color="auto" w:fill="FCFCFC"/>
          <w:vertAlign w:val="superscript"/>
        </w:rPr>
        <w:t>2</w:t>
      </w:r>
      <w:r w:rsidRPr="003D511E">
        <w:rPr>
          <w:rFonts w:eastAsia="Times New Roman" w:cstheme="minorHAnsi"/>
          <w:color w:val="595959" w:themeColor="text1" w:themeTint="A6"/>
          <w:sz w:val="21"/>
          <w:szCs w:val="21"/>
          <w:shd w:val="clear" w:color="auto" w:fill="FCFCFC"/>
        </w:rPr>
        <w:t>) in the reporting period </w:t>
      </w:r>
      <w:r w:rsidRPr="003D511E">
        <w:rPr>
          <w:rFonts w:eastAsia="Times New Roman" w:cstheme="minorHAnsi"/>
          <w:i/>
          <w:iCs/>
          <w:color w:val="595959" w:themeColor="text1" w:themeTint="A6"/>
          <w:sz w:val="21"/>
          <w:szCs w:val="21"/>
          <w:shd w:val="clear" w:color="auto" w:fill="FCFCFC"/>
        </w:rPr>
        <w:t>n.</w:t>
      </w:r>
      <w:r w:rsidRPr="003D511E">
        <w:rPr>
          <w:rFonts w:eastAsia="Times New Roman" w:cstheme="minorHAnsi"/>
          <w:color w:val="595959" w:themeColor="text1" w:themeTint="A6"/>
          <w:sz w:val="21"/>
          <w:szCs w:val="21"/>
        </w:rPr>
        <w:t> This is, the sum of the areas where land cover change is considered to constitute degradation from the baseline period.</w:t>
      </w:r>
      <w:r w:rsidR="004E5BF6">
        <w:rPr>
          <w:rFonts w:eastAsia="Times New Roman" w:cstheme="minorHAnsi"/>
          <w:color w:val="595959" w:themeColor="text1" w:themeTint="A6"/>
          <w:sz w:val="21"/>
          <w:szCs w:val="21"/>
        </w:rPr>
        <w:t xml:space="preserve"> Degraded mountain land will be assessed based on the land cover transition matrix in Annex 1. </w:t>
      </w:r>
    </w:p>
    <w:p w14:paraId="43E3D6D5" w14:textId="513FF107" w:rsidR="00B77F40" w:rsidRPr="003D511E" w:rsidRDefault="00B77F40" w:rsidP="00B77F40">
      <w:pPr>
        <w:pStyle w:val="ListParagraph"/>
        <w:numPr>
          <w:ilvl w:val="0"/>
          <w:numId w:val="16"/>
        </w:numPr>
        <w:tabs>
          <w:tab w:val="left" w:pos="720"/>
        </w:tabs>
        <w:spacing w:after="60" w:line="240" w:lineRule="auto"/>
        <w:ind w:left="274" w:hanging="274"/>
        <w:contextualSpacing w:val="0"/>
        <w:jc w:val="both"/>
        <w:textAlignment w:val="baseline"/>
        <w:rPr>
          <w:rStyle w:val="normaltextrun"/>
          <w:rFonts w:eastAsia="Times New Roman" w:cstheme="minorHAnsi"/>
          <w:color w:val="595959" w:themeColor="text1" w:themeTint="A6"/>
          <w:sz w:val="21"/>
          <w:szCs w:val="21"/>
        </w:rPr>
      </w:pPr>
      <w:r w:rsidRPr="003D511E">
        <w:rPr>
          <w:rFonts w:eastAsia="Times New Roman" w:cstheme="minorHAnsi"/>
          <w:i/>
          <w:color w:val="595959" w:themeColor="text1" w:themeTint="A6"/>
          <w:sz w:val="21"/>
          <w:szCs w:val="21"/>
        </w:rPr>
        <w:t>Total mountain area</w:t>
      </w:r>
      <w:r w:rsidRPr="003D511E">
        <w:rPr>
          <w:rFonts w:eastAsia="Times New Roman" w:cstheme="minorHAnsi"/>
          <w:color w:val="595959" w:themeColor="text1" w:themeTint="A6"/>
          <w:sz w:val="21"/>
          <w:szCs w:val="21"/>
        </w:rPr>
        <w:t> = T</w:t>
      </w:r>
      <w:r w:rsidRPr="003D511E">
        <w:rPr>
          <w:rFonts w:eastAsia="Times New Roman" w:cstheme="minorHAnsi"/>
          <w:color w:val="595959" w:themeColor="text1" w:themeTint="A6"/>
          <w:sz w:val="21"/>
          <w:szCs w:val="21"/>
          <w:shd w:val="clear" w:color="auto" w:fill="FCFCFC"/>
        </w:rPr>
        <w:t xml:space="preserve">otal area of mountains </w:t>
      </w:r>
      <w:r w:rsidRPr="00AE4904">
        <w:rPr>
          <w:rFonts w:eastAsia="Times New Roman" w:cstheme="minorHAnsi"/>
          <w:color w:val="595959" w:themeColor="text1" w:themeTint="A6"/>
          <w:sz w:val="21"/>
          <w:szCs w:val="21"/>
          <w:shd w:val="clear" w:color="auto" w:fill="FCFCFC"/>
        </w:rPr>
        <w:t xml:space="preserve">(in </w:t>
      </w:r>
      <w:r w:rsidR="00AE4904" w:rsidRPr="00AE4904">
        <w:rPr>
          <w:rFonts w:eastAsia="Times New Roman" w:cstheme="minorHAnsi"/>
          <w:color w:val="595959" w:themeColor="text1" w:themeTint="A6"/>
          <w:sz w:val="21"/>
          <w:szCs w:val="21"/>
          <w:shd w:val="clear" w:color="auto" w:fill="FCFCFC"/>
        </w:rPr>
        <w:t>k</w:t>
      </w:r>
      <w:r w:rsidRPr="00AE4904">
        <w:rPr>
          <w:rFonts w:eastAsia="Times New Roman" w:cstheme="minorHAnsi"/>
          <w:color w:val="595959" w:themeColor="text1" w:themeTint="A6"/>
          <w:sz w:val="21"/>
          <w:szCs w:val="21"/>
          <w:shd w:val="clear" w:color="auto" w:fill="FCFCFC"/>
        </w:rPr>
        <w:t>m</w:t>
      </w:r>
      <w:r w:rsidRPr="00AE4904">
        <w:rPr>
          <w:rFonts w:eastAsia="Times New Roman" w:cstheme="minorHAnsi"/>
          <w:color w:val="595959" w:themeColor="text1" w:themeTint="A6"/>
          <w:sz w:val="21"/>
          <w:szCs w:val="21"/>
          <w:shd w:val="clear" w:color="auto" w:fill="FCFCFC"/>
          <w:vertAlign w:val="superscript"/>
        </w:rPr>
        <w:t>2</w:t>
      </w:r>
      <w:r w:rsidRPr="00AE4904">
        <w:rPr>
          <w:rFonts w:eastAsia="Times New Roman" w:cstheme="minorHAnsi"/>
          <w:color w:val="595959" w:themeColor="text1" w:themeTint="A6"/>
          <w:sz w:val="21"/>
          <w:szCs w:val="21"/>
          <w:shd w:val="clear" w:color="auto" w:fill="FCFCFC"/>
        </w:rPr>
        <w:t>). In both</w:t>
      </w:r>
      <w:r w:rsidRPr="003D511E">
        <w:rPr>
          <w:rFonts w:eastAsia="Times New Roman" w:cstheme="minorHAnsi"/>
          <w:color w:val="595959" w:themeColor="text1" w:themeTint="A6"/>
          <w:sz w:val="21"/>
          <w:szCs w:val="21"/>
          <w:shd w:val="clear" w:color="auto" w:fill="FCFCFC"/>
        </w:rPr>
        <w:t xml:space="preserve"> the numerator and denominator, mountain area is defined according to UNEP-WCMC</w:t>
      </w:r>
      <w:r w:rsidRPr="003D511E">
        <w:rPr>
          <w:rFonts w:eastAsia="Times New Roman" w:cstheme="minorHAnsi"/>
          <w:i/>
          <w:iCs/>
          <w:color w:val="595959" w:themeColor="text1" w:themeTint="A6"/>
          <w:sz w:val="21"/>
          <w:szCs w:val="21"/>
          <w:shd w:val="clear" w:color="auto" w:fill="FCFCFC"/>
        </w:rPr>
        <w:t> </w:t>
      </w:r>
      <w:r w:rsidRPr="00FB7F4B">
        <w:rPr>
          <w:rFonts w:eastAsia="Times New Roman" w:cstheme="minorHAnsi"/>
          <w:iCs/>
          <w:color w:val="595959" w:themeColor="text1" w:themeTint="A6"/>
          <w:sz w:val="21"/>
          <w:szCs w:val="21"/>
          <w:shd w:val="clear" w:color="auto" w:fill="FCFCFC"/>
        </w:rPr>
        <w:t>(</w:t>
      </w:r>
      <w:r w:rsidRPr="003D511E">
        <w:rPr>
          <w:rFonts w:eastAsia="Times New Roman" w:cstheme="minorHAnsi"/>
          <w:color w:val="595959" w:themeColor="text1" w:themeTint="A6"/>
          <w:sz w:val="21"/>
          <w:szCs w:val="21"/>
          <w:shd w:val="clear" w:color="auto" w:fill="FCFCFC"/>
        </w:rPr>
        <w:t>2002).</w:t>
      </w:r>
      <w:r w:rsidRPr="003D511E">
        <w:rPr>
          <w:rFonts w:eastAsia="Times New Roman" w:cstheme="minorHAnsi"/>
          <w:color w:val="595959" w:themeColor="text1" w:themeTint="A6"/>
          <w:sz w:val="21"/>
          <w:szCs w:val="21"/>
        </w:rPr>
        <w:t> </w:t>
      </w:r>
    </w:p>
    <w:p w14:paraId="1E6EB393" w14:textId="77777777" w:rsidR="00B77F40" w:rsidRPr="003D511E" w:rsidRDefault="00B77F40" w:rsidP="007B2926">
      <w:pPr>
        <w:spacing w:after="0"/>
        <w:jc w:val="both"/>
        <w:rPr>
          <w:rFonts w:eastAsia="Times New Roman" w:cs="Times New Roman"/>
          <w:color w:val="595959" w:themeColor="text1" w:themeTint="A6"/>
          <w:sz w:val="21"/>
          <w:szCs w:val="21"/>
          <w:lang w:eastAsia="en-GB"/>
        </w:rPr>
      </w:pPr>
    </w:p>
    <w:p w14:paraId="34C2BFFB" w14:textId="1D0E8179" w:rsidR="00C03897" w:rsidRPr="003D511E" w:rsidRDefault="00C03897" w:rsidP="00C03897">
      <w:pPr>
        <w:shd w:val="clear" w:color="auto" w:fill="FFFFFF"/>
        <w:spacing w:after="0"/>
        <w:contextualSpacing/>
        <w:rPr>
          <w:rFonts w:eastAsia="Times New Roman" w:cs="Times New Roman"/>
          <w:bCs/>
          <w:color w:val="595959" w:themeColor="text1" w:themeTint="A6"/>
          <w:sz w:val="21"/>
          <w:szCs w:val="21"/>
          <w:lang w:eastAsia="en-GB"/>
        </w:rPr>
      </w:pPr>
      <w:r w:rsidRPr="003D511E">
        <w:rPr>
          <w:rFonts w:eastAsia="Times New Roman" w:cs="Times New Roman"/>
          <w:bCs/>
          <w:color w:val="595959" w:themeColor="text1" w:themeTint="A6"/>
          <w:sz w:val="21"/>
          <w:szCs w:val="21"/>
          <w:lang w:eastAsia="en-GB"/>
        </w:rPr>
        <w:t>If the country/region has no mountain area, it will be assigned value NA.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DF89256" w14:textId="3B4A6332" w:rsidR="00E40926" w:rsidRPr="00FB7F4B" w:rsidRDefault="007C4B4D" w:rsidP="002A2E8D">
      <w:pPr>
        <w:shd w:val="clear" w:color="auto" w:fill="FFFFFF" w:themeFill="background1"/>
        <w:spacing w:after="0"/>
        <w:jc w:val="both"/>
        <w:rPr>
          <w:rFonts w:eastAsia="Times New Roman" w:cs="Times New Roman"/>
          <w:color w:val="595959" w:themeColor="text1" w:themeTint="A6"/>
          <w:sz w:val="21"/>
          <w:szCs w:val="21"/>
          <w:lang w:eastAsia="en-GB"/>
        </w:rPr>
      </w:pPr>
      <w:r w:rsidRPr="00FB7F4B">
        <w:rPr>
          <w:color w:val="595959" w:themeColor="text1" w:themeTint="A6"/>
          <w:sz w:val="21"/>
          <w:szCs w:val="21"/>
        </w:rPr>
        <w:t>Once received, national reported indicator values will undergo a review process by FAO to ensure the correct use of definitions and methodology as well as internal consistency.</w:t>
      </w:r>
    </w:p>
    <w:p w14:paraId="03001D17" w14:textId="77777777" w:rsidR="007C4B4D" w:rsidRPr="00FB7F4B" w:rsidRDefault="007C4B4D" w:rsidP="002A2E8D">
      <w:pPr>
        <w:shd w:val="clear" w:color="auto" w:fill="FFFFFF" w:themeFill="background1"/>
        <w:spacing w:after="0"/>
        <w:jc w:val="both"/>
        <w:rPr>
          <w:rFonts w:eastAsia="Times New Roman" w:cs="Times New Roman"/>
          <w:color w:val="595959" w:themeColor="text1" w:themeTint="A6"/>
          <w:sz w:val="21"/>
          <w:szCs w:val="21"/>
          <w:lang w:eastAsia="en-GB"/>
        </w:rPr>
      </w:pPr>
    </w:p>
    <w:p w14:paraId="5F47CDDE" w14:textId="4122E020" w:rsidR="00E40926" w:rsidRPr="00FB7F4B" w:rsidRDefault="007C4B4D" w:rsidP="002A2E8D">
      <w:pPr>
        <w:shd w:val="clear" w:color="auto" w:fill="FFFFFF" w:themeFill="background1"/>
        <w:spacing w:after="0"/>
        <w:jc w:val="both"/>
        <w:rPr>
          <w:rFonts w:eastAsia="Times New Roman" w:cs="Times New Roman"/>
          <w:color w:val="595959" w:themeColor="text1" w:themeTint="A6"/>
          <w:sz w:val="21"/>
          <w:szCs w:val="21"/>
          <w:lang w:eastAsia="en-GB"/>
        </w:rPr>
      </w:pPr>
      <w:r w:rsidRPr="00FB7F4B">
        <w:rPr>
          <w:color w:val="595959" w:themeColor="text1" w:themeTint="A6"/>
          <w:sz w:val="21"/>
          <w:szCs w:val="21"/>
        </w:rPr>
        <w:t>For those countries that have not submitted national indicator values, FAO will provide the NSO SDG focal points with national estimates derived from global data sources for review and validation.</w:t>
      </w:r>
    </w:p>
    <w:p w14:paraId="0025F830" w14:textId="439D19BF" w:rsidR="00F719A8" w:rsidRPr="00A96255" w:rsidRDefault="00F719A8" w:rsidP="00576CFA">
      <w:pPr>
        <w:pStyle w:val="MText"/>
      </w:pPr>
    </w:p>
    <w:p w14:paraId="2CF2A343" w14:textId="0A7F0CBE" w:rsidR="00E1050F" w:rsidRPr="00A96255" w:rsidRDefault="00E1050F" w:rsidP="00F719A8">
      <w:pPr>
        <w:pStyle w:val="MHeader2"/>
      </w:pPr>
      <w:r>
        <w:t xml:space="preserve">4.e. Adjustments </w:t>
      </w:r>
      <w:r>
        <w:rPr>
          <w:color w:val="B4B4B4"/>
          <w:sz w:val="20"/>
        </w:rPr>
        <w:t>(ADJUSTMENT)</w:t>
      </w:r>
    </w:p>
    <w:p w14:paraId="35FD9CAC" w14:textId="62BCB574" w:rsidR="7447311F" w:rsidRDefault="7447311F" w:rsidP="00810E26">
      <w:pPr>
        <w:pStyle w:val="MText"/>
      </w:pPr>
      <w:r w:rsidRPr="00E343C7">
        <w:t>Not ap</w:t>
      </w:r>
      <w:r w:rsidR="00443CC7">
        <w:t>p</w:t>
      </w:r>
      <w:r w:rsidRPr="00E343C7">
        <w:t>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5F2B55F" w14:textId="77777777" w:rsidR="00C03897" w:rsidRPr="00FB7F4B" w:rsidRDefault="00C03897" w:rsidP="00D20DFA">
      <w:pPr>
        <w:numPr>
          <w:ilvl w:val="0"/>
          <w:numId w:val="1"/>
        </w:numPr>
        <w:shd w:val="clear" w:color="auto" w:fill="FFFFFF"/>
        <w:spacing w:after="0"/>
        <w:ind w:left="495"/>
        <w:jc w:val="both"/>
        <w:outlineLvl w:val="4"/>
        <w:rPr>
          <w:rFonts w:eastAsia="Times New Roman" w:cs="Times New Roman"/>
          <w:b/>
          <w:bCs/>
          <w:color w:val="595959" w:themeColor="text1" w:themeTint="A6"/>
          <w:sz w:val="21"/>
          <w:szCs w:val="21"/>
          <w:lang w:eastAsia="en-GB"/>
        </w:rPr>
      </w:pPr>
      <w:r w:rsidRPr="00FB7F4B">
        <w:rPr>
          <w:rFonts w:eastAsia="Times New Roman" w:cs="Times New Roman"/>
          <w:b/>
          <w:bCs/>
          <w:color w:val="595959" w:themeColor="text1" w:themeTint="A6"/>
          <w:sz w:val="21"/>
          <w:szCs w:val="21"/>
          <w:lang w:eastAsia="en-GB"/>
        </w:rPr>
        <w:t>At country level</w:t>
      </w:r>
    </w:p>
    <w:p w14:paraId="0DEAFA71" w14:textId="32800080" w:rsidR="00C03897" w:rsidRPr="00FB7F4B" w:rsidRDefault="00567FE8" w:rsidP="00D20DFA">
      <w:pPr>
        <w:shd w:val="clear" w:color="auto" w:fill="FFFFFF"/>
        <w:spacing w:after="120"/>
        <w:jc w:val="both"/>
        <w:rPr>
          <w:rFonts w:eastAsia="Times New Roman" w:cs="Times New Roman"/>
          <w:color w:val="595959" w:themeColor="text1" w:themeTint="A6"/>
          <w:sz w:val="21"/>
          <w:szCs w:val="21"/>
          <w:lang w:eastAsia="en-GB"/>
        </w:rPr>
      </w:pPr>
      <w:r w:rsidRPr="00FB7F4B">
        <w:rPr>
          <w:color w:val="595959" w:themeColor="text1" w:themeTint="A6"/>
          <w:sz w:val="21"/>
          <w:szCs w:val="21"/>
        </w:rPr>
        <w:t>For countries where data is not available or incomplete, FAO will provide default estimates derived from global data sources that would then be validated by national focal points.</w:t>
      </w:r>
    </w:p>
    <w:p w14:paraId="0A967AF9" w14:textId="77777777" w:rsidR="00C03897" w:rsidRPr="00FB7F4B" w:rsidRDefault="00C03897" w:rsidP="00D20DFA">
      <w:pPr>
        <w:numPr>
          <w:ilvl w:val="0"/>
          <w:numId w:val="1"/>
        </w:numPr>
        <w:shd w:val="clear" w:color="auto" w:fill="FFFFFF"/>
        <w:spacing w:after="0"/>
        <w:ind w:left="495"/>
        <w:jc w:val="both"/>
        <w:outlineLvl w:val="4"/>
        <w:rPr>
          <w:rFonts w:eastAsia="Times New Roman" w:cs="Times New Roman"/>
          <w:b/>
          <w:bCs/>
          <w:color w:val="595959" w:themeColor="text1" w:themeTint="A6"/>
          <w:sz w:val="21"/>
          <w:szCs w:val="21"/>
          <w:lang w:eastAsia="en-GB"/>
        </w:rPr>
      </w:pPr>
      <w:r w:rsidRPr="00FB7F4B">
        <w:rPr>
          <w:rFonts w:eastAsia="Times New Roman" w:cs="Times New Roman"/>
          <w:b/>
          <w:bCs/>
          <w:color w:val="595959" w:themeColor="text1" w:themeTint="A6"/>
          <w:sz w:val="21"/>
          <w:szCs w:val="21"/>
          <w:lang w:eastAsia="en-GB"/>
        </w:rPr>
        <w:t>At regional and global levels</w:t>
      </w:r>
    </w:p>
    <w:p w14:paraId="49F86598" w14:textId="0EF4350C" w:rsidR="00C03897" w:rsidRPr="00FB7F4B" w:rsidRDefault="00C03897" w:rsidP="00D20DFA">
      <w:pPr>
        <w:shd w:val="clear" w:color="auto" w:fill="FFFFFF"/>
        <w:spacing w:after="0"/>
        <w:jc w:val="both"/>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Not applicable, as the indicator has a universal coverage</w:t>
      </w:r>
      <w:r w:rsidR="00FF55B0" w:rsidRPr="00FB7F4B">
        <w:rPr>
          <w:rFonts w:eastAsia="Times New Roman" w:cs="Times New Roman"/>
          <w:color w:val="595959" w:themeColor="text1" w:themeTint="A6"/>
          <w:sz w:val="21"/>
          <w:szCs w:val="21"/>
          <w:lang w:eastAsia="en-GB"/>
        </w:rPr>
        <w:t>.</w:t>
      </w:r>
    </w:p>
    <w:p w14:paraId="27033367" w14:textId="4110326D"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C9BFC88" w14:textId="77777777" w:rsidR="003C47CF" w:rsidRPr="003D511E" w:rsidRDefault="003C47CF" w:rsidP="00D20DFA">
      <w:pPr>
        <w:pStyle w:val="MText"/>
        <w:jc w:val="both"/>
        <w:rPr>
          <w:color w:val="595959" w:themeColor="text1" w:themeTint="A6"/>
        </w:rPr>
      </w:pPr>
      <w:r w:rsidRPr="003D511E">
        <w:rPr>
          <w:color w:val="595959" w:themeColor="text1" w:themeTint="A6"/>
        </w:rPr>
        <w:t xml:space="preserve">The indicator is aggregated to the regional and global level by, in the case of sub-indicator 15.4.2a, summing the spatial extent of green cover and total mountain area, and in the case of 15.4.2b, summing the spatial extent of degraded over total mountain area for all countries and territories reporting in a specific region or globally.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CE10601" w14:textId="76090200" w:rsidR="00D20DFA" w:rsidRDefault="00D20DFA" w:rsidP="00D20DFA">
      <w:pPr>
        <w:shd w:val="clear" w:color="auto" w:fill="FFFFFF"/>
        <w:spacing w:after="0"/>
        <w:jc w:val="both"/>
        <w:rPr>
          <w:color w:val="595959" w:themeColor="text1" w:themeTint="A6"/>
          <w:sz w:val="21"/>
          <w:szCs w:val="21"/>
        </w:rPr>
      </w:pPr>
      <w:r w:rsidRPr="00757F17">
        <w:rPr>
          <w:color w:val="595959" w:themeColor="text1" w:themeTint="A6"/>
          <w:sz w:val="21"/>
          <w:szCs w:val="21"/>
        </w:rPr>
        <w:lastRenderedPageBreak/>
        <w:t xml:space="preserve">Detailed guidance and computation tools to support countries to compute the indicator and report its values using standardised reporting tables will be provided by FAO. </w:t>
      </w:r>
    </w:p>
    <w:p w14:paraId="2939895F" w14:textId="77777777" w:rsidR="00EC2915" w:rsidRPr="00D3123B" w:rsidRDefault="00EC2915" w:rsidP="00D3123B">
      <w:pPr>
        <w:shd w:val="clear" w:color="auto" w:fill="FFFFFF"/>
        <w:spacing w:after="0"/>
        <w:rPr>
          <w:rFonts w:eastAsia="Times New Roman" w:cs="Times New Roman"/>
          <w:color w:val="4A4A4A"/>
          <w:sz w:val="21"/>
          <w:szCs w:val="21"/>
          <w:lang w:eastAsia="en-GB"/>
        </w:rPr>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D60D499" w14:textId="49AA29AB" w:rsidR="000646C5" w:rsidRDefault="000646C5" w:rsidP="00D20DFA">
      <w:pPr>
        <w:shd w:val="clear" w:color="auto" w:fill="FFFFFF"/>
        <w:spacing w:after="0"/>
        <w:jc w:val="both"/>
        <w:rPr>
          <w:rFonts w:eastAsia="Times New Roman" w:cs="Times New Roman"/>
          <w:color w:val="595959" w:themeColor="text1" w:themeTint="A6"/>
          <w:sz w:val="21"/>
          <w:szCs w:val="21"/>
          <w:lang w:eastAsia="en-GB"/>
        </w:rPr>
      </w:pPr>
      <w:r w:rsidRPr="00325511">
        <w:rPr>
          <w:rFonts w:eastAsia="Times New Roman" w:cstheme="minorHAnsi"/>
          <w:color w:val="595959" w:themeColor="text1" w:themeTint="A6"/>
          <w:sz w:val="21"/>
          <w:szCs w:val="21"/>
        </w:rPr>
        <w:t xml:space="preserve">FAO is responsible for the quality of the internal statistical processes used to compile the published datasets. The FAO Statistics Quality Assurance Framework (SQAF), available at: </w:t>
      </w:r>
      <w:hyperlink r:id="rId11">
        <w:r w:rsidRPr="00325511">
          <w:rPr>
            <w:rStyle w:val="Hyperlink"/>
            <w:rFonts w:eastAsia="Times New Roman" w:cstheme="minorHAnsi"/>
            <w:color w:val="595959" w:themeColor="text1" w:themeTint="A6"/>
            <w:sz w:val="21"/>
            <w:szCs w:val="21"/>
          </w:rPr>
          <w:t>http://www.fao.org/docrep/019/i3664e/i3664e.pdf</w:t>
        </w:r>
      </w:hyperlink>
      <w:r w:rsidRPr="00325511">
        <w:rPr>
          <w:rFonts w:eastAsia="Times New Roman" w:cstheme="minorHAnsi"/>
          <w:color w:val="595959" w:themeColor="text1" w:themeTint="A6"/>
          <w:sz w:val="21"/>
          <w:szCs w:val="21"/>
        </w:rPr>
        <w:t xml:space="preserve">,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w:t>
      </w:r>
      <w:r w:rsidRPr="00325511">
        <w:rPr>
          <w:rFonts w:eastAsia="Times New Roman" w:cs="Times New Roman"/>
          <w:color w:val="595959" w:themeColor="text1" w:themeTint="A6"/>
          <w:sz w:val="21"/>
          <w:szCs w:val="21"/>
          <w:lang w:eastAsia="en-GB"/>
        </w:rPr>
        <w:t>systematically (e.g. quality reviews, self-assessments, compliance monitoring).</w:t>
      </w:r>
    </w:p>
    <w:p w14:paraId="200D7285" w14:textId="77777777" w:rsidR="003F0CBE" w:rsidRPr="00325511" w:rsidRDefault="003F0CBE" w:rsidP="00D20DFA">
      <w:pPr>
        <w:shd w:val="clear" w:color="auto" w:fill="FFFFFF"/>
        <w:spacing w:after="0"/>
        <w:jc w:val="both"/>
        <w:rPr>
          <w:rFonts w:eastAsia="Times New Roman" w:cs="Times New Roman"/>
          <w:color w:val="595959" w:themeColor="text1" w:themeTint="A6"/>
          <w:sz w:val="21"/>
          <w:szCs w:val="21"/>
          <w:lang w:eastAsia="en-GB"/>
        </w:rPr>
      </w:pPr>
    </w:p>
    <w:p w14:paraId="17B979CA" w14:textId="449C0153" w:rsidR="00E1050F" w:rsidRPr="00A96255" w:rsidRDefault="00E1050F" w:rsidP="00F719A8">
      <w:pPr>
        <w:pStyle w:val="MHeader2"/>
      </w:pPr>
      <w:r>
        <w:t xml:space="preserve">4.j Quality assurance </w:t>
      </w:r>
      <w:r>
        <w:rPr>
          <w:color w:val="B4B4B4"/>
          <w:sz w:val="20"/>
        </w:rPr>
        <w:t>(QUALITY_ASSURE)</w:t>
      </w:r>
    </w:p>
    <w:p w14:paraId="56E0B439" w14:textId="5EFE0EED" w:rsidR="7447311F" w:rsidRDefault="7447311F" w:rsidP="00D20DFA">
      <w:pPr>
        <w:spacing w:after="0"/>
        <w:jc w:val="both"/>
        <w:rPr>
          <w:rFonts w:ascii="Calibri" w:eastAsia="Calibri" w:hAnsi="Calibri" w:cs="Calibri"/>
          <w:color w:val="4A4A4A"/>
          <w:sz w:val="21"/>
          <w:szCs w:val="21"/>
        </w:rPr>
      </w:pPr>
      <w:r w:rsidRPr="7447311F">
        <w:rPr>
          <w:rFonts w:ascii="Calibri" w:eastAsia="Calibri" w:hAnsi="Calibri" w:cs="Calibri"/>
          <w:color w:val="4A4A4A"/>
          <w:sz w:val="21"/>
          <w:szCs w:val="21"/>
          <w:lang w:val="en-US"/>
        </w:rPr>
        <w:t>Date reported by countries to FAO are subject to a rigorous review process to ensure correct use of definitions and methodology as well as internal consistency. A comparison is made with past assessments and other existing data sources. Regular contacts between national correspondents and FAO staff by e-mail form part of this review process.</w:t>
      </w:r>
    </w:p>
    <w:p w14:paraId="03EF3244" w14:textId="057FC219" w:rsidR="00EC2915" w:rsidRPr="00A96255" w:rsidRDefault="00EC2915" w:rsidP="00576CFA">
      <w:pPr>
        <w:pStyle w:val="MText"/>
      </w:pPr>
    </w:p>
    <w:p w14:paraId="34ADD322" w14:textId="1A21C057" w:rsidR="00E1050F" w:rsidRPr="00A96255" w:rsidRDefault="00576CFA" w:rsidP="00F719A8">
      <w:pPr>
        <w:pStyle w:val="MHeader2"/>
      </w:pPr>
      <w:r>
        <w:t xml:space="preserve">4.k Quality assessment </w:t>
      </w:r>
      <w:r>
        <w:rPr>
          <w:color w:val="B4B4B4"/>
          <w:sz w:val="20"/>
        </w:rPr>
        <w:t>(QUALITY_ASSMNT)</w:t>
      </w:r>
    </w:p>
    <w:p w14:paraId="6AA76230" w14:textId="02350555" w:rsidR="00576CFA" w:rsidRPr="00325511" w:rsidRDefault="7447311F" w:rsidP="00D20DFA">
      <w:pPr>
        <w:spacing w:after="0"/>
        <w:jc w:val="both"/>
        <w:rPr>
          <w:rFonts w:ascii="Calibri" w:eastAsia="Calibri" w:hAnsi="Calibri" w:cs="Calibri"/>
          <w:color w:val="595959" w:themeColor="text1" w:themeTint="A6"/>
          <w:sz w:val="21"/>
          <w:szCs w:val="21"/>
          <w:lang w:val="en-US"/>
        </w:rPr>
      </w:pPr>
      <w:r w:rsidRPr="00325511">
        <w:rPr>
          <w:rFonts w:ascii="Calibri" w:eastAsia="Calibri" w:hAnsi="Calibri" w:cs="Calibri"/>
          <w:color w:val="595959" w:themeColor="text1" w:themeTint="A6"/>
          <w:sz w:val="21"/>
          <w:szCs w:val="21"/>
          <w:lang w:val="en-US"/>
        </w:rPr>
        <w:t>Quality of statistics produced and disseminated by the FAO is evaluated in terms of fitness for use i.e. the degree to which statistics meet the user’s requirements. The quality dimensions assessed are: Relevance; Accuracy and Reliability; Timeliness and Punctuality; Coherence and Comparability; Accessibility and Clarity. Quality dimensions definitions are provided in the FAO Statistical Quality Assurance Framework (SQAF), which provides the definition of quality and describes quality principles for statistical outputs; statistical processes; institutional environment (http://www.fao.org/docrep/019/i3664e/i3664e.pdf). The SQAF is based on the Fundamental Principles of Official Statistics and the Principles Governing International Statistical Activities (CCSA). Adherence to these principles ensures the quality of FAO statistical production processes and of statistical outputs. Regular quality assessments are conducted through the FAO Quality Assessment and Planning Survey (QAPS), a bi-annual survey designed to gather information on all of FAO’s statistical activities, which is used to assess the extent to which quality standards are being met with a view to increasing compliance with the SQAF, and to document best practices and provide guidance for improvement where necessary.</w:t>
      </w:r>
    </w:p>
    <w:p w14:paraId="0A23F8BF" w14:textId="14B71CB3" w:rsidR="7447311F" w:rsidRDefault="7447311F" w:rsidP="7447311F">
      <w:pPr>
        <w:pStyle w:val="MText"/>
        <w:rPr>
          <w:rFonts w:ascii="Calibri" w:hAnsi="Calibri"/>
        </w:rPr>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5EAC0FB0" w:rsidR="00576CFA" w:rsidRPr="00325511" w:rsidRDefault="00D51E7C" w:rsidP="00576CFA">
      <w:pPr>
        <w:pStyle w:val="MText"/>
        <w:rPr>
          <w:b/>
          <w:bCs/>
          <w:color w:val="595959" w:themeColor="text1" w:themeTint="A6"/>
        </w:rPr>
      </w:pPr>
      <w:r w:rsidRPr="00325511">
        <w:rPr>
          <w:b/>
          <w:bCs/>
          <w:color w:val="595959" w:themeColor="text1" w:themeTint="A6"/>
        </w:rPr>
        <w:t>Data availability:</w:t>
      </w:r>
    </w:p>
    <w:p w14:paraId="225008B8" w14:textId="38EC076C" w:rsidR="005D73A1" w:rsidRPr="00FB7F4B" w:rsidRDefault="00EF5903" w:rsidP="00D20DFA">
      <w:pPr>
        <w:shd w:val="clear" w:color="auto" w:fill="FFFFFF"/>
        <w:spacing w:after="0"/>
        <w:jc w:val="both"/>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The indicator is generated by geospatial data and therefore has universal coverage. Countries with no values on the global SDG database are either A) countries with no mountains where the indicator is not applicable</w:t>
      </w:r>
      <w:r w:rsidR="00D20DFA" w:rsidRPr="00FB7F4B">
        <w:rPr>
          <w:rFonts w:eastAsia="Times New Roman" w:cs="Times New Roman"/>
          <w:color w:val="595959" w:themeColor="text1" w:themeTint="A6"/>
          <w:sz w:val="21"/>
          <w:szCs w:val="21"/>
          <w:lang w:eastAsia="en-GB"/>
        </w:rPr>
        <w:t xml:space="preserve"> (indicated as NA)</w:t>
      </w:r>
      <w:r w:rsidRPr="00FB7F4B">
        <w:rPr>
          <w:rFonts w:eastAsia="Times New Roman" w:cs="Times New Roman"/>
          <w:color w:val="595959" w:themeColor="text1" w:themeTint="A6"/>
          <w:sz w:val="21"/>
          <w:szCs w:val="21"/>
          <w:lang w:eastAsia="en-GB"/>
        </w:rPr>
        <w:t xml:space="preserve"> or B) countries that have not validated FAO’s estimates and yet have not provided figures of their own.</w:t>
      </w:r>
    </w:p>
    <w:p w14:paraId="7215EFE5" w14:textId="77777777" w:rsidR="00EF5903" w:rsidRPr="00325511" w:rsidRDefault="00EF5903" w:rsidP="00EF5903">
      <w:pPr>
        <w:shd w:val="clear" w:color="auto" w:fill="FFFFFF"/>
        <w:spacing w:after="0"/>
        <w:rPr>
          <w:rFonts w:eastAsia="Times New Roman" w:cs="Times New Roman"/>
          <w:color w:val="595959" w:themeColor="text1" w:themeTint="A6"/>
          <w:sz w:val="21"/>
          <w:szCs w:val="21"/>
          <w:lang w:eastAsia="en-GB"/>
        </w:rPr>
      </w:pPr>
    </w:p>
    <w:p w14:paraId="6C4F5286" w14:textId="3A1DD930" w:rsidR="005D73A1" w:rsidRPr="00325511" w:rsidRDefault="00D51E7C" w:rsidP="00576CFA">
      <w:pPr>
        <w:pStyle w:val="MText"/>
        <w:rPr>
          <w:b/>
          <w:bCs/>
          <w:color w:val="595959" w:themeColor="text1" w:themeTint="A6"/>
        </w:rPr>
      </w:pPr>
      <w:r w:rsidRPr="00325511">
        <w:rPr>
          <w:b/>
          <w:bCs/>
          <w:color w:val="595959" w:themeColor="text1" w:themeTint="A6"/>
        </w:rPr>
        <w:t>Time series:</w:t>
      </w:r>
    </w:p>
    <w:p w14:paraId="2DA2765A" w14:textId="5DAC55BC" w:rsidR="00EF5903" w:rsidRPr="007B2926" w:rsidRDefault="00EF5903" w:rsidP="007B2926">
      <w:pPr>
        <w:pStyle w:val="MText"/>
      </w:pPr>
      <w:r w:rsidRPr="007B2926">
        <w:lastRenderedPageBreak/>
        <w:t xml:space="preserve">Country, regional and global figures are available </w:t>
      </w:r>
      <w:r w:rsidR="00D20DFA" w:rsidRPr="007B2926">
        <w:t xml:space="preserve">since the year 2000. </w:t>
      </w:r>
    </w:p>
    <w:p w14:paraId="37A45958" w14:textId="4D596FAA" w:rsidR="00D20DFA" w:rsidRPr="00BE138A" w:rsidRDefault="00D20DFA" w:rsidP="00BE138A">
      <w:pPr>
        <w:pStyle w:val="MText"/>
      </w:pPr>
      <w:r w:rsidRPr="00BE138A">
        <w:t xml:space="preserve">For sub-indicator 15.4.2a, data is available for the years 2000, 2005, 2010, 2015 and 2018, and subsequently every three years. </w:t>
      </w:r>
    </w:p>
    <w:p w14:paraId="7B1DA40C" w14:textId="24071742" w:rsidR="00D20DFA" w:rsidRPr="00BE138A" w:rsidRDefault="00D20DFA" w:rsidP="00BE138A">
      <w:pPr>
        <w:pStyle w:val="MText"/>
      </w:pPr>
    </w:p>
    <w:p w14:paraId="3F1410F3" w14:textId="193E1351" w:rsidR="00D20DFA" w:rsidRPr="00BE138A" w:rsidRDefault="00D20DFA" w:rsidP="00BE138A">
      <w:pPr>
        <w:pStyle w:val="MText"/>
      </w:pPr>
      <w:r w:rsidRPr="00BE138A">
        <w:t xml:space="preserve">For sub-indicator 15.4.2b, data is available for the reporting period 2000-2015 (baseline), 2018, and subsequently every three years. </w:t>
      </w:r>
    </w:p>
    <w:p w14:paraId="4C81E106" w14:textId="77777777" w:rsidR="00EF5903" w:rsidRPr="00BE138A" w:rsidRDefault="00EF5903" w:rsidP="00576CFA">
      <w:pPr>
        <w:pStyle w:val="MText"/>
      </w:pPr>
    </w:p>
    <w:p w14:paraId="72C7C370" w14:textId="3E2C47F5" w:rsidR="00D51E7C" w:rsidRPr="00CB4B94" w:rsidRDefault="00D51E7C" w:rsidP="00576CFA">
      <w:pPr>
        <w:pStyle w:val="MText"/>
        <w:rPr>
          <w:b/>
          <w:bCs/>
        </w:rPr>
      </w:pPr>
      <w:r w:rsidRPr="00CB4B94">
        <w:rPr>
          <w:b/>
          <w:bCs/>
        </w:rPr>
        <w:t>Disaggregation:</w:t>
      </w:r>
    </w:p>
    <w:p w14:paraId="751E8B86" w14:textId="4F6AF2A2" w:rsidR="00CB4B94" w:rsidRPr="007B2926" w:rsidRDefault="00C03897" w:rsidP="007B2926">
      <w:pPr>
        <w:pStyle w:val="MText"/>
      </w:pPr>
      <w:r w:rsidRPr="007F32D6">
        <w:rPr>
          <w:color w:val="595959" w:themeColor="text1" w:themeTint="A6"/>
        </w:rPr>
        <w:t xml:space="preserve">In the global SDG database, </w:t>
      </w:r>
      <w:r w:rsidR="00D20DFA" w:rsidRPr="007F32D6">
        <w:rPr>
          <w:color w:val="595959" w:themeColor="text1" w:themeTint="A6"/>
        </w:rPr>
        <w:t>both sub-indicators are</w:t>
      </w:r>
      <w:r w:rsidRPr="007F32D6">
        <w:rPr>
          <w:color w:val="595959" w:themeColor="text1" w:themeTint="A6"/>
        </w:rPr>
        <w:t xml:space="preserve"> disaggregated by </w:t>
      </w:r>
      <w:r w:rsidR="00600007" w:rsidRPr="000733E9">
        <w:rPr>
          <w:color w:val="595959" w:themeColor="text1" w:themeTint="A6"/>
        </w:rPr>
        <w:t>mountain bioclimatic belts as defined by</w:t>
      </w:r>
      <w:r w:rsidR="00600007" w:rsidRPr="007B2926">
        <w:rPr>
          <w:color w:val="595959" w:themeColor="text1" w:themeTint="A6"/>
        </w:rPr>
        <w:t xml:space="preserve"> Körner </w:t>
      </w:r>
      <w:r w:rsidR="00600007" w:rsidRPr="007B2926">
        <w:rPr>
          <w:i/>
          <w:color w:val="595959" w:themeColor="text1" w:themeTint="A6"/>
        </w:rPr>
        <w:t xml:space="preserve">et al. </w:t>
      </w:r>
      <w:r w:rsidR="00600007" w:rsidRPr="007B2926">
        <w:rPr>
          <w:color w:val="595959" w:themeColor="text1" w:themeTint="A6"/>
        </w:rPr>
        <w:t xml:space="preserve">(2011) (see section 2c. Classifications). In addition, sub-indicator 15.4.2a is disaggregated by the 10 SEEA classes included in Table 2. Those values are reported </w:t>
      </w:r>
      <w:r w:rsidR="007047E5">
        <w:rPr>
          <w:color w:val="595959" w:themeColor="text1" w:themeTint="A6"/>
        </w:rPr>
        <w:t>both as proportions (percent) and area (</w:t>
      </w:r>
      <w:r w:rsidR="00600007" w:rsidRPr="007F32D6">
        <w:rPr>
          <w:color w:val="595959" w:themeColor="text1" w:themeTint="A6"/>
        </w:rPr>
        <w:t>in square kilometres</w:t>
      </w:r>
      <w:r w:rsidR="007047E5">
        <w:rPr>
          <w:color w:val="595959" w:themeColor="text1" w:themeTint="A6"/>
        </w:rPr>
        <w:t>)</w:t>
      </w:r>
      <w:r w:rsidR="00600007" w:rsidRPr="00325511">
        <w:rPr>
          <w:color w:val="595959" w:themeColor="text1" w:themeTint="A6"/>
        </w:rPr>
        <w:t>.</w:t>
      </w:r>
      <w:r w:rsidR="00600007" w:rsidRPr="007F32D6">
        <w:rPr>
          <w:color w:val="595959" w:themeColor="text1" w:themeTint="A6"/>
        </w:rPr>
        <w:t xml:space="preserve"> </w:t>
      </w:r>
    </w:p>
    <w:p w14:paraId="4D0520F7" w14:textId="502F51F2"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1493B8A7" w:rsidR="00D51E7C" w:rsidRPr="00A21EE1" w:rsidRDefault="00D51E7C" w:rsidP="00686FB9">
      <w:pPr>
        <w:pStyle w:val="MText"/>
        <w:spacing w:after="120"/>
        <w:rPr>
          <w:b/>
          <w:bCs/>
        </w:rPr>
      </w:pPr>
      <w:r w:rsidRPr="00A21EE1">
        <w:rPr>
          <w:b/>
          <w:bCs/>
        </w:rPr>
        <w:t>Sources of discrepancies:</w:t>
      </w:r>
    </w:p>
    <w:p w14:paraId="792A5FF1" w14:textId="404B341E" w:rsidR="00C03897" w:rsidRPr="00325511" w:rsidRDefault="00C03897" w:rsidP="00325511">
      <w:pPr>
        <w:shd w:val="clear" w:color="auto" w:fill="FFFFFF"/>
        <w:spacing w:after="0"/>
        <w:jc w:val="both"/>
        <w:rPr>
          <w:rFonts w:eastAsia="Times New Roman" w:cs="Times New Roman"/>
          <w:color w:val="595959" w:themeColor="text1" w:themeTint="A6"/>
          <w:sz w:val="21"/>
          <w:szCs w:val="21"/>
          <w:lang w:eastAsia="en-GB"/>
        </w:rPr>
      </w:pPr>
      <w:r w:rsidRPr="000F7AD2">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w:t>
      </w:r>
      <w:r w:rsidR="00CB4B94" w:rsidRPr="0041526F">
        <w:rPr>
          <w:rFonts w:cstheme="minorHAnsi"/>
          <w:color w:val="595959" w:themeColor="text1" w:themeTint="A6"/>
          <w:sz w:val="21"/>
          <w:szCs w:val="21"/>
        </w:rPr>
        <w:t xml:space="preserve">global default source of </w:t>
      </w:r>
      <w:r w:rsidR="00CB4B94">
        <w:rPr>
          <w:rFonts w:cstheme="minorHAnsi"/>
          <w:color w:val="595959" w:themeColor="text1" w:themeTint="A6"/>
          <w:sz w:val="21"/>
          <w:szCs w:val="21"/>
        </w:rPr>
        <w:t xml:space="preserve">land cover </w:t>
      </w:r>
      <w:r w:rsidR="00CB4B94" w:rsidRPr="0041526F">
        <w:rPr>
          <w:rFonts w:cstheme="minorHAnsi"/>
          <w:color w:val="595959" w:themeColor="text1" w:themeTint="A6"/>
          <w:sz w:val="21"/>
          <w:szCs w:val="21"/>
        </w:rPr>
        <w:t>data for this indicator</w:t>
      </w:r>
      <w:r w:rsidR="00CB4B9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ESA CCI Land Cover product, has been reported to have an overall accuracy of 73.2%. However, the accuracy estimate was calculated using the </w:t>
      </w:r>
      <w:r w:rsidRPr="00325511">
        <w:rPr>
          <w:rFonts w:eastAsia="Times New Roman" w:cs="Times New Roman"/>
          <w:color w:val="595959" w:themeColor="text1" w:themeTint="A6"/>
          <w:sz w:val="21"/>
          <w:szCs w:val="21"/>
          <w:lang w:eastAsia="en-GB"/>
        </w:rPr>
        <w:t>original 22 land cover classes. As the methodology presented here is based on use of aggregate classes, the accuracy can be expected to be higher</w:t>
      </w:r>
      <w:r w:rsidR="00600007" w:rsidRPr="00325511">
        <w:rPr>
          <w:rFonts w:eastAsia="Times New Roman" w:cs="Times New Roman"/>
          <w:color w:val="595959" w:themeColor="text1" w:themeTint="A6"/>
          <w:sz w:val="21"/>
          <w:szCs w:val="21"/>
          <w:lang w:eastAsia="en-GB"/>
        </w:rPr>
        <w:t xml:space="preserve"> for sub-indicator 15.4.2a </w:t>
      </w:r>
      <w:r w:rsidR="00757F17">
        <w:rPr>
          <w:rFonts w:eastAsia="Times New Roman" w:cs="Times New Roman"/>
          <w:color w:val="595959" w:themeColor="text1" w:themeTint="A6"/>
          <w:sz w:val="21"/>
          <w:szCs w:val="21"/>
          <w:lang w:eastAsia="en-GB"/>
        </w:rPr>
        <w:t>non-</w:t>
      </w:r>
      <w:r w:rsidR="00600007" w:rsidRPr="00325511">
        <w:rPr>
          <w:rFonts w:eastAsia="Times New Roman" w:cs="Times New Roman"/>
          <w:color w:val="595959" w:themeColor="text1" w:themeTint="A6"/>
          <w:sz w:val="21"/>
          <w:szCs w:val="21"/>
          <w:lang w:eastAsia="en-GB"/>
        </w:rPr>
        <w:t>disaggregated data.</w:t>
      </w:r>
      <w:r w:rsidR="00CB4B94" w:rsidRPr="00325511">
        <w:rPr>
          <w:rFonts w:eastAsia="Times New Roman" w:cs="Times New Roman"/>
          <w:color w:val="595959" w:themeColor="text1" w:themeTint="A6"/>
          <w:sz w:val="21"/>
          <w:szCs w:val="21"/>
          <w:lang w:eastAsia="en-GB"/>
        </w:rPr>
        <w:t xml:space="preserve"> </w:t>
      </w:r>
      <w:r w:rsidRPr="00325511">
        <w:rPr>
          <w:rFonts w:eastAsia="Times New Roman" w:cs="Times New Roman"/>
          <w:color w:val="595959" w:themeColor="text1" w:themeTint="A6"/>
          <w:sz w:val="21"/>
          <w:szCs w:val="21"/>
          <w:lang w:eastAsia="en-GB"/>
        </w:rPr>
        <w:t>The accuracy of the global land cover products can vary regionally</w:t>
      </w:r>
      <w:r w:rsidR="00757F17">
        <w:rPr>
          <w:rFonts w:eastAsia="Times New Roman" w:cs="Times New Roman"/>
          <w:color w:val="595959" w:themeColor="text1" w:themeTint="A6"/>
          <w:sz w:val="21"/>
          <w:szCs w:val="21"/>
          <w:lang w:eastAsia="en-GB"/>
        </w:rPr>
        <w:t xml:space="preserve"> and by land cover type</w:t>
      </w:r>
      <w:r w:rsidRPr="00325511">
        <w:rPr>
          <w:rFonts w:eastAsia="Times New Roman" w:cs="Times New Roman"/>
          <w:color w:val="595959" w:themeColor="text1" w:themeTint="A6"/>
          <w:sz w:val="21"/>
          <w:szCs w:val="21"/>
          <w:lang w:eastAsia="en-GB"/>
        </w:rPr>
        <w:t xml:space="preserve">. For the same reason, the presented indicator values may differ from those derived using national land cover maps. </w:t>
      </w:r>
    </w:p>
    <w:p w14:paraId="25D3091D" w14:textId="157202F6" w:rsidR="00CB4B94" w:rsidRPr="00325511" w:rsidRDefault="00CB4B94" w:rsidP="00325511">
      <w:pPr>
        <w:shd w:val="clear" w:color="auto" w:fill="FFFFFF"/>
        <w:spacing w:after="0"/>
        <w:jc w:val="both"/>
        <w:rPr>
          <w:rFonts w:eastAsia="Times New Roman" w:cs="Times New Roman"/>
          <w:color w:val="595959" w:themeColor="text1" w:themeTint="A6"/>
          <w:sz w:val="21"/>
          <w:szCs w:val="21"/>
          <w:lang w:eastAsia="en-GB"/>
        </w:rPr>
      </w:pPr>
    </w:p>
    <w:p w14:paraId="51E85D0D" w14:textId="09BC7097" w:rsidR="00CB4B94" w:rsidRPr="00325511" w:rsidRDefault="00CB4B94" w:rsidP="00325511">
      <w:pPr>
        <w:shd w:val="clear" w:color="auto" w:fill="FFFFFF"/>
        <w:spacing w:after="0"/>
        <w:jc w:val="both"/>
        <w:rPr>
          <w:rFonts w:eastAsia="Times New Roman" w:cs="Times New Roman"/>
          <w:color w:val="595959" w:themeColor="text1" w:themeTint="A6"/>
          <w:sz w:val="21"/>
          <w:szCs w:val="21"/>
          <w:lang w:eastAsia="en-GB"/>
        </w:rPr>
      </w:pPr>
      <w:r w:rsidRPr="00325511">
        <w:rPr>
          <w:color w:val="595959" w:themeColor="text1" w:themeTint="A6"/>
          <w:sz w:val="21"/>
          <w:szCs w:val="21"/>
        </w:rPr>
        <w:t xml:space="preserve">The </w:t>
      </w:r>
      <w:r w:rsidR="00325511" w:rsidRPr="00325511">
        <w:rPr>
          <w:color w:val="595959" w:themeColor="text1" w:themeTint="A6"/>
          <w:sz w:val="21"/>
          <w:szCs w:val="21"/>
        </w:rPr>
        <w:t>reporting format will help</w:t>
      </w:r>
      <w:r w:rsidRPr="00325511">
        <w:rPr>
          <w:color w:val="595959" w:themeColor="text1" w:themeTint="A6"/>
          <w:sz w:val="21"/>
          <w:szCs w:val="21"/>
        </w:rPr>
        <w:t xml:space="preserve"> to ensure that countries provide references for national data sources </w:t>
      </w:r>
      <w:r w:rsidR="00FA2473">
        <w:rPr>
          <w:color w:val="595959" w:themeColor="text1" w:themeTint="A6"/>
          <w:sz w:val="21"/>
          <w:szCs w:val="21"/>
        </w:rPr>
        <w:t>used,</w:t>
      </w:r>
      <w:r w:rsidRPr="00325511">
        <w:rPr>
          <w:color w:val="595959" w:themeColor="text1" w:themeTint="A6"/>
          <w:sz w:val="21"/>
          <w:szCs w:val="21"/>
        </w:rPr>
        <w:t xml:space="preserve"> associat</w:t>
      </w:r>
      <w:r w:rsidR="00FA2473">
        <w:rPr>
          <w:color w:val="595959" w:themeColor="text1" w:themeTint="A6"/>
          <w:sz w:val="21"/>
          <w:szCs w:val="21"/>
        </w:rPr>
        <w:t xml:space="preserve">ed definitions and terminology as well as </w:t>
      </w:r>
      <w:r w:rsidRPr="00325511">
        <w:rPr>
          <w:color w:val="595959" w:themeColor="text1" w:themeTint="A6"/>
          <w:sz w:val="21"/>
          <w:szCs w:val="21"/>
        </w:rPr>
        <w:t xml:space="preserve">more detailed </w:t>
      </w:r>
      <w:r w:rsidR="00FA2473">
        <w:rPr>
          <w:color w:val="595959" w:themeColor="text1" w:themeTint="A6"/>
          <w:sz w:val="21"/>
          <w:szCs w:val="21"/>
        </w:rPr>
        <w:t xml:space="preserve">analysis of the data based on more detailed land cover classifications.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sdt>
      <w:sdtPr>
        <w:id w:val="-573587230"/>
        <w:bibliography/>
      </w:sdtPr>
      <w:sdtEndPr>
        <w:rPr>
          <w:color w:val="4A4A4A"/>
        </w:rPr>
      </w:sdtEndPr>
      <w:sdtContent>
        <w:p w14:paraId="42CA7E62" w14:textId="77777777" w:rsidR="003F0CBE" w:rsidRPr="00412C1D" w:rsidRDefault="003F0CBE" w:rsidP="003D511E">
          <w:pPr>
            <w:pStyle w:val="Bibliography"/>
            <w:spacing w:before="240"/>
            <w:jc w:val="both"/>
          </w:pPr>
          <w:r w:rsidRPr="00412C1D">
            <w:rPr>
              <w:rFonts w:cstheme="minorHAnsi"/>
              <w:color w:val="595959" w:themeColor="text1" w:themeTint="A6"/>
              <w:sz w:val="21"/>
              <w:szCs w:val="21"/>
              <w:shd w:val="clear" w:color="auto" w:fill="FFFFFF"/>
            </w:rPr>
            <w:t>ESA (2017) Land Cover CCI Product User Guide Version 2. Tech. Rep. Available</w:t>
          </w:r>
          <w:r>
            <w:rPr>
              <w:rFonts w:cstheme="minorHAnsi"/>
              <w:color w:val="595959" w:themeColor="text1" w:themeTint="A6"/>
              <w:sz w:val="21"/>
              <w:szCs w:val="21"/>
              <w:shd w:val="clear" w:color="auto" w:fill="FFFFFF"/>
            </w:rPr>
            <w:t xml:space="preserve"> </w:t>
          </w:r>
          <w:r w:rsidRPr="00412C1D">
            <w:rPr>
              <w:rFonts w:cstheme="minorHAnsi"/>
              <w:color w:val="595959" w:themeColor="text1" w:themeTint="A6"/>
              <w:sz w:val="21"/>
              <w:szCs w:val="21"/>
              <w:shd w:val="clear" w:color="auto" w:fill="FFFFFF"/>
            </w:rPr>
            <w:t>at:</w:t>
          </w:r>
          <w:r w:rsidRPr="00412C1D">
            <w:rPr>
              <w:rFonts w:cstheme="minorHAnsi"/>
              <w:b/>
              <w:bCs/>
              <w:color w:val="595959" w:themeColor="text1" w:themeTint="A6"/>
              <w:sz w:val="21"/>
              <w:szCs w:val="21"/>
              <w:shd w:val="clear" w:color="auto" w:fill="FFFFFF"/>
            </w:rPr>
            <w:t> </w:t>
          </w:r>
          <w:hyperlink r:id="rId12" w:history="1">
            <w:r w:rsidRPr="00412C1D">
              <w:rPr>
                <w:rFonts w:cstheme="minorHAnsi"/>
                <w:color w:val="595959" w:themeColor="text1" w:themeTint="A6"/>
                <w:sz w:val="21"/>
                <w:szCs w:val="21"/>
                <w:u w:val="single"/>
                <w:shd w:val="clear" w:color="auto" w:fill="FFFFFF"/>
              </w:rPr>
              <w:t>maps.elie.ucl.ac.be/CCI/viewer/download/ESACCI-LC-Ph2-PUGv2_2.0.pdf</w:t>
            </w:r>
          </w:hyperlink>
        </w:p>
        <w:p w14:paraId="509B65DF" w14:textId="15B0D085" w:rsidR="00FA2473" w:rsidRDefault="00FA2473" w:rsidP="003D511E">
          <w:pPr>
            <w:jc w:val="both"/>
            <w:rPr>
              <w:color w:val="595959" w:themeColor="text1" w:themeTint="A6"/>
              <w:sz w:val="21"/>
              <w:szCs w:val="21"/>
            </w:rPr>
          </w:pPr>
          <w:r w:rsidRPr="00412C1D">
            <w:rPr>
              <w:color w:val="595959" w:themeColor="text1" w:themeTint="A6"/>
              <w:sz w:val="21"/>
              <w:szCs w:val="21"/>
            </w:rPr>
            <w:t xml:space="preserve">FAO-GTOS. (2009). </w:t>
          </w:r>
          <w:r w:rsidRPr="00412C1D">
            <w:rPr>
              <w:i/>
              <w:color w:val="595959" w:themeColor="text1" w:themeTint="A6"/>
              <w:sz w:val="21"/>
              <w:szCs w:val="21"/>
            </w:rPr>
            <w:t>Land Cover: Assessment of the status of the development of the standards for the Terrestrial Essential Climate Variables</w:t>
          </w:r>
          <w:r w:rsidRPr="00412C1D">
            <w:rPr>
              <w:color w:val="595959" w:themeColor="text1" w:themeTint="A6"/>
              <w:sz w:val="21"/>
              <w:szCs w:val="21"/>
            </w:rPr>
            <w:t xml:space="preserve">. Global Terrestrial Observing System, Rome.  </w:t>
          </w:r>
        </w:p>
        <w:p w14:paraId="3B3C2E92" w14:textId="46DABC8A" w:rsidR="003F0CBE" w:rsidRPr="00412C1D" w:rsidRDefault="003F0CBE" w:rsidP="003D511E">
          <w:pPr>
            <w:pStyle w:val="Bibliography"/>
            <w:jc w:val="both"/>
            <w:rPr>
              <w:color w:val="595959" w:themeColor="text1" w:themeTint="A6"/>
              <w:sz w:val="21"/>
              <w:szCs w:val="21"/>
            </w:rPr>
          </w:pPr>
          <w:r w:rsidRPr="00412C1D">
            <w:rPr>
              <w:color w:val="595959" w:themeColor="text1" w:themeTint="A6"/>
              <w:sz w:val="21"/>
              <w:szCs w:val="21"/>
            </w:rPr>
            <w:t xml:space="preserve">IPBES (2018): </w:t>
          </w:r>
          <w:r w:rsidRPr="003D511E">
            <w:rPr>
              <w:i/>
              <w:color w:val="595959" w:themeColor="text1" w:themeTint="A6"/>
              <w:sz w:val="21"/>
              <w:szCs w:val="21"/>
            </w:rPr>
            <w:t>Summary for policymakers of the assessment report on land degradation and restoration of the Intergovernmental Science-Policy Platform on Biodiversity and Ecosystem Services</w:t>
          </w:r>
          <w:r w:rsidRPr="00412C1D">
            <w:rPr>
              <w:color w:val="595959" w:themeColor="text1" w:themeTint="A6"/>
              <w:sz w:val="21"/>
              <w:szCs w:val="21"/>
            </w:rPr>
            <w:t>. R. Scholes, L. Montanarella, A. Brainich, N. Barger, B. ten Brink, M. Cantele, B. Erasmus, J. Fisher, T. Gardner, T. G. Holland, F. Kohler, J. S. Kotiaho, G. Von Maltitz, G. Nangendo, R. Pandit, J. Parrotta, M. D. Potts, S. Prince, M. Sankaran and L. Willemen (eds.). IPBES secretariat, Bonn, Germany. 44 pages</w:t>
          </w:r>
        </w:p>
        <w:p w14:paraId="6C87F872" w14:textId="2069ADD9" w:rsidR="003F0CBE" w:rsidRDefault="003F0CBE" w:rsidP="003D511E">
          <w:pPr>
            <w:pStyle w:val="Bibliography"/>
            <w:jc w:val="both"/>
            <w:rPr>
              <w:noProof/>
              <w:color w:val="595959" w:themeColor="text1" w:themeTint="A6"/>
              <w:sz w:val="21"/>
              <w:szCs w:val="21"/>
            </w:rPr>
          </w:pPr>
          <w:r w:rsidRPr="00412C1D">
            <w:rPr>
              <w:noProof/>
              <w:color w:val="595959" w:themeColor="text1" w:themeTint="A6"/>
              <w:sz w:val="21"/>
              <w:szCs w:val="21"/>
            </w:rPr>
            <w:t xml:space="preserve">Körner, C., Paulsen, J., &amp; Spehn, E. (2011). A definition of mountains and their bioclimatic belts for global comparisons of biodiversity data. </w:t>
          </w:r>
          <w:r w:rsidRPr="00412C1D">
            <w:rPr>
              <w:i/>
              <w:iCs/>
              <w:noProof/>
              <w:color w:val="595959" w:themeColor="text1" w:themeTint="A6"/>
              <w:sz w:val="21"/>
              <w:szCs w:val="21"/>
            </w:rPr>
            <w:t>Alpine Botany, 121</w:t>
          </w:r>
          <w:r w:rsidRPr="00412C1D">
            <w:rPr>
              <w:noProof/>
              <w:color w:val="595959" w:themeColor="text1" w:themeTint="A6"/>
              <w:sz w:val="21"/>
              <w:szCs w:val="21"/>
            </w:rPr>
            <w:t>, 73-78.</w:t>
          </w:r>
        </w:p>
        <w:p w14:paraId="113F3367" w14:textId="477D4B37" w:rsidR="003F0CBE" w:rsidRDefault="003F0CBE" w:rsidP="003D511E">
          <w:pPr>
            <w:jc w:val="both"/>
            <w:rPr>
              <w:color w:val="595959" w:themeColor="text1" w:themeTint="A6"/>
              <w:sz w:val="21"/>
              <w:szCs w:val="21"/>
            </w:rPr>
          </w:pPr>
          <w:r w:rsidRPr="00412C1D">
            <w:rPr>
              <w:color w:val="595959" w:themeColor="text1" w:themeTint="A6"/>
              <w:sz w:val="21"/>
              <w:szCs w:val="21"/>
            </w:rPr>
            <w:t xml:space="preserve">Notarnicola, C. (2020) Hotspots of snow cover changes in global mountain regions over 2000-2018. </w:t>
          </w:r>
          <w:r w:rsidRPr="00412C1D">
            <w:rPr>
              <w:i/>
              <w:iCs/>
              <w:color w:val="595959" w:themeColor="text1" w:themeTint="A6"/>
              <w:sz w:val="21"/>
              <w:szCs w:val="21"/>
            </w:rPr>
            <w:t xml:space="preserve">Remote Sensing of Environment </w:t>
          </w:r>
          <w:r w:rsidRPr="00412C1D">
            <w:rPr>
              <w:color w:val="595959" w:themeColor="text1" w:themeTint="A6"/>
              <w:sz w:val="21"/>
              <w:szCs w:val="21"/>
            </w:rPr>
            <w:t>243, 111781.</w:t>
          </w:r>
        </w:p>
        <w:p w14:paraId="2CBB6761" w14:textId="2CA162A4" w:rsidR="00E550CB" w:rsidRPr="00E550CB" w:rsidRDefault="00E550CB" w:rsidP="003D511E">
          <w:pPr>
            <w:jc w:val="both"/>
            <w:rPr>
              <w:color w:val="595959" w:themeColor="text1" w:themeTint="A6"/>
              <w:sz w:val="21"/>
              <w:szCs w:val="21"/>
            </w:rPr>
          </w:pPr>
          <w:r w:rsidRPr="00E550CB">
            <w:rPr>
              <w:sz w:val="21"/>
              <w:szCs w:val="21"/>
            </w:rPr>
            <w:lastRenderedPageBreak/>
            <w:t>Olofsson, P., Foody, G. M., Herold, M., Stehman, S. V., Woodcock, C. E., Wulder, M. A. (2014): Good practices for estimating area and assessing accuracy of land change</w:t>
          </w:r>
          <w:r w:rsidRPr="00E550CB">
            <w:rPr>
              <w:i/>
              <w:sz w:val="21"/>
              <w:szCs w:val="21"/>
            </w:rPr>
            <w:t>. Remote Sensing of Environment</w:t>
          </w:r>
          <w:r w:rsidRPr="00E550CB">
            <w:rPr>
              <w:sz w:val="21"/>
              <w:szCs w:val="21"/>
            </w:rPr>
            <w:t>, 148, 42-57.</w:t>
          </w:r>
        </w:p>
        <w:p w14:paraId="74418570" w14:textId="445E2244" w:rsidR="003F0CBE" w:rsidRDefault="003F0CBE" w:rsidP="003D511E">
          <w:pPr>
            <w:jc w:val="both"/>
            <w:rPr>
              <w:color w:val="595959" w:themeColor="text1" w:themeTint="A6"/>
              <w:sz w:val="21"/>
              <w:szCs w:val="21"/>
            </w:rPr>
          </w:pPr>
          <w:r w:rsidRPr="003D511E">
            <w:rPr>
              <w:color w:val="595959" w:themeColor="text1" w:themeTint="A6"/>
              <w:sz w:val="21"/>
              <w:szCs w:val="21"/>
              <w:lang w:val="en-US"/>
            </w:rPr>
            <w:t xml:space="preserve">Ravilious, C., Tshwene-Mauchaza, B. and Kapos, V. (2021). </w:t>
          </w:r>
          <w:r w:rsidRPr="00412C1D">
            <w:rPr>
              <w:i/>
              <w:color w:val="595959" w:themeColor="text1" w:themeTint="A6"/>
              <w:sz w:val="21"/>
              <w:szCs w:val="21"/>
            </w:rPr>
            <w:t xml:space="preserve">Validation and implementation of the Kapos Mountain Classification: Assessing the impact of DEM resolution on the mapping of mountain classes </w:t>
          </w:r>
          <w:r w:rsidR="008D154B">
            <w:rPr>
              <w:i/>
              <w:color w:val="595959" w:themeColor="text1" w:themeTint="A6"/>
              <w:sz w:val="21"/>
              <w:szCs w:val="21"/>
            </w:rPr>
            <w:t>following the Kapos methodology</w:t>
          </w:r>
          <w:r>
            <w:rPr>
              <w:color w:val="595959" w:themeColor="text1" w:themeTint="A6"/>
              <w:sz w:val="21"/>
              <w:szCs w:val="21"/>
            </w:rPr>
            <w:t>. UNEP-WCMC, Cambridge, UK.</w:t>
          </w:r>
        </w:p>
        <w:p w14:paraId="43A61404" w14:textId="04776A9C" w:rsidR="003F0CBE" w:rsidRPr="00412C1D" w:rsidRDefault="003F0CBE" w:rsidP="003D511E">
          <w:pPr>
            <w:pStyle w:val="Bibliography"/>
            <w:jc w:val="both"/>
            <w:rPr>
              <w:noProof/>
              <w:color w:val="595959" w:themeColor="text1" w:themeTint="A6"/>
              <w:sz w:val="21"/>
              <w:szCs w:val="21"/>
            </w:rPr>
          </w:pPr>
          <w:r w:rsidRPr="00412C1D">
            <w:rPr>
              <w:noProof/>
              <w:color w:val="595959" w:themeColor="text1" w:themeTint="A6"/>
              <w:sz w:val="21"/>
              <w:szCs w:val="21"/>
            </w:rPr>
            <w:t xml:space="preserve">Santoro, M., Kirches, G., Wevers, J., Boettcher, M., Brockmann, C., Lamarche, C., . . . Defourny, P. (2015). </w:t>
          </w:r>
          <w:r w:rsidRPr="00412C1D">
            <w:rPr>
              <w:i/>
              <w:iCs/>
              <w:noProof/>
              <w:color w:val="595959" w:themeColor="text1" w:themeTint="A6"/>
              <w:sz w:val="21"/>
              <w:szCs w:val="21"/>
            </w:rPr>
            <w:t>Land Cover CCI PRODUCT USER GUIDE VERSION 2.0.</w:t>
          </w:r>
          <w:r w:rsidRPr="00412C1D">
            <w:rPr>
              <w:noProof/>
              <w:color w:val="595959" w:themeColor="text1" w:themeTint="A6"/>
              <w:sz w:val="21"/>
              <w:szCs w:val="21"/>
            </w:rPr>
            <w:t xml:space="preserve"> European Spatial Agency. European Spatial Agency. Retrieved from http://maps.elie.ucl.ac.be/CCI/viewer/download/ESACCI-LC-Ph2-PUGv2_2.0.pdf</w:t>
          </w:r>
        </w:p>
        <w:p w14:paraId="40A4968F" w14:textId="22CD551B" w:rsidR="00FA2473" w:rsidRDefault="00FA2473" w:rsidP="003D511E">
          <w:pPr>
            <w:pStyle w:val="Bibliography"/>
            <w:jc w:val="both"/>
            <w:rPr>
              <w:color w:val="595959" w:themeColor="text1" w:themeTint="A6"/>
              <w:sz w:val="21"/>
              <w:szCs w:val="21"/>
            </w:rPr>
          </w:pPr>
          <w:r w:rsidRPr="00412C1D">
            <w:rPr>
              <w:color w:val="595959" w:themeColor="text1" w:themeTint="A6"/>
              <w:sz w:val="21"/>
              <w:szCs w:val="21"/>
            </w:rPr>
            <w:t xml:space="preserve">Sims, N.C., Newnham, G.J., England, J.R., Guerschman, J., Cox, S.J.D., Roxburgh, S.H., Viscarra Rossel, R.A., Fritz, S. and Wheeler, I. (2021). </w:t>
          </w:r>
          <w:r w:rsidRPr="003D511E">
            <w:rPr>
              <w:i/>
              <w:color w:val="595959" w:themeColor="text1" w:themeTint="A6"/>
              <w:sz w:val="21"/>
              <w:szCs w:val="21"/>
            </w:rPr>
            <w:t>Good Practice Guidance. SDG Indicator 15.3.1, Proportion of Land That Is Degraded Over Total Land Area. Version 2.0.</w:t>
          </w:r>
          <w:r w:rsidRPr="00412C1D">
            <w:rPr>
              <w:color w:val="595959" w:themeColor="text1" w:themeTint="A6"/>
              <w:sz w:val="21"/>
              <w:szCs w:val="21"/>
            </w:rPr>
            <w:t xml:space="preserve"> United Nations Convention to Combat Desertification, Bonn, Germany </w:t>
          </w:r>
        </w:p>
        <w:p w14:paraId="17AB2D31" w14:textId="6D2DB47A" w:rsidR="00FA2473" w:rsidRPr="00FA2473" w:rsidRDefault="00FA2473" w:rsidP="003D511E">
          <w:pPr>
            <w:jc w:val="both"/>
            <w:rPr>
              <w:rFonts w:cstheme="minorHAnsi"/>
              <w:color w:val="595959" w:themeColor="text1" w:themeTint="A6"/>
              <w:sz w:val="21"/>
              <w:szCs w:val="21"/>
            </w:rPr>
          </w:pPr>
          <w:r w:rsidRPr="00412C1D">
            <w:rPr>
              <w:color w:val="595959" w:themeColor="text1" w:themeTint="A6"/>
              <w:sz w:val="21"/>
              <w:szCs w:val="21"/>
            </w:rPr>
            <w:t xml:space="preserve">UN Statistical Division (2014). </w:t>
          </w:r>
          <w:r w:rsidRPr="00412C1D">
            <w:rPr>
              <w:i/>
              <w:iCs/>
              <w:color w:val="595959" w:themeColor="text1" w:themeTint="A6"/>
              <w:sz w:val="21"/>
              <w:szCs w:val="21"/>
            </w:rPr>
            <w:t xml:space="preserve">System of Environmental Economic Accounting 2012 — Central Framework. </w:t>
          </w:r>
          <w:r w:rsidRPr="00412C1D">
            <w:rPr>
              <w:color w:val="595959" w:themeColor="text1" w:themeTint="A6"/>
              <w:sz w:val="21"/>
              <w:szCs w:val="21"/>
            </w:rPr>
            <w:t>New York, USA.</w:t>
          </w:r>
        </w:p>
        <w:p w14:paraId="70B1AE2A" w14:textId="2DCFB323" w:rsidR="00FA2473" w:rsidRPr="003D511E" w:rsidRDefault="00FA2473" w:rsidP="003D511E">
          <w:pPr>
            <w:jc w:val="both"/>
            <w:rPr>
              <w:color w:val="595959" w:themeColor="text1" w:themeTint="A6"/>
              <w:sz w:val="21"/>
              <w:szCs w:val="21"/>
            </w:rPr>
          </w:pPr>
          <w:r w:rsidRPr="00412C1D">
            <w:rPr>
              <w:color w:val="595959" w:themeColor="text1" w:themeTint="A6"/>
              <w:sz w:val="21"/>
              <w:szCs w:val="21"/>
            </w:rPr>
            <w:t>UNEP-WCMC (2002). </w:t>
          </w:r>
          <w:r w:rsidRPr="003D511E">
            <w:rPr>
              <w:i/>
              <w:color w:val="595959" w:themeColor="text1" w:themeTint="A6"/>
              <w:sz w:val="21"/>
              <w:szCs w:val="21"/>
            </w:rPr>
            <w:t>Mountain Watch: Environmental change and sustainable development in mountains.</w:t>
          </w:r>
          <w:r w:rsidRPr="00412C1D">
            <w:rPr>
              <w:color w:val="595959" w:themeColor="text1" w:themeTint="A6"/>
              <w:sz w:val="21"/>
              <w:szCs w:val="21"/>
            </w:rPr>
            <w:t> Cambridge, UK</w:t>
          </w:r>
        </w:p>
        <w:p w14:paraId="76BEF80F" w14:textId="77777777" w:rsidR="004E5BF6" w:rsidRDefault="004E5BF6" w:rsidP="003D511E">
          <w:pPr>
            <w:sectPr w:rsidR="004E5BF6">
              <w:headerReference w:type="default" r:id="rId13"/>
              <w:footerReference w:type="default" r:id="rId14"/>
              <w:pgSz w:w="11906" w:h="16838"/>
              <w:pgMar w:top="1440" w:right="1440" w:bottom="1440" w:left="1440" w:header="720" w:footer="720" w:gutter="0"/>
              <w:cols w:space="720"/>
              <w:docGrid w:linePitch="360"/>
            </w:sectPr>
          </w:pPr>
        </w:p>
        <w:p w14:paraId="4868F899" w14:textId="0E02B94B" w:rsidR="004E5BF6" w:rsidRPr="001B5F38" w:rsidRDefault="004E5BF6" w:rsidP="004E5BF6">
          <w:pPr>
            <w:rPr>
              <w:rFonts w:asciiTheme="majorHAnsi" w:hAnsiTheme="majorHAnsi" w:cstheme="majorHAnsi"/>
              <w:iCs/>
              <w:color w:val="000000" w:themeColor="text1"/>
              <w:sz w:val="18"/>
              <w:szCs w:val="18"/>
            </w:rPr>
          </w:pPr>
          <w:r>
            <w:rPr>
              <w:rFonts w:asciiTheme="majorHAnsi" w:hAnsiTheme="majorHAnsi" w:cstheme="majorHAnsi"/>
              <w:b/>
              <w:color w:val="000000" w:themeColor="text1"/>
              <w:sz w:val="18"/>
              <w:szCs w:val="18"/>
            </w:rPr>
            <w:lastRenderedPageBreak/>
            <w:t>Annex 1</w:t>
          </w:r>
          <w:r w:rsidRPr="001B5F38">
            <w:rPr>
              <w:rFonts w:asciiTheme="majorHAnsi" w:hAnsiTheme="majorHAnsi" w:cstheme="majorHAnsi"/>
              <w:b/>
              <w:color w:val="000000" w:themeColor="text1"/>
              <w:sz w:val="18"/>
              <w:szCs w:val="18"/>
            </w:rPr>
            <w:t>.</w:t>
          </w:r>
          <w:r w:rsidRPr="001B5F38">
            <w:rPr>
              <w:rFonts w:asciiTheme="majorHAnsi" w:hAnsiTheme="majorHAnsi" w:cstheme="majorHAnsi"/>
              <w:color w:val="000000" w:themeColor="text1"/>
              <w:sz w:val="18"/>
              <w:szCs w:val="18"/>
            </w:rPr>
            <w:t xml:space="preserve"> </w:t>
          </w:r>
          <w:r>
            <w:rPr>
              <w:rFonts w:asciiTheme="majorHAnsi" w:hAnsiTheme="majorHAnsi" w:cstheme="majorHAnsi"/>
              <w:color w:val="000000" w:themeColor="text1"/>
              <w:sz w:val="18"/>
              <w:szCs w:val="18"/>
            </w:rPr>
            <w:t>L</w:t>
          </w:r>
          <w:r w:rsidRPr="001B5F38">
            <w:rPr>
              <w:rFonts w:asciiTheme="majorHAnsi" w:hAnsiTheme="majorHAnsi" w:cstheme="majorHAnsi"/>
              <w:color w:val="000000" w:themeColor="text1"/>
              <w:sz w:val="18"/>
              <w:szCs w:val="18"/>
            </w:rPr>
            <w:t xml:space="preserve">and cover transition matrix for the 10 SEEA classes. </w:t>
          </w:r>
          <w:r w:rsidRPr="001B5F38">
            <w:rPr>
              <w:rFonts w:asciiTheme="majorHAnsi" w:hAnsiTheme="majorHAnsi" w:cstheme="majorHAnsi"/>
              <w:iCs/>
              <w:color w:val="000000" w:themeColor="text1"/>
              <w:sz w:val="18"/>
              <w:szCs w:val="18"/>
            </w:rPr>
            <w:t>Land cover change processes are color coded as improvement (green), stable (yellow) or degradation (red).</w:t>
          </w:r>
          <w:r w:rsidRPr="001B5F38">
            <w:rPr>
              <w:rFonts w:asciiTheme="majorHAnsi" w:hAnsiTheme="majorHAnsi" w:cstheme="majorHAnsi"/>
              <w:color w:val="000000" w:themeColor="text1"/>
              <w:sz w:val="18"/>
              <w:szCs w:val="18"/>
            </w:rPr>
            <w:t xml:space="preserve"> (Adapted from Sims </w:t>
          </w:r>
          <w:r w:rsidRPr="001B5F38">
            <w:rPr>
              <w:rFonts w:asciiTheme="majorHAnsi" w:hAnsiTheme="majorHAnsi" w:cstheme="majorHAnsi"/>
              <w:i/>
              <w:color w:val="000000" w:themeColor="text1"/>
              <w:sz w:val="18"/>
              <w:szCs w:val="18"/>
            </w:rPr>
            <w:t>et al</w:t>
          </w:r>
          <w:r w:rsidRPr="001B5F38">
            <w:rPr>
              <w:rFonts w:asciiTheme="majorHAnsi" w:hAnsiTheme="majorHAnsi" w:cstheme="majorHAnsi"/>
              <w:color w:val="000000" w:themeColor="text1"/>
              <w:sz w:val="18"/>
              <w:szCs w:val="18"/>
            </w:rPr>
            <w:t xml:space="preserve">. 2021). </w:t>
          </w:r>
        </w:p>
        <w:tbl>
          <w:tblPr>
            <w:tblStyle w:val="TableGrid1"/>
            <w:tblW w:w="13950" w:type="dxa"/>
            <w:tblInd w:w="-180" w:type="dxa"/>
            <w:tblLayout w:type="fixed"/>
            <w:tblLook w:val="04A0" w:firstRow="1" w:lastRow="0" w:firstColumn="1" w:lastColumn="0" w:noHBand="0" w:noVBand="1"/>
          </w:tblPr>
          <w:tblGrid>
            <w:gridCol w:w="450"/>
            <w:gridCol w:w="1440"/>
            <w:gridCol w:w="1170"/>
            <w:gridCol w:w="1170"/>
            <w:gridCol w:w="1170"/>
            <w:gridCol w:w="1170"/>
            <w:gridCol w:w="1260"/>
            <w:gridCol w:w="1170"/>
            <w:gridCol w:w="1260"/>
            <w:gridCol w:w="1260"/>
            <w:gridCol w:w="1260"/>
            <w:gridCol w:w="1170"/>
          </w:tblGrid>
          <w:tr w:rsidR="004E5BF6" w:rsidRPr="004E5BF6" w14:paraId="4541508C" w14:textId="77777777" w:rsidTr="00EC60A9">
            <w:tc>
              <w:tcPr>
                <w:tcW w:w="450" w:type="dxa"/>
                <w:tcBorders>
                  <w:top w:val="nil"/>
                  <w:left w:val="nil"/>
                  <w:bottom w:val="nil"/>
                  <w:right w:val="nil"/>
                </w:tcBorders>
              </w:tcPr>
              <w:p w14:paraId="3DC7A7BE" w14:textId="77777777" w:rsidR="004E5BF6" w:rsidRPr="004E5BF6" w:rsidRDefault="004E5BF6" w:rsidP="004E5BF6">
                <w:pPr>
                  <w:rPr>
                    <w:rFonts w:ascii="Calibri Light" w:hAnsi="Calibri Light" w:cs="Calibri Light"/>
                    <w:b/>
                    <w:sz w:val="28"/>
                    <w:szCs w:val="28"/>
                    <w:u w:val="single"/>
                  </w:rPr>
                </w:pPr>
              </w:p>
            </w:tc>
            <w:tc>
              <w:tcPr>
                <w:tcW w:w="1440" w:type="dxa"/>
                <w:tcBorders>
                  <w:top w:val="nil"/>
                  <w:left w:val="nil"/>
                  <w:bottom w:val="nil"/>
                  <w:right w:val="single" w:sz="4" w:space="0" w:color="auto"/>
                </w:tcBorders>
              </w:tcPr>
              <w:p w14:paraId="2F7AFB04" w14:textId="77777777" w:rsidR="004E5BF6" w:rsidRPr="004E5BF6" w:rsidRDefault="004E5BF6" w:rsidP="004E5BF6">
                <w:pPr>
                  <w:rPr>
                    <w:rFonts w:ascii="Calibri Light" w:hAnsi="Calibri Light" w:cs="Calibri Light"/>
                    <w:b/>
                    <w:sz w:val="28"/>
                    <w:szCs w:val="28"/>
                    <w:u w:val="single"/>
                  </w:rPr>
                </w:pPr>
              </w:p>
            </w:tc>
            <w:tc>
              <w:tcPr>
                <w:tcW w:w="12060" w:type="dxa"/>
                <w:gridSpan w:val="10"/>
                <w:tcBorders>
                  <w:top w:val="single" w:sz="4" w:space="0" w:color="auto"/>
                  <w:left w:val="single" w:sz="4" w:space="0" w:color="auto"/>
                  <w:bottom w:val="single" w:sz="4" w:space="0" w:color="auto"/>
                  <w:right w:val="single" w:sz="4" w:space="0" w:color="auto"/>
                </w:tcBorders>
                <w:vAlign w:val="center"/>
                <w:hideMark/>
              </w:tcPr>
              <w:p w14:paraId="1BFC9DE0" w14:textId="77777777" w:rsidR="004E5BF6" w:rsidRPr="004E5BF6" w:rsidRDefault="004E5BF6" w:rsidP="004E5BF6">
                <w:pPr>
                  <w:jc w:val="center"/>
                  <w:rPr>
                    <w:rFonts w:ascii="Calibri Light" w:hAnsi="Calibri Light" w:cs="Calibri Light"/>
                    <w:b/>
                    <w:u w:val="single"/>
                  </w:rPr>
                </w:pPr>
                <w:r w:rsidRPr="004E5BF6">
                  <w:rPr>
                    <w:rFonts w:ascii="Calibri Light" w:hAnsi="Calibri Light" w:cs="Calibri Light"/>
                    <w:b/>
                  </w:rPr>
                  <w:t>FINAL CLASS</w:t>
                </w:r>
              </w:p>
            </w:tc>
          </w:tr>
          <w:tr w:rsidR="004E5BF6" w:rsidRPr="004E5BF6" w14:paraId="4E9F5F54" w14:textId="77777777" w:rsidTr="00EC60A9">
            <w:trPr>
              <w:trHeight w:val="1440"/>
            </w:trPr>
            <w:tc>
              <w:tcPr>
                <w:tcW w:w="450" w:type="dxa"/>
                <w:tcBorders>
                  <w:top w:val="nil"/>
                  <w:left w:val="nil"/>
                  <w:bottom w:val="single" w:sz="4" w:space="0" w:color="auto"/>
                  <w:right w:val="nil"/>
                </w:tcBorders>
              </w:tcPr>
              <w:p w14:paraId="75BBF135" w14:textId="77777777" w:rsidR="004E5BF6" w:rsidRPr="004E5BF6" w:rsidRDefault="004E5BF6" w:rsidP="004E5BF6">
                <w:pPr>
                  <w:rPr>
                    <w:rFonts w:ascii="Calibri Light" w:hAnsi="Calibri Light" w:cs="Calibri Light"/>
                    <w:b/>
                    <w:sz w:val="28"/>
                    <w:szCs w:val="28"/>
                    <w:u w:val="single"/>
                  </w:rPr>
                </w:pPr>
              </w:p>
            </w:tc>
            <w:tc>
              <w:tcPr>
                <w:tcW w:w="1440" w:type="dxa"/>
                <w:tcBorders>
                  <w:top w:val="nil"/>
                  <w:left w:val="nil"/>
                  <w:bottom w:val="single" w:sz="4" w:space="0" w:color="auto"/>
                  <w:right w:val="single" w:sz="4" w:space="0" w:color="auto"/>
                </w:tcBorders>
              </w:tcPr>
              <w:p w14:paraId="4621831A" w14:textId="77777777" w:rsidR="004E5BF6" w:rsidRPr="004E5BF6" w:rsidRDefault="004E5BF6" w:rsidP="004E5BF6">
                <w:pPr>
                  <w:rPr>
                    <w:rFonts w:ascii="Calibri Light" w:hAnsi="Calibri Light" w:cs="Calibri Light"/>
                    <w:b/>
                    <w:sz w:val="28"/>
                    <w:szCs w:val="28"/>
                    <w:u w:val="single"/>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0EAF583C"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Artificial surfaces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7D8BCD3"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Cropland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0D0F259"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Grassland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AEE185F"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Tree-covered areas</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B29DEC3"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Shrub-covered areas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053A832" w14:textId="77777777" w:rsidR="004E5BF6" w:rsidRPr="004E5BF6" w:rsidRDefault="004E5BF6" w:rsidP="004E5BF6">
                <w:pPr>
                  <w:autoSpaceDE w:val="0"/>
                  <w:autoSpaceDN w:val="0"/>
                  <w:adjustRightInd w:val="0"/>
                  <w:jc w:val="center"/>
                  <w:rPr>
                    <w:rFonts w:ascii="Calibri Light" w:hAnsi="Calibri Light" w:cs="Calibri Light"/>
                    <w:b/>
                    <w:sz w:val="16"/>
                    <w:szCs w:val="16"/>
                  </w:rPr>
                </w:pPr>
                <w:r w:rsidRPr="004E5BF6">
                  <w:rPr>
                    <w:rFonts w:ascii="Calibri Light" w:hAnsi="Calibri Light" w:cs="Calibri Light"/>
                    <w:b/>
                    <w:sz w:val="16"/>
                    <w:szCs w:val="16"/>
                  </w:rPr>
                  <w:t>Herbaceous or shrub</w:t>
                </w:r>
              </w:p>
              <w:p w14:paraId="14685956" w14:textId="77777777" w:rsidR="004E5BF6" w:rsidRPr="004E5BF6" w:rsidRDefault="004E5BF6" w:rsidP="004E5BF6">
                <w:pPr>
                  <w:autoSpaceDE w:val="0"/>
                  <w:autoSpaceDN w:val="0"/>
                  <w:adjustRightInd w:val="0"/>
                  <w:jc w:val="center"/>
                  <w:rPr>
                    <w:rFonts w:ascii="Calibri Light" w:hAnsi="Calibri Light" w:cs="Calibri Light"/>
                    <w:b/>
                    <w:sz w:val="16"/>
                    <w:szCs w:val="16"/>
                  </w:rPr>
                </w:pPr>
                <w:r w:rsidRPr="004E5BF6">
                  <w:rPr>
                    <w:rFonts w:ascii="Calibri Light" w:hAnsi="Calibri Light" w:cs="Calibri Light"/>
                    <w:b/>
                    <w:sz w:val="16"/>
                    <w:szCs w:val="16"/>
                  </w:rPr>
                  <w:t>vegetation,</w:t>
                </w:r>
              </w:p>
              <w:p w14:paraId="0238038D" w14:textId="77777777" w:rsidR="004E5BF6" w:rsidRPr="004E5BF6" w:rsidRDefault="004E5BF6" w:rsidP="004E5BF6">
                <w:pPr>
                  <w:autoSpaceDE w:val="0"/>
                  <w:autoSpaceDN w:val="0"/>
                  <w:adjustRightInd w:val="0"/>
                  <w:jc w:val="center"/>
                  <w:rPr>
                    <w:rFonts w:ascii="Calibri Light" w:hAnsi="Calibri Light" w:cs="Calibri Light"/>
                    <w:b/>
                    <w:sz w:val="16"/>
                    <w:szCs w:val="16"/>
                  </w:rPr>
                </w:pPr>
                <w:r w:rsidRPr="004E5BF6">
                  <w:rPr>
                    <w:rFonts w:ascii="Calibri Light" w:hAnsi="Calibri Light" w:cs="Calibri Light"/>
                    <w:b/>
                    <w:sz w:val="16"/>
                    <w:szCs w:val="16"/>
                  </w:rPr>
                  <w:t>aquatic or</w:t>
                </w:r>
              </w:p>
              <w:p w14:paraId="39ECDA64" w14:textId="77777777" w:rsidR="004E5BF6" w:rsidRPr="004E5BF6" w:rsidRDefault="004E5BF6" w:rsidP="004E5BF6">
                <w:pPr>
                  <w:autoSpaceDE w:val="0"/>
                  <w:autoSpaceDN w:val="0"/>
                  <w:adjustRightInd w:val="0"/>
                  <w:jc w:val="center"/>
                  <w:rPr>
                    <w:rFonts w:ascii="Calibri Light" w:hAnsi="Calibri Light" w:cs="Calibri Light"/>
                    <w:b/>
                    <w:sz w:val="16"/>
                    <w:szCs w:val="16"/>
                  </w:rPr>
                </w:pPr>
                <w:r w:rsidRPr="004E5BF6">
                  <w:rPr>
                    <w:rFonts w:ascii="Calibri Light" w:hAnsi="Calibri Light" w:cs="Calibri Light"/>
                    <w:b/>
                    <w:sz w:val="16"/>
                    <w:szCs w:val="16"/>
                  </w:rPr>
                  <w:t>regularly</w:t>
                </w:r>
              </w:p>
              <w:p w14:paraId="4E830193"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flooded</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2E04DAE"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Sparsely natural vegetated areas</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210C78E"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Barren land</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8C46708"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Permanent snow &amp; glaciers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1B16C95" w14:textId="77777777" w:rsidR="004E5BF6" w:rsidRPr="004E5BF6" w:rsidRDefault="004E5BF6" w:rsidP="004E5BF6">
                <w:pPr>
                  <w:jc w:val="center"/>
                  <w:rPr>
                    <w:rFonts w:ascii="Calibri Light" w:hAnsi="Calibri Light" w:cs="Calibri Light"/>
                    <w:b/>
                    <w:sz w:val="16"/>
                    <w:szCs w:val="16"/>
                  </w:rPr>
                </w:pPr>
                <w:r w:rsidRPr="004E5BF6">
                  <w:rPr>
                    <w:rFonts w:ascii="Calibri Light" w:hAnsi="Calibri Light" w:cs="Calibri Light"/>
                    <w:b/>
                    <w:sz w:val="16"/>
                    <w:szCs w:val="16"/>
                  </w:rPr>
                  <w:t>Water bodies</w:t>
                </w:r>
              </w:p>
            </w:tc>
          </w:tr>
          <w:tr w:rsidR="004E5BF6" w:rsidRPr="004E5BF6" w14:paraId="50AC0448" w14:textId="77777777" w:rsidTr="004E5BF6">
            <w:trPr>
              <w:trHeight w:val="593"/>
            </w:trPr>
            <w:tc>
              <w:tcPr>
                <w:tcW w:w="450"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5318F321" w14:textId="77777777" w:rsidR="004E5BF6" w:rsidRPr="004E5BF6" w:rsidRDefault="004E5BF6" w:rsidP="004E5BF6">
                <w:pPr>
                  <w:ind w:left="113" w:right="113"/>
                  <w:jc w:val="center"/>
                  <w:rPr>
                    <w:rFonts w:ascii="Calibri Light" w:hAnsi="Calibri Light" w:cs="Calibri Light"/>
                    <w:b/>
                  </w:rPr>
                </w:pPr>
                <w:r w:rsidRPr="004E5BF6">
                  <w:rPr>
                    <w:rFonts w:ascii="Calibri Light" w:hAnsi="Calibri Light" w:cs="Calibri Light"/>
                    <w:b/>
                  </w:rPr>
                  <w:t>ORIGINAL CLASS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F341C1D"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Artificial Surfaces</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0D2790A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41E523EB"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Agricultural Expansion</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0E9FD2A1"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establishment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24601F51" w14:textId="77777777" w:rsidR="004E5BF6" w:rsidRPr="004E5BF6" w:rsidRDefault="004E5BF6" w:rsidP="004E5BF6">
                <w:pPr>
                  <w:jc w:val="center"/>
                  <w:rPr>
                    <w:rFonts w:ascii="Calibri Light" w:hAnsi="Calibri Light" w:cs="Times New Roman"/>
                    <w:sz w:val="16"/>
                    <w:szCs w:val="16"/>
                  </w:rPr>
                </w:pPr>
                <w:r w:rsidRPr="004E5BF6">
                  <w:rPr>
                    <w:rFonts w:ascii="Calibri Light" w:hAnsi="Calibri Light" w:cs="Times New Roman"/>
                    <w:sz w:val="16"/>
                    <w:szCs w:val="16"/>
                  </w:rPr>
                  <w:t>Forest expansion</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169E1C14" w14:textId="77777777" w:rsidR="004E5BF6" w:rsidRPr="004E5BF6" w:rsidRDefault="004E5BF6" w:rsidP="004E5BF6">
                <w:pPr>
                  <w:jc w:val="center"/>
                  <w:rPr>
                    <w:rFonts w:ascii="Calibri Light" w:hAnsi="Calibri Light" w:cs="Calibri Light"/>
                    <w:b/>
                    <w:sz w:val="16"/>
                    <w:szCs w:val="16"/>
                    <w:u w:val="single"/>
                  </w:rPr>
                </w:pPr>
                <w:r w:rsidRPr="004E5BF6">
                  <w:rPr>
                    <w:rFonts w:ascii="Calibri Light" w:hAnsi="Calibri Light" w:cs="Calibri Light"/>
                    <w:sz w:val="16"/>
                    <w:szCs w:val="16"/>
                  </w:rPr>
                  <w:t>Vegetation establishment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4AA7E0D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establishment</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25696D13"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Withdrawal of settlements</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88A4AFE" w14:textId="77777777" w:rsidR="004E5BF6" w:rsidRPr="004E5BF6" w:rsidRDefault="004E5BF6" w:rsidP="004E5BF6">
                <w:pPr>
                  <w:jc w:val="center"/>
                  <w:rPr>
                    <w:rFonts w:ascii="Calibri Light" w:hAnsi="Calibri Light" w:cs="Calibri Light"/>
                    <w:b/>
                    <w:sz w:val="16"/>
                    <w:szCs w:val="16"/>
                    <w:u w:val="single"/>
                  </w:rPr>
                </w:pPr>
                <w:r w:rsidRPr="004E5BF6">
                  <w:rPr>
                    <w:rFonts w:ascii="Calibri Light" w:hAnsi="Calibri Light" w:cs="Calibri Light"/>
                    <w:sz w:val="16"/>
                    <w:szCs w:val="16"/>
                  </w:rPr>
                  <w:t>Withdrawal of settlements</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4C6BCAFD" w14:textId="77777777" w:rsidR="004E5BF6" w:rsidRPr="004E5BF6" w:rsidRDefault="004E5BF6" w:rsidP="004E5BF6">
                <w:pPr>
                  <w:jc w:val="center"/>
                  <w:rPr>
                    <w:rFonts w:ascii="Calibri Light" w:hAnsi="Calibri Light" w:cs="Calibri Light"/>
                    <w:b/>
                    <w:sz w:val="16"/>
                    <w:szCs w:val="16"/>
                    <w:u w:val="single"/>
                  </w:rPr>
                </w:pPr>
                <w:r w:rsidRPr="004E5BF6">
                  <w:rPr>
                    <w:rFonts w:ascii="Calibri Light" w:hAnsi="Calibri Light" w:cs="Calibri Light"/>
                    <w:sz w:val="16"/>
                    <w:szCs w:val="16"/>
                  </w:rPr>
                  <w:t>Withdrawal of settlements</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E572825" w14:textId="77777777" w:rsidR="004E5BF6" w:rsidRPr="004E5BF6" w:rsidRDefault="004E5BF6" w:rsidP="004E5BF6">
                <w:pPr>
                  <w:jc w:val="center"/>
                  <w:rPr>
                    <w:rFonts w:ascii="Calibri Light" w:hAnsi="Calibri Light" w:cs="Calibri Light"/>
                    <w:b/>
                    <w:sz w:val="16"/>
                    <w:szCs w:val="16"/>
                    <w:u w:val="single"/>
                  </w:rPr>
                </w:pPr>
                <w:r w:rsidRPr="004E5BF6">
                  <w:rPr>
                    <w:rFonts w:ascii="Calibri Light" w:hAnsi="Calibri Light" w:cs="Calibri Light"/>
                    <w:sz w:val="16"/>
                    <w:szCs w:val="16"/>
                  </w:rPr>
                  <w:t>Withdrawal of settlements</w:t>
                </w:r>
              </w:p>
            </w:tc>
          </w:tr>
          <w:tr w:rsidR="004E5BF6" w:rsidRPr="004E5BF6" w14:paraId="23DB190B" w14:textId="77777777" w:rsidTr="004E5BF6">
            <w:trPr>
              <w:trHeight w:val="620"/>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722D2D1F"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4A28FED7"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Cropland</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1C54C42"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Urban expansion</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290B44C3"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059BCF1"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Withdrawal of agriculture</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7DB223B1"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Forest expansion</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6103BB5"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establishment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27CF52B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 xml:space="preserve">Wetland establishment </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7A506A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70FD1C24"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92D8B5D"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2348330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r>
          <w:tr w:rsidR="004E5BF6" w:rsidRPr="004E5BF6" w14:paraId="20E3ACFB" w14:textId="77777777" w:rsidTr="004E5BF6">
            <w:trPr>
              <w:trHeight w:val="539"/>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275C91FD"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25596C55"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Grassland</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729DAF0D"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Urban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6516C14"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Agricultural Expansion</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1CABF38A"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0BAAB86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Forest expansion</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2F71BF0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Woody encroachment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9BB624A"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establishment</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4B6816E"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8903CEA"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607DC2A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53A2A012"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r>
          <w:tr w:rsidR="004E5BF6" w:rsidRPr="004E5BF6" w14:paraId="68F6733D" w14:textId="77777777" w:rsidTr="004E5BF6">
            <w:trPr>
              <w:trHeight w:val="620"/>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596FD5E0"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326CD129"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Tree-covered areas</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3A0E31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Deforestation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E35CBD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Deforestation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0D9DE0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Deforestation</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1128AEF5"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0CCA7B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64C33D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46C7BD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Deforestation</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0D7D9AB"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Deforestation</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3C66AE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7E0034C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r>
          <w:tr w:rsidR="004E5BF6" w:rsidRPr="004E5BF6" w14:paraId="243006F5" w14:textId="77777777" w:rsidTr="004E5BF6">
            <w:trPr>
              <w:trHeight w:val="701"/>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51AFD230"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11F4BE9"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Shrub-covered areas</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8B006A2"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Urban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3FB3849"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Agricultural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37AB34A4"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E0F558A"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Forest expansion</w:t>
                </w:r>
              </w:p>
            </w:tc>
            <w:tc>
              <w:tcPr>
                <w:tcW w:w="126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6D51606D"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5ED38D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8ABA5D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C061959"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210748EB"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2F853431"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r>
          <w:tr w:rsidR="004E5BF6" w:rsidRPr="004E5BF6" w14:paraId="3B432EB0" w14:textId="77777777" w:rsidTr="004E5BF6">
            <w:tc>
              <w:tcPr>
                <w:tcW w:w="450" w:type="dxa"/>
                <w:vMerge/>
                <w:tcBorders>
                  <w:top w:val="single" w:sz="4" w:space="0" w:color="auto"/>
                  <w:left w:val="single" w:sz="4" w:space="0" w:color="auto"/>
                  <w:bottom w:val="single" w:sz="4" w:space="0" w:color="auto"/>
                  <w:right w:val="single" w:sz="4" w:space="0" w:color="auto"/>
                </w:tcBorders>
                <w:vAlign w:val="center"/>
                <w:hideMark/>
              </w:tcPr>
              <w:p w14:paraId="61879F99"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2B028C12" w14:textId="77777777" w:rsidR="004E5BF6" w:rsidRPr="004E5BF6" w:rsidRDefault="004E5BF6" w:rsidP="004E5BF6">
                <w:pPr>
                  <w:autoSpaceDE w:val="0"/>
                  <w:autoSpaceDN w:val="0"/>
                  <w:adjustRightInd w:val="0"/>
                  <w:rPr>
                    <w:rFonts w:ascii="Calibri Light" w:hAnsi="Calibri Light" w:cs="Calibri Light"/>
                    <w:b/>
                    <w:sz w:val="16"/>
                    <w:szCs w:val="16"/>
                  </w:rPr>
                </w:pPr>
                <w:r w:rsidRPr="004E5BF6">
                  <w:rPr>
                    <w:rFonts w:ascii="Calibri Light" w:hAnsi="Calibri Light" w:cs="Calibri Light"/>
                    <w:b/>
                    <w:sz w:val="16"/>
                    <w:szCs w:val="16"/>
                  </w:rPr>
                  <w:t>Herbaceous or shrub</w:t>
                </w:r>
              </w:p>
              <w:p w14:paraId="1BC46010" w14:textId="77777777" w:rsidR="004E5BF6" w:rsidRPr="004E5BF6" w:rsidRDefault="004E5BF6" w:rsidP="004E5BF6">
                <w:pPr>
                  <w:autoSpaceDE w:val="0"/>
                  <w:autoSpaceDN w:val="0"/>
                  <w:adjustRightInd w:val="0"/>
                  <w:rPr>
                    <w:rFonts w:ascii="Calibri Light" w:hAnsi="Calibri Light" w:cs="Calibri Light"/>
                    <w:b/>
                    <w:sz w:val="16"/>
                    <w:szCs w:val="16"/>
                  </w:rPr>
                </w:pPr>
                <w:r w:rsidRPr="004E5BF6">
                  <w:rPr>
                    <w:rFonts w:ascii="Calibri Light" w:hAnsi="Calibri Light" w:cs="Calibri Light"/>
                    <w:b/>
                    <w:sz w:val="16"/>
                    <w:szCs w:val="16"/>
                  </w:rPr>
                  <w:t>vegetation,</w:t>
                </w:r>
              </w:p>
              <w:p w14:paraId="57A61144" w14:textId="77777777" w:rsidR="004E5BF6" w:rsidRPr="004E5BF6" w:rsidRDefault="004E5BF6" w:rsidP="004E5BF6">
                <w:pPr>
                  <w:autoSpaceDE w:val="0"/>
                  <w:autoSpaceDN w:val="0"/>
                  <w:adjustRightInd w:val="0"/>
                  <w:rPr>
                    <w:rFonts w:ascii="Calibri Light" w:hAnsi="Calibri Light" w:cs="Calibri Light"/>
                    <w:b/>
                    <w:sz w:val="16"/>
                    <w:szCs w:val="16"/>
                  </w:rPr>
                </w:pPr>
                <w:r w:rsidRPr="004E5BF6">
                  <w:rPr>
                    <w:rFonts w:ascii="Calibri Light" w:hAnsi="Calibri Light" w:cs="Calibri Light"/>
                    <w:b/>
                    <w:sz w:val="16"/>
                    <w:szCs w:val="16"/>
                  </w:rPr>
                  <w:t>aquatic or</w:t>
                </w:r>
              </w:p>
              <w:p w14:paraId="18F1342C" w14:textId="77777777" w:rsidR="004E5BF6" w:rsidRPr="004E5BF6" w:rsidRDefault="004E5BF6" w:rsidP="004E5BF6">
                <w:pPr>
                  <w:autoSpaceDE w:val="0"/>
                  <w:autoSpaceDN w:val="0"/>
                  <w:adjustRightInd w:val="0"/>
                  <w:rPr>
                    <w:rFonts w:ascii="Calibri Light" w:hAnsi="Calibri Light" w:cs="Calibri Light"/>
                    <w:b/>
                    <w:sz w:val="16"/>
                    <w:szCs w:val="16"/>
                  </w:rPr>
                </w:pPr>
                <w:r w:rsidRPr="004E5BF6">
                  <w:rPr>
                    <w:rFonts w:ascii="Calibri Light" w:hAnsi="Calibri Light" w:cs="Calibri Light"/>
                    <w:b/>
                    <w:sz w:val="16"/>
                    <w:szCs w:val="16"/>
                  </w:rPr>
                  <w:t>regularly</w:t>
                </w:r>
              </w:p>
              <w:p w14:paraId="786B46FC"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flooded</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68F2AEE"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drainage</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7D6ED03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drainage</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F35B893"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drainage</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AF6B20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drainage</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5195D9D"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Woody encroachment</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09290F34"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738F61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drainage</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F458CAD"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drainage</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1A3284CB"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1F1D1F36"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r>
          <w:tr w:rsidR="004E5BF6" w:rsidRPr="004E5BF6" w14:paraId="4ADC9ED6" w14:textId="77777777" w:rsidTr="004E5BF6">
            <w:trPr>
              <w:trHeight w:val="557"/>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1B62E823"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3C704428"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Sparsely natural vegetated areas</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39F38A46"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Urban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F0C6DCE"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Agricultural expansion</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2ADD518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establishment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078D6BC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Forest expansion</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76C92E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establishment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7B4D5B92"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establishment</w:t>
                </w:r>
              </w:p>
            </w:tc>
            <w:tc>
              <w:tcPr>
                <w:tcW w:w="126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61BEE932"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7405186D"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loss</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0286F1B5"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0DF353A5"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Inundation</w:t>
                </w:r>
              </w:p>
            </w:tc>
          </w:tr>
          <w:tr w:rsidR="004E5BF6" w:rsidRPr="004E5BF6" w14:paraId="66CA2C10" w14:textId="77777777" w:rsidTr="004E5BF6">
            <w:trPr>
              <w:trHeight w:val="566"/>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0CC64393"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2D1B0AFC"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Barren land</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181425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Urban expansion</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6D9A59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Agricultural expansion</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76B28A5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establishment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3A7213E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Forest expansion</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45727F2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establishment</w:t>
                </w:r>
              </w:p>
            </w:tc>
            <w:tc>
              <w:tcPr>
                <w:tcW w:w="117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5483D247"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Wetland establishment</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6026DDF5"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Vegetation establishment</w:t>
                </w:r>
              </w:p>
            </w:tc>
            <w:tc>
              <w:tcPr>
                <w:tcW w:w="126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4E1DFCF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6F7F287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7C410E2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 xml:space="preserve">Inundation </w:t>
                </w:r>
              </w:p>
            </w:tc>
          </w:tr>
          <w:tr w:rsidR="004E5BF6" w:rsidRPr="004E5BF6" w14:paraId="09AA685E" w14:textId="77777777" w:rsidTr="004E5BF6">
            <w:trPr>
              <w:trHeight w:val="593"/>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75095FEA"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3B188C0"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Permanent snow &amp; glaciers</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CD7E13A"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Urban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0E83FB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Agricultural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38E2356A"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retreat</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927F1BB"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retreat</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C71850C"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retreat</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A0A0FB3"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melting</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F09270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retreat</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D2C4CE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retreat</w:t>
                </w:r>
              </w:p>
            </w:tc>
            <w:tc>
              <w:tcPr>
                <w:tcW w:w="126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178F2DA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AD85E66"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melting</w:t>
                </w:r>
              </w:p>
            </w:tc>
          </w:tr>
          <w:tr w:rsidR="004E5BF6" w:rsidRPr="004E5BF6" w14:paraId="287F560C" w14:textId="77777777" w:rsidTr="004E5BF6">
            <w:trPr>
              <w:trHeight w:val="683"/>
            </w:trPr>
            <w:tc>
              <w:tcPr>
                <w:tcW w:w="450" w:type="dxa"/>
                <w:vMerge/>
                <w:tcBorders>
                  <w:top w:val="single" w:sz="4" w:space="0" w:color="auto"/>
                  <w:left w:val="single" w:sz="4" w:space="0" w:color="auto"/>
                  <w:bottom w:val="single" w:sz="4" w:space="0" w:color="auto"/>
                  <w:right w:val="single" w:sz="4" w:space="0" w:color="auto"/>
                </w:tcBorders>
                <w:vAlign w:val="center"/>
                <w:hideMark/>
              </w:tcPr>
              <w:p w14:paraId="6972949E" w14:textId="77777777" w:rsidR="004E5BF6" w:rsidRPr="004E5BF6" w:rsidRDefault="004E5BF6" w:rsidP="004E5BF6">
                <w:pPr>
                  <w:rPr>
                    <w:rFonts w:ascii="Calibri Light" w:hAnsi="Calibri Light" w:cs="Calibri Light"/>
                    <w: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BBC739F" w14:textId="77777777" w:rsidR="004E5BF6" w:rsidRPr="004E5BF6" w:rsidRDefault="004E5BF6" w:rsidP="004E5BF6">
                <w:pPr>
                  <w:rPr>
                    <w:rFonts w:ascii="Calibri Light" w:hAnsi="Calibri Light" w:cs="Calibri Light"/>
                    <w:b/>
                    <w:sz w:val="16"/>
                    <w:szCs w:val="16"/>
                  </w:rPr>
                </w:pPr>
                <w:r w:rsidRPr="004E5BF6">
                  <w:rPr>
                    <w:rFonts w:ascii="Calibri Light" w:hAnsi="Calibri Light" w:cs="Calibri Light"/>
                    <w:b/>
                    <w:sz w:val="16"/>
                    <w:szCs w:val="16"/>
                  </w:rPr>
                  <w:t>Water bodies</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37AC8F2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Urban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71FB9BE8"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Agricultural expansion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C9918F4"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Lake dessication</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785F2446"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Lake dessication</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74FF974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 xml:space="preserve">Lake dessication </w:t>
                </w:r>
              </w:p>
            </w:tc>
            <w:tc>
              <w:tcPr>
                <w:tcW w:w="117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C5A5BFA"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 xml:space="preserve">Lake dessication </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18744B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Lake dessication</w:t>
                </w:r>
              </w:p>
            </w:tc>
            <w:tc>
              <w:tcPr>
                <w:tcW w:w="12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3D62D6A0"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Lake dessication</w:t>
                </w:r>
              </w:p>
            </w:tc>
            <w:tc>
              <w:tcPr>
                <w:tcW w:w="1260"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13D084EE"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Glacier advance</w:t>
                </w:r>
              </w:p>
            </w:tc>
            <w:tc>
              <w:tcPr>
                <w:tcW w:w="1170" w:type="dxa"/>
                <w:tcBorders>
                  <w:top w:val="single" w:sz="4" w:space="0" w:color="auto"/>
                  <w:left w:val="single" w:sz="4" w:space="0" w:color="auto"/>
                  <w:bottom w:val="single" w:sz="4" w:space="0" w:color="auto"/>
                  <w:right w:val="single" w:sz="4" w:space="0" w:color="auto"/>
                </w:tcBorders>
                <w:shd w:val="clear" w:color="auto" w:fill="FFE599"/>
                <w:vAlign w:val="center"/>
                <w:hideMark/>
              </w:tcPr>
              <w:p w14:paraId="4188645F" w14:textId="77777777" w:rsidR="004E5BF6" w:rsidRPr="004E5BF6" w:rsidRDefault="004E5BF6" w:rsidP="004E5BF6">
                <w:pPr>
                  <w:jc w:val="center"/>
                  <w:rPr>
                    <w:rFonts w:ascii="Calibri Light" w:hAnsi="Calibri Light" w:cs="Calibri Light"/>
                    <w:sz w:val="16"/>
                    <w:szCs w:val="16"/>
                  </w:rPr>
                </w:pPr>
                <w:r w:rsidRPr="004E5BF6">
                  <w:rPr>
                    <w:rFonts w:ascii="Calibri Light" w:hAnsi="Calibri Light" w:cs="Calibri Light"/>
                    <w:sz w:val="16"/>
                    <w:szCs w:val="16"/>
                  </w:rPr>
                  <w:t>Stable</w:t>
                </w:r>
              </w:p>
            </w:tc>
          </w:tr>
        </w:tbl>
        <w:p w14:paraId="384B0992" w14:textId="44A1C91D" w:rsidR="00186795" w:rsidRPr="00F72C69" w:rsidRDefault="00000000" w:rsidP="00F72C69">
          <w:pPr>
            <w:rPr>
              <w:color w:val="4A4A4A"/>
            </w:rPr>
          </w:pPr>
        </w:p>
      </w:sdtContent>
    </w:sdt>
    <w:sectPr w:rsidR="00186795" w:rsidRPr="00F72C69" w:rsidSect="004E5BF6">
      <w:pgSz w:w="16838" w:h="11906" w:orient="landscape"/>
      <w:pgMar w:top="5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CAD7" w14:textId="77777777" w:rsidR="004B45BD" w:rsidRDefault="004B45BD" w:rsidP="00573C0B">
      <w:pPr>
        <w:spacing w:after="0" w:line="240" w:lineRule="auto"/>
      </w:pPr>
      <w:r>
        <w:separator/>
      </w:r>
    </w:p>
  </w:endnote>
  <w:endnote w:type="continuationSeparator" w:id="0">
    <w:p w14:paraId="3D8438C8" w14:textId="77777777" w:rsidR="004B45BD" w:rsidRDefault="004B45BD" w:rsidP="00573C0B">
      <w:pPr>
        <w:spacing w:after="0" w:line="240" w:lineRule="auto"/>
      </w:pPr>
      <w:r>
        <w:continuationSeparator/>
      </w:r>
    </w:p>
  </w:endnote>
  <w:endnote w:type="continuationNotice" w:id="1">
    <w:p w14:paraId="03984321" w14:textId="77777777" w:rsidR="004B45BD" w:rsidRDefault="004B45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D20DFA" w14:paraId="4D451DEC" w14:textId="77777777" w:rsidTr="10F794DE">
      <w:tc>
        <w:tcPr>
          <w:tcW w:w="3005" w:type="dxa"/>
        </w:tcPr>
        <w:p w14:paraId="2F2312F2" w14:textId="3DEF5FBF" w:rsidR="00D20DFA" w:rsidRDefault="00D20DFA" w:rsidP="10F794DE">
          <w:pPr>
            <w:pStyle w:val="Header"/>
            <w:ind w:left="-115"/>
          </w:pPr>
        </w:p>
      </w:tc>
      <w:tc>
        <w:tcPr>
          <w:tcW w:w="3005" w:type="dxa"/>
        </w:tcPr>
        <w:p w14:paraId="3D89BDF0" w14:textId="67B5A644" w:rsidR="00D20DFA" w:rsidRDefault="00D20DFA" w:rsidP="10F794DE">
          <w:pPr>
            <w:pStyle w:val="Header"/>
            <w:jc w:val="center"/>
          </w:pPr>
        </w:p>
      </w:tc>
      <w:tc>
        <w:tcPr>
          <w:tcW w:w="3005" w:type="dxa"/>
        </w:tcPr>
        <w:p w14:paraId="04625602" w14:textId="3A78C1BB" w:rsidR="00D20DFA" w:rsidRDefault="00D20DFA" w:rsidP="10F794DE">
          <w:pPr>
            <w:pStyle w:val="Header"/>
            <w:ind w:right="-115"/>
            <w:jc w:val="right"/>
          </w:pPr>
        </w:p>
      </w:tc>
    </w:tr>
  </w:tbl>
  <w:p w14:paraId="4621F318" w14:textId="3BBFD415" w:rsidR="00D20DFA" w:rsidRDefault="00D20DFA" w:rsidP="10F79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EC1A" w14:textId="77777777" w:rsidR="004B45BD" w:rsidRDefault="004B45BD" w:rsidP="00573C0B">
      <w:pPr>
        <w:spacing w:after="0" w:line="240" w:lineRule="auto"/>
      </w:pPr>
      <w:r>
        <w:separator/>
      </w:r>
    </w:p>
  </w:footnote>
  <w:footnote w:type="continuationSeparator" w:id="0">
    <w:p w14:paraId="35467028" w14:textId="77777777" w:rsidR="004B45BD" w:rsidRDefault="004B45BD" w:rsidP="00573C0B">
      <w:pPr>
        <w:spacing w:after="0" w:line="240" w:lineRule="auto"/>
      </w:pPr>
      <w:r>
        <w:continuationSeparator/>
      </w:r>
    </w:p>
  </w:footnote>
  <w:footnote w:type="continuationNotice" w:id="1">
    <w:p w14:paraId="22BF2DA6" w14:textId="77777777" w:rsidR="004B45BD" w:rsidRDefault="004B45BD">
      <w:pPr>
        <w:spacing w:after="0" w:line="240" w:lineRule="auto"/>
      </w:pPr>
    </w:p>
  </w:footnote>
  <w:footnote w:id="2">
    <w:p w14:paraId="35303587" w14:textId="6153BBCB" w:rsidR="00D20DFA" w:rsidRPr="00D907AA" w:rsidRDefault="00D20DFA" w:rsidP="0058434F">
      <w:pPr>
        <w:pStyle w:val="FootnoteText"/>
        <w:jc w:val="both"/>
      </w:pPr>
      <w:r w:rsidRPr="007A613E">
        <w:rPr>
          <w:rStyle w:val="FootnoteReference"/>
          <w:color w:val="595959" w:themeColor="text1" w:themeTint="A6"/>
        </w:rPr>
        <w:footnoteRef/>
      </w:r>
      <w:r w:rsidRPr="007A613E">
        <w:rPr>
          <w:color w:val="595959" w:themeColor="text1" w:themeTint="A6"/>
        </w:rPr>
        <w:t xml:space="preserve"> IPBES defines land degradation as “the many human-caused processes that drive the decline or loss in biodiversity, ecosystem functions or ecosystem services in any terrestrial and associated aquatic ecosystems” (IPBES, 2018)</w:t>
      </w:r>
    </w:p>
  </w:footnote>
  <w:footnote w:id="3">
    <w:p w14:paraId="0C5E4E21" w14:textId="50552681" w:rsidR="00D20DFA" w:rsidRPr="007C4627" w:rsidRDefault="00D20DFA">
      <w:pPr>
        <w:pStyle w:val="FootnoteText"/>
        <w:rPr>
          <w:lang w:val="en-GB"/>
        </w:rPr>
      </w:pPr>
      <w:r w:rsidRPr="00220790">
        <w:rPr>
          <w:rStyle w:val="FootnoteReference"/>
          <w:color w:val="595959" w:themeColor="text1" w:themeTint="A6"/>
        </w:rPr>
        <w:footnoteRef/>
      </w:r>
      <w:r w:rsidRPr="00220790">
        <w:rPr>
          <w:color w:val="595959" w:themeColor="text1" w:themeTint="A6"/>
        </w:rPr>
        <w:t xml:space="preserve"> https://ilias.unibe.ch/goto.php?target=file_2171234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5260EB0" w:rsidR="00D20DFA" w:rsidRPr="00757E8A" w:rsidRDefault="00D20DF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753171">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1B9"/>
    <w:multiLevelType w:val="multilevel"/>
    <w:tmpl w:val="4108223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57C15BF"/>
    <w:multiLevelType w:val="hybridMultilevel"/>
    <w:tmpl w:val="04F69A42"/>
    <w:lvl w:ilvl="0" w:tplc="2406541C">
      <w:start w:val="1"/>
      <w:numFmt w:val="upperRoman"/>
      <w:lvlText w:val="%1."/>
      <w:lvlJc w:val="right"/>
      <w:pPr>
        <w:tabs>
          <w:tab w:val="num" w:pos="720"/>
        </w:tabs>
        <w:ind w:left="720" w:hanging="360"/>
      </w:pPr>
    </w:lvl>
    <w:lvl w:ilvl="1" w:tplc="3D88D354" w:tentative="1">
      <w:start w:val="1"/>
      <w:numFmt w:val="upperRoman"/>
      <w:lvlText w:val="%2."/>
      <w:lvlJc w:val="right"/>
      <w:pPr>
        <w:tabs>
          <w:tab w:val="num" w:pos="1440"/>
        </w:tabs>
        <w:ind w:left="1440" w:hanging="360"/>
      </w:pPr>
    </w:lvl>
    <w:lvl w:ilvl="2" w:tplc="C8EEF3A6" w:tentative="1">
      <w:start w:val="1"/>
      <w:numFmt w:val="upperRoman"/>
      <w:lvlText w:val="%3."/>
      <w:lvlJc w:val="right"/>
      <w:pPr>
        <w:tabs>
          <w:tab w:val="num" w:pos="2160"/>
        </w:tabs>
        <w:ind w:left="2160" w:hanging="360"/>
      </w:pPr>
    </w:lvl>
    <w:lvl w:ilvl="3" w:tplc="B0A4FE88" w:tentative="1">
      <w:start w:val="1"/>
      <w:numFmt w:val="upperRoman"/>
      <w:lvlText w:val="%4."/>
      <w:lvlJc w:val="right"/>
      <w:pPr>
        <w:tabs>
          <w:tab w:val="num" w:pos="2880"/>
        </w:tabs>
        <w:ind w:left="2880" w:hanging="360"/>
      </w:pPr>
    </w:lvl>
    <w:lvl w:ilvl="4" w:tplc="685E7764" w:tentative="1">
      <w:start w:val="1"/>
      <w:numFmt w:val="upperRoman"/>
      <w:lvlText w:val="%5."/>
      <w:lvlJc w:val="right"/>
      <w:pPr>
        <w:tabs>
          <w:tab w:val="num" w:pos="3600"/>
        </w:tabs>
        <w:ind w:left="3600" w:hanging="360"/>
      </w:pPr>
    </w:lvl>
    <w:lvl w:ilvl="5" w:tplc="C6FC4510" w:tentative="1">
      <w:start w:val="1"/>
      <w:numFmt w:val="upperRoman"/>
      <w:lvlText w:val="%6."/>
      <w:lvlJc w:val="right"/>
      <w:pPr>
        <w:tabs>
          <w:tab w:val="num" w:pos="4320"/>
        </w:tabs>
        <w:ind w:left="4320" w:hanging="360"/>
      </w:pPr>
    </w:lvl>
    <w:lvl w:ilvl="6" w:tplc="D744DCA2" w:tentative="1">
      <w:start w:val="1"/>
      <w:numFmt w:val="upperRoman"/>
      <w:lvlText w:val="%7."/>
      <w:lvlJc w:val="right"/>
      <w:pPr>
        <w:tabs>
          <w:tab w:val="num" w:pos="5040"/>
        </w:tabs>
        <w:ind w:left="5040" w:hanging="360"/>
      </w:pPr>
    </w:lvl>
    <w:lvl w:ilvl="7" w:tplc="F4E0BB90" w:tentative="1">
      <w:start w:val="1"/>
      <w:numFmt w:val="upperRoman"/>
      <w:lvlText w:val="%8."/>
      <w:lvlJc w:val="right"/>
      <w:pPr>
        <w:tabs>
          <w:tab w:val="num" w:pos="5760"/>
        </w:tabs>
        <w:ind w:left="5760" w:hanging="360"/>
      </w:pPr>
    </w:lvl>
    <w:lvl w:ilvl="8" w:tplc="F1D4E190" w:tentative="1">
      <w:start w:val="1"/>
      <w:numFmt w:val="upperRoman"/>
      <w:lvlText w:val="%9."/>
      <w:lvlJc w:val="right"/>
      <w:pPr>
        <w:tabs>
          <w:tab w:val="num" w:pos="6480"/>
        </w:tabs>
        <w:ind w:left="6480" w:hanging="360"/>
      </w:pPr>
    </w:lvl>
  </w:abstractNum>
  <w:abstractNum w:abstractNumId="2" w15:restartNumberingAfterBreak="0">
    <w:nsid w:val="0981455C"/>
    <w:multiLevelType w:val="hybridMultilevel"/>
    <w:tmpl w:val="2F9853B2"/>
    <w:lvl w:ilvl="0" w:tplc="9490D47E">
      <w:start w:val="5"/>
      <w:numFmt w:val="upperRoman"/>
      <w:lvlText w:val="%1."/>
      <w:lvlJc w:val="right"/>
      <w:pPr>
        <w:tabs>
          <w:tab w:val="num" w:pos="720"/>
        </w:tabs>
        <w:ind w:left="720" w:hanging="360"/>
      </w:pPr>
    </w:lvl>
    <w:lvl w:ilvl="1" w:tplc="907439BE" w:tentative="1">
      <w:start w:val="1"/>
      <w:numFmt w:val="upperRoman"/>
      <w:lvlText w:val="%2."/>
      <w:lvlJc w:val="right"/>
      <w:pPr>
        <w:tabs>
          <w:tab w:val="num" w:pos="1440"/>
        </w:tabs>
        <w:ind w:left="1440" w:hanging="360"/>
      </w:pPr>
    </w:lvl>
    <w:lvl w:ilvl="2" w:tplc="7F2677FA" w:tentative="1">
      <w:start w:val="1"/>
      <w:numFmt w:val="upperRoman"/>
      <w:lvlText w:val="%3."/>
      <w:lvlJc w:val="right"/>
      <w:pPr>
        <w:tabs>
          <w:tab w:val="num" w:pos="2160"/>
        </w:tabs>
        <w:ind w:left="2160" w:hanging="360"/>
      </w:pPr>
    </w:lvl>
    <w:lvl w:ilvl="3" w:tplc="1360BAA2" w:tentative="1">
      <w:start w:val="1"/>
      <w:numFmt w:val="upperRoman"/>
      <w:lvlText w:val="%4."/>
      <w:lvlJc w:val="right"/>
      <w:pPr>
        <w:tabs>
          <w:tab w:val="num" w:pos="2880"/>
        </w:tabs>
        <w:ind w:left="2880" w:hanging="360"/>
      </w:pPr>
    </w:lvl>
    <w:lvl w:ilvl="4" w:tplc="9002410E" w:tentative="1">
      <w:start w:val="1"/>
      <w:numFmt w:val="upperRoman"/>
      <w:lvlText w:val="%5."/>
      <w:lvlJc w:val="right"/>
      <w:pPr>
        <w:tabs>
          <w:tab w:val="num" w:pos="3600"/>
        </w:tabs>
        <w:ind w:left="3600" w:hanging="360"/>
      </w:pPr>
    </w:lvl>
    <w:lvl w:ilvl="5" w:tplc="15BC4564" w:tentative="1">
      <w:start w:val="1"/>
      <w:numFmt w:val="upperRoman"/>
      <w:lvlText w:val="%6."/>
      <w:lvlJc w:val="right"/>
      <w:pPr>
        <w:tabs>
          <w:tab w:val="num" w:pos="4320"/>
        </w:tabs>
        <w:ind w:left="4320" w:hanging="360"/>
      </w:pPr>
    </w:lvl>
    <w:lvl w:ilvl="6" w:tplc="9C6EB49E" w:tentative="1">
      <w:start w:val="1"/>
      <w:numFmt w:val="upperRoman"/>
      <w:lvlText w:val="%7."/>
      <w:lvlJc w:val="right"/>
      <w:pPr>
        <w:tabs>
          <w:tab w:val="num" w:pos="5040"/>
        </w:tabs>
        <w:ind w:left="5040" w:hanging="360"/>
      </w:pPr>
    </w:lvl>
    <w:lvl w:ilvl="7" w:tplc="8132CBC8" w:tentative="1">
      <w:start w:val="1"/>
      <w:numFmt w:val="upperRoman"/>
      <w:lvlText w:val="%8."/>
      <w:lvlJc w:val="right"/>
      <w:pPr>
        <w:tabs>
          <w:tab w:val="num" w:pos="5760"/>
        </w:tabs>
        <w:ind w:left="5760" w:hanging="360"/>
      </w:pPr>
    </w:lvl>
    <w:lvl w:ilvl="8" w:tplc="49849D6C" w:tentative="1">
      <w:start w:val="1"/>
      <w:numFmt w:val="upperRoman"/>
      <w:lvlText w:val="%9."/>
      <w:lvlJc w:val="right"/>
      <w:pPr>
        <w:tabs>
          <w:tab w:val="num" w:pos="6480"/>
        </w:tabs>
        <w:ind w:left="6480" w:hanging="36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137B3"/>
    <w:multiLevelType w:val="hybridMultilevel"/>
    <w:tmpl w:val="394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332B2"/>
    <w:multiLevelType w:val="hybridMultilevel"/>
    <w:tmpl w:val="476C7D8E"/>
    <w:lvl w:ilvl="0" w:tplc="E6E20BD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56431F"/>
    <w:multiLevelType w:val="hybridMultilevel"/>
    <w:tmpl w:val="B1C2E458"/>
    <w:lvl w:ilvl="0" w:tplc="AA40F048">
      <w:start w:val="4"/>
      <w:numFmt w:val="upperRoman"/>
      <w:lvlText w:val="%1."/>
      <w:lvlJc w:val="right"/>
      <w:pPr>
        <w:tabs>
          <w:tab w:val="num" w:pos="720"/>
        </w:tabs>
        <w:ind w:left="720" w:hanging="360"/>
      </w:pPr>
    </w:lvl>
    <w:lvl w:ilvl="1" w:tplc="79D8E272" w:tentative="1">
      <w:start w:val="1"/>
      <w:numFmt w:val="upperRoman"/>
      <w:lvlText w:val="%2."/>
      <w:lvlJc w:val="right"/>
      <w:pPr>
        <w:tabs>
          <w:tab w:val="num" w:pos="1440"/>
        </w:tabs>
        <w:ind w:left="1440" w:hanging="360"/>
      </w:pPr>
    </w:lvl>
    <w:lvl w:ilvl="2" w:tplc="C2A48484" w:tentative="1">
      <w:start w:val="1"/>
      <w:numFmt w:val="upperRoman"/>
      <w:lvlText w:val="%3."/>
      <w:lvlJc w:val="right"/>
      <w:pPr>
        <w:tabs>
          <w:tab w:val="num" w:pos="2160"/>
        </w:tabs>
        <w:ind w:left="2160" w:hanging="360"/>
      </w:pPr>
    </w:lvl>
    <w:lvl w:ilvl="3" w:tplc="4B706948" w:tentative="1">
      <w:start w:val="1"/>
      <w:numFmt w:val="upperRoman"/>
      <w:lvlText w:val="%4."/>
      <w:lvlJc w:val="right"/>
      <w:pPr>
        <w:tabs>
          <w:tab w:val="num" w:pos="2880"/>
        </w:tabs>
        <w:ind w:left="2880" w:hanging="360"/>
      </w:pPr>
    </w:lvl>
    <w:lvl w:ilvl="4" w:tplc="7D40713A" w:tentative="1">
      <w:start w:val="1"/>
      <w:numFmt w:val="upperRoman"/>
      <w:lvlText w:val="%5."/>
      <w:lvlJc w:val="right"/>
      <w:pPr>
        <w:tabs>
          <w:tab w:val="num" w:pos="3600"/>
        </w:tabs>
        <w:ind w:left="3600" w:hanging="360"/>
      </w:pPr>
    </w:lvl>
    <w:lvl w:ilvl="5" w:tplc="2FDEC116" w:tentative="1">
      <w:start w:val="1"/>
      <w:numFmt w:val="upperRoman"/>
      <w:lvlText w:val="%6."/>
      <w:lvlJc w:val="right"/>
      <w:pPr>
        <w:tabs>
          <w:tab w:val="num" w:pos="4320"/>
        </w:tabs>
        <w:ind w:left="4320" w:hanging="360"/>
      </w:pPr>
    </w:lvl>
    <w:lvl w:ilvl="6" w:tplc="FF32B23A" w:tentative="1">
      <w:start w:val="1"/>
      <w:numFmt w:val="upperRoman"/>
      <w:lvlText w:val="%7."/>
      <w:lvlJc w:val="right"/>
      <w:pPr>
        <w:tabs>
          <w:tab w:val="num" w:pos="5040"/>
        </w:tabs>
        <w:ind w:left="5040" w:hanging="360"/>
      </w:pPr>
    </w:lvl>
    <w:lvl w:ilvl="7" w:tplc="DBD4E3E2" w:tentative="1">
      <w:start w:val="1"/>
      <w:numFmt w:val="upperRoman"/>
      <w:lvlText w:val="%8."/>
      <w:lvlJc w:val="right"/>
      <w:pPr>
        <w:tabs>
          <w:tab w:val="num" w:pos="5760"/>
        </w:tabs>
        <w:ind w:left="5760" w:hanging="360"/>
      </w:pPr>
    </w:lvl>
    <w:lvl w:ilvl="8" w:tplc="FCE8F904" w:tentative="1">
      <w:start w:val="1"/>
      <w:numFmt w:val="upperRoman"/>
      <w:lvlText w:val="%9."/>
      <w:lvlJc w:val="right"/>
      <w:pPr>
        <w:tabs>
          <w:tab w:val="num" w:pos="6480"/>
        </w:tabs>
        <w:ind w:left="6480" w:hanging="360"/>
      </w:pPr>
    </w:lvl>
  </w:abstractNum>
  <w:abstractNum w:abstractNumId="8" w15:restartNumberingAfterBreak="0">
    <w:nsid w:val="3F444C44"/>
    <w:multiLevelType w:val="multilevel"/>
    <w:tmpl w:val="15FA61B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4252027D"/>
    <w:multiLevelType w:val="hybridMultilevel"/>
    <w:tmpl w:val="6C90411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15:restartNumberingAfterBreak="0">
    <w:nsid w:val="46A206DB"/>
    <w:multiLevelType w:val="hybridMultilevel"/>
    <w:tmpl w:val="5E8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5344F4"/>
    <w:multiLevelType w:val="hybridMultilevel"/>
    <w:tmpl w:val="2AF8BEBC"/>
    <w:lvl w:ilvl="0" w:tplc="F516087A">
      <w:start w:val="1"/>
      <w:numFmt w:val="bullet"/>
      <w:lvlText w:val=""/>
      <w:lvlJc w:val="left"/>
      <w:pPr>
        <w:tabs>
          <w:tab w:val="num" w:pos="4050"/>
        </w:tabs>
        <w:ind w:left="4050" w:hanging="360"/>
      </w:pPr>
      <w:rPr>
        <w:rFonts w:ascii="Symbol" w:hAnsi="Symbol" w:hint="default"/>
        <w:sz w:val="20"/>
      </w:rPr>
    </w:lvl>
    <w:lvl w:ilvl="1" w:tplc="8048DF46" w:tentative="1">
      <w:start w:val="1"/>
      <w:numFmt w:val="bullet"/>
      <w:lvlText w:val="o"/>
      <w:lvlJc w:val="left"/>
      <w:pPr>
        <w:tabs>
          <w:tab w:val="num" w:pos="4770"/>
        </w:tabs>
        <w:ind w:left="4770" w:hanging="360"/>
      </w:pPr>
      <w:rPr>
        <w:rFonts w:ascii="Courier New" w:hAnsi="Courier New" w:hint="default"/>
        <w:sz w:val="20"/>
      </w:rPr>
    </w:lvl>
    <w:lvl w:ilvl="2" w:tplc="244E0ACE" w:tentative="1">
      <w:start w:val="1"/>
      <w:numFmt w:val="bullet"/>
      <w:lvlText w:val=""/>
      <w:lvlJc w:val="left"/>
      <w:pPr>
        <w:tabs>
          <w:tab w:val="num" w:pos="5490"/>
        </w:tabs>
        <w:ind w:left="5490" w:hanging="360"/>
      </w:pPr>
      <w:rPr>
        <w:rFonts w:ascii="Wingdings" w:hAnsi="Wingdings" w:hint="default"/>
        <w:sz w:val="20"/>
      </w:rPr>
    </w:lvl>
    <w:lvl w:ilvl="3" w:tplc="0652B6DA" w:tentative="1">
      <w:start w:val="1"/>
      <w:numFmt w:val="bullet"/>
      <w:lvlText w:val=""/>
      <w:lvlJc w:val="left"/>
      <w:pPr>
        <w:tabs>
          <w:tab w:val="num" w:pos="6210"/>
        </w:tabs>
        <w:ind w:left="6210" w:hanging="360"/>
      </w:pPr>
      <w:rPr>
        <w:rFonts w:ascii="Wingdings" w:hAnsi="Wingdings" w:hint="default"/>
        <w:sz w:val="20"/>
      </w:rPr>
    </w:lvl>
    <w:lvl w:ilvl="4" w:tplc="6E5C60C0" w:tentative="1">
      <w:start w:val="1"/>
      <w:numFmt w:val="bullet"/>
      <w:lvlText w:val=""/>
      <w:lvlJc w:val="left"/>
      <w:pPr>
        <w:tabs>
          <w:tab w:val="num" w:pos="6930"/>
        </w:tabs>
        <w:ind w:left="6930" w:hanging="360"/>
      </w:pPr>
      <w:rPr>
        <w:rFonts w:ascii="Wingdings" w:hAnsi="Wingdings" w:hint="default"/>
        <w:sz w:val="20"/>
      </w:rPr>
    </w:lvl>
    <w:lvl w:ilvl="5" w:tplc="3550A910" w:tentative="1">
      <w:start w:val="1"/>
      <w:numFmt w:val="bullet"/>
      <w:lvlText w:val=""/>
      <w:lvlJc w:val="left"/>
      <w:pPr>
        <w:tabs>
          <w:tab w:val="num" w:pos="7650"/>
        </w:tabs>
        <w:ind w:left="7650" w:hanging="360"/>
      </w:pPr>
      <w:rPr>
        <w:rFonts w:ascii="Wingdings" w:hAnsi="Wingdings" w:hint="default"/>
        <w:sz w:val="20"/>
      </w:rPr>
    </w:lvl>
    <w:lvl w:ilvl="6" w:tplc="77DA83B4" w:tentative="1">
      <w:start w:val="1"/>
      <w:numFmt w:val="bullet"/>
      <w:lvlText w:val=""/>
      <w:lvlJc w:val="left"/>
      <w:pPr>
        <w:tabs>
          <w:tab w:val="num" w:pos="8370"/>
        </w:tabs>
        <w:ind w:left="8370" w:hanging="360"/>
      </w:pPr>
      <w:rPr>
        <w:rFonts w:ascii="Wingdings" w:hAnsi="Wingdings" w:hint="default"/>
        <w:sz w:val="20"/>
      </w:rPr>
    </w:lvl>
    <w:lvl w:ilvl="7" w:tplc="11FA017E" w:tentative="1">
      <w:start w:val="1"/>
      <w:numFmt w:val="bullet"/>
      <w:lvlText w:val=""/>
      <w:lvlJc w:val="left"/>
      <w:pPr>
        <w:tabs>
          <w:tab w:val="num" w:pos="9090"/>
        </w:tabs>
        <w:ind w:left="9090" w:hanging="360"/>
      </w:pPr>
      <w:rPr>
        <w:rFonts w:ascii="Wingdings" w:hAnsi="Wingdings" w:hint="default"/>
        <w:sz w:val="20"/>
      </w:rPr>
    </w:lvl>
    <w:lvl w:ilvl="8" w:tplc="80D60568" w:tentative="1">
      <w:start w:val="1"/>
      <w:numFmt w:val="bullet"/>
      <w:lvlText w:val=""/>
      <w:lvlJc w:val="left"/>
      <w:pPr>
        <w:tabs>
          <w:tab w:val="num" w:pos="9810"/>
        </w:tabs>
        <w:ind w:left="9810" w:hanging="360"/>
      </w:pPr>
      <w:rPr>
        <w:rFonts w:ascii="Wingdings" w:hAnsi="Wingdings" w:hint="default"/>
        <w:sz w:val="20"/>
      </w:rPr>
    </w:lvl>
  </w:abstractNum>
  <w:abstractNum w:abstractNumId="12" w15:restartNumberingAfterBreak="0">
    <w:nsid w:val="571C08F2"/>
    <w:multiLevelType w:val="hybridMultilevel"/>
    <w:tmpl w:val="9A66B480"/>
    <w:lvl w:ilvl="0" w:tplc="8814C79E">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E63F9"/>
    <w:multiLevelType w:val="hybridMultilevel"/>
    <w:tmpl w:val="20CEFCDA"/>
    <w:lvl w:ilvl="0" w:tplc="E1F03D9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E0546D"/>
    <w:multiLevelType w:val="hybridMultilevel"/>
    <w:tmpl w:val="27901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7145683">
    <w:abstractNumId w:val="11"/>
  </w:num>
  <w:num w:numId="2" w16cid:durableId="973828541">
    <w:abstractNumId w:val="3"/>
  </w:num>
  <w:num w:numId="3" w16cid:durableId="554656634">
    <w:abstractNumId w:val="15"/>
  </w:num>
  <w:num w:numId="4" w16cid:durableId="145128710">
    <w:abstractNumId w:val="6"/>
  </w:num>
  <w:num w:numId="5" w16cid:durableId="412363957">
    <w:abstractNumId w:val="1"/>
  </w:num>
  <w:num w:numId="6" w16cid:durableId="1236353300">
    <w:abstractNumId w:val="8"/>
  </w:num>
  <w:num w:numId="7" w16cid:durableId="1972243364">
    <w:abstractNumId w:val="0"/>
  </w:num>
  <w:num w:numId="8" w16cid:durableId="1815415796">
    <w:abstractNumId w:val="7"/>
  </w:num>
  <w:num w:numId="9" w16cid:durableId="240019090">
    <w:abstractNumId w:val="2"/>
  </w:num>
  <w:num w:numId="10" w16cid:durableId="787159807">
    <w:abstractNumId w:val="14"/>
  </w:num>
  <w:num w:numId="11" w16cid:durableId="925306279">
    <w:abstractNumId w:val="13"/>
  </w:num>
  <w:num w:numId="12" w16cid:durableId="12654535">
    <w:abstractNumId w:val="10"/>
  </w:num>
  <w:num w:numId="13" w16cid:durableId="1042558633">
    <w:abstractNumId w:val="9"/>
  </w:num>
  <w:num w:numId="14" w16cid:durableId="1977418492">
    <w:abstractNumId w:val="12"/>
  </w:num>
  <w:num w:numId="15" w16cid:durableId="1371876107">
    <w:abstractNumId w:val="4"/>
  </w:num>
  <w:num w:numId="16" w16cid:durableId="1360928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it-IT"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958"/>
    <w:rsid w:val="000070BA"/>
    <w:rsid w:val="000173F9"/>
    <w:rsid w:val="0002012F"/>
    <w:rsid w:val="00020560"/>
    <w:rsid w:val="000266B7"/>
    <w:rsid w:val="00032EA7"/>
    <w:rsid w:val="000400DF"/>
    <w:rsid w:val="000412A0"/>
    <w:rsid w:val="0004654E"/>
    <w:rsid w:val="00047DDA"/>
    <w:rsid w:val="00052E54"/>
    <w:rsid w:val="0005455A"/>
    <w:rsid w:val="000646C5"/>
    <w:rsid w:val="00064ADF"/>
    <w:rsid w:val="0006596A"/>
    <w:rsid w:val="0007070E"/>
    <w:rsid w:val="00071F07"/>
    <w:rsid w:val="000733E9"/>
    <w:rsid w:val="0007759D"/>
    <w:rsid w:val="000777AB"/>
    <w:rsid w:val="00077F46"/>
    <w:rsid w:val="00090FB1"/>
    <w:rsid w:val="00096186"/>
    <w:rsid w:val="000A72E4"/>
    <w:rsid w:val="000B0E2F"/>
    <w:rsid w:val="000B2430"/>
    <w:rsid w:val="000C0DFF"/>
    <w:rsid w:val="000D0B30"/>
    <w:rsid w:val="000D3FBB"/>
    <w:rsid w:val="000E21F1"/>
    <w:rsid w:val="000F22C8"/>
    <w:rsid w:val="000F703E"/>
    <w:rsid w:val="001035AD"/>
    <w:rsid w:val="00104BEB"/>
    <w:rsid w:val="00104DA0"/>
    <w:rsid w:val="001172B4"/>
    <w:rsid w:val="00120E86"/>
    <w:rsid w:val="00125DE9"/>
    <w:rsid w:val="00130479"/>
    <w:rsid w:val="001332E0"/>
    <w:rsid w:val="00134DE7"/>
    <w:rsid w:val="00161CA9"/>
    <w:rsid w:val="0016778B"/>
    <w:rsid w:val="00185354"/>
    <w:rsid w:val="001854DC"/>
    <w:rsid w:val="00186795"/>
    <w:rsid w:val="00194D09"/>
    <w:rsid w:val="001A7D5C"/>
    <w:rsid w:val="001B1F93"/>
    <w:rsid w:val="001B60AA"/>
    <w:rsid w:val="001B6298"/>
    <w:rsid w:val="001B63C8"/>
    <w:rsid w:val="001C1972"/>
    <w:rsid w:val="001C421F"/>
    <w:rsid w:val="001C4BD3"/>
    <w:rsid w:val="001D0803"/>
    <w:rsid w:val="001D360D"/>
    <w:rsid w:val="001E55F9"/>
    <w:rsid w:val="001E725B"/>
    <w:rsid w:val="001E7A21"/>
    <w:rsid w:val="001F4265"/>
    <w:rsid w:val="00200A1E"/>
    <w:rsid w:val="0020586C"/>
    <w:rsid w:val="002138C8"/>
    <w:rsid w:val="00220790"/>
    <w:rsid w:val="00234106"/>
    <w:rsid w:val="002351A4"/>
    <w:rsid w:val="00261A8D"/>
    <w:rsid w:val="002777FF"/>
    <w:rsid w:val="00283C1C"/>
    <w:rsid w:val="00286E11"/>
    <w:rsid w:val="002916F5"/>
    <w:rsid w:val="00291A00"/>
    <w:rsid w:val="00291A11"/>
    <w:rsid w:val="002950EB"/>
    <w:rsid w:val="002A2E8D"/>
    <w:rsid w:val="002A315C"/>
    <w:rsid w:val="002A3342"/>
    <w:rsid w:val="002A64BA"/>
    <w:rsid w:val="002B4989"/>
    <w:rsid w:val="002C1EBF"/>
    <w:rsid w:val="002C2510"/>
    <w:rsid w:val="002C697E"/>
    <w:rsid w:val="002D714E"/>
    <w:rsid w:val="002E0AD1"/>
    <w:rsid w:val="002E2FFF"/>
    <w:rsid w:val="002E53C3"/>
    <w:rsid w:val="002E77E9"/>
    <w:rsid w:val="002F1468"/>
    <w:rsid w:val="002F1559"/>
    <w:rsid w:val="002F409D"/>
    <w:rsid w:val="002F466C"/>
    <w:rsid w:val="002F5F0C"/>
    <w:rsid w:val="003178BA"/>
    <w:rsid w:val="003235CB"/>
    <w:rsid w:val="00325511"/>
    <w:rsid w:val="003265EB"/>
    <w:rsid w:val="0034329E"/>
    <w:rsid w:val="00343FAA"/>
    <w:rsid w:val="00347F5E"/>
    <w:rsid w:val="00351476"/>
    <w:rsid w:val="00353C98"/>
    <w:rsid w:val="00365491"/>
    <w:rsid w:val="00371959"/>
    <w:rsid w:val="00371A20"/>
    <w:rsid w:val="003821B4"/>
    <w:rsid w:val="00382CF3"/>
    <w:rsid w:val="00384B7E"/>
    <w:rsid w:val="00387D52"/>
    <w:rsid w:val="003941CE"/>
    <w:rsid w:val="003A689A"/>
    <w:rsid w:val="003A7CEA"/>
    <w:rsid w:val="003B0071"/>
    <w:rsid w:val="003C47CF"/>
    <w:rsid w:val="003D2472"/>
    <w:rsid w:val="003D511E"/>
    <w:rsid w:val="003F0BD3"/>
    <w:rsid w:val="003F0CBE"/>
    <w:rsid w:val="003F278A"/>
    <w:rsid w:val="003F7A02"/>
    <w:rsid w:val="0041526F"/>
    <w:rsid w:val="00417DE8"/>
    <w:rsid w:val="00422EA5"/>
    <w:rsid w:val="00422EFA"/>
    <w:rsid w:val="0042791F"/>
    <w:rsid w:val="00440EE5"/>
    <w:rsid w:val="00443CC7"/>
    <w:rsid w:val="0044516B"/>
    <w:rsid w:val="004456ED"/>
    <w:rsid w:val="00446475"/>
    <w:rsid w:val="004730CD"/>
    <w:rsid w:val="0048045A"/>
    <w:rsid w:val="00481CAC"/>
    <w:rsid w:val="004841B8"/>
    <w:rsid w:val="004930F2"/>
    <w:rsid w:val="004A4B4D"/>
    <w:rsid w:val="004B0F1C"/>
    <w:rsid w:val="004B45BD"/>
    <w:rsid w:val="004E039F"/>
    <w:rsid w:val="004E56F6"/>
    <w:rsid w:val="004E5BF6"/>
    <w:rsid w:val="004E747A"/>
    <w:rsid w:val="004F2EE6"/>
    <w:rsid w:val="00500D30"/>
    <w:rsid w:val="00502DBA"/>
    <w:rsid w:val="005040C4"/>
    <w:rsid w:val="00507637"/>
    <w:rsid w:val="00507852"/>
    <w:rsid w:val="00514DBF"/>
    <w:rsid w:val="00524427"/>
    <w:rsid w:val="00550921"/>
    <w:rsid w:val="005521B4"/>
    <w:rsid w:val="00553654"/>
    <w:rsid w:val="00563712"/>
    <w:rsid w:val="0056660F"/>
    <w:rsid w:val="00567C45"/>
    <w:rsid w:val="00567FE8"/>
    <w:rsid w:val="00573631"/>
    <w:rsid w:val="00573B5A"/>
    <w:rsid w:val="00573C0B"/>
    <w:rsid w:val="00573D0F"/>
    <w:rsid w:val="005768D7"/>
    <w:rsid w:val="00576CFA"/>
    <w:rsid w:val="005831C5"/>
    <w:rsid w:val="0058434F"/>
    <w:rsid w:val="0058556D"/>
    <w:rsid w:val="00592AF2"/>
    <w:rsid w:val="005947AD"/>
    <w:rsid w:val="00597748"/>
    <w:rsid w:val="005979E8"/>
    <w:rsid w:val="005A542A"/>
    <w:rsid w:val="005C40DE"/>
    <w:rsid w:val="005D0AF4"/>
    <w:rsid w:val="005D73A1"/>
    <w:rsid w:val="005E28E1"/>
    <w:rsid w:val="005E54BD"/>
    <w:rsid w:val="005F6CCA"/>
    <w:rsid w:val="00600007"/>
    <w:rsid w:val="006042A9"/>
    <w:rsid w:val="00607415"/>
    <w:rsid w:val="006104AF"/>
    <w:rsid w:val="00621893"/>
    <w:rsid w:val="00632334"/>
    <w:rsid w:val="00632555"/>
    <w:rsid w:val="0063487F"/>
    <w:rsid w:val="006351E1"/>
    <w:rsid w:val="006447B1"/>
    <w:rsid w:val="00662775"/>
    <w:rsid w:val="006745E0"/>
    <w:rsid w:val="006852FC"/>
    <w:rsid w:val="00686FB9"/>
    <w:rsid w:val="006B40AB"/>
    <w:rsid w:val="006B5DC5"/>
    <w:rsid w:val="006B6B45"/>
    <w:rsid w:val="006C14C8"/>
    <w:rsid w:val="006C4BFD"/>
    <w:rsid w:val="006C7216"/>
    <w:rsid w:val="006C7D30"/>
    <w:rsid w:val="006D4A82"/>
    <w:rsid w:val="006E0181"/>
    <w:rsid w:val="006E3C08"/>
    <w:rsid w:val="006E7679"/>
    <w:rsid w:val="006F2AB9"/>
    <w:rsid w:val="00700ACF"/>
    <w:rsid w:val="007047E5"/>
    <w:rsid w:val="00712487"/>
    <w:rsid w:val="007530CA"/>
    <w:rsid w:val="00753171"/>
    <w:rsid w:val="0075528E"/>
    <w:rsid w:val="00756D68"/>
    <w:rsid w:val="007578D9"/>
    <w:rsid w:val="00757E8A"/>
    <w:rsid w:val="00757F17"/>
    <w:rsid w:val="00763E43"/>
    <w:rsid w:val="00764EB5"/>
    <w:rsid w:val="0077709B"/>
    <w:rsid w:val="00777A95"/>
    <w:rsid w:val="00782416"/>
    <w:rsid w:val="00791635"/>
    <w:rsid w:val="00795912"/>
    <w:rsid w:val="00797FBE"/>
    <w:rsid w:val="007A34BB"/>
    <w:rsid w:val="007A613E"/>
    <w:rsid w:val="007B0364"/>
    <w:rsid w:val="007B2926"/>
    <w:rsid w:val="007B6F4D"/>
    <w:rsid w:val="007C2660"/>
    <w:rsid w:val="007C4627"/>
    <w:rsid w:val="007C4B4D"/>
    <w:rsid w:val="007C5AB8"/>
    <w:rsid w:val="007D0981"/>
    <w:rsid w:val="007D1929"/>
    <w:rsid w:val="007D2235"/>
    <w:rsid w:val="007F32D6"/>
    <w:rsid w:val="007F5477"/>
    <w:rsid w:val="007F70C2"/>
    <w:rsid w:val="00803CF1"/>
    <w:rsid w:val="008104BB"/>
    <w:rsid w:val="00810E26"/>
    <w:rsid w:val="00822F25"/>
    <w:rsid w:val="008249C5"/>
    <w:rsid w:val="008526F9"/>
    <w:rsid w:val="0085285E"/>
    <w:rsid w:val="00853023"/>
    <w:rsid w:val="008534D4"/>
    <w:rsid w:val="00854219"/>
    <w:rsid w:val="00881E28"/>
    <w:rsid w:val="0089252B"/>
    <w:rsid w:val="00894C4B"/>
    <w:rsid w:val="00895F48"/>
    <w:rsid w:val="00897F85"/>
    <w:rsid w:val="008A12E3"/>
    <w:rsid w:val="008A42FA"/>
    <w:rsid w:val="008B0AC7"/>
    <w:rsid w:val="008C0BF7"/>
    <w:rsid w:val="008C2335"/>
    <w:rsid w:val="008C67C1"/>
    <w:rsid w:val="008D154B"/>
    <w:rsid w:val="008D1D39"/>
    <w:rsid w:val="008D476D"/>
    <w:rsid w:val="008E3CA5"/>
    <w:rsid w:val="008F07D2"/>
    <w:rsid w:val="00903B82"/>
    <w:rsid w:val="00917851"/>
    <w:rsid w:val="00917F65"/>
    <w:rsid w:val="009311E7"/>
    <w:rsid w:val="00934C55"/>
    <w:rsid w:val="00941B5B"/>
    <w:rsid w:val="00942694"/>
    <w:rsid w:val="00952DC2"/>
    <w:rsid w:val="009555B6"/>
    <w:rsid w:val="00960F01"/>
    <w:rsid w:val="00981AA1"/>
    <w:rsid w:val="00994540"/>
    <w:rsid w:val="009A7E3A"/>
    <w:rsid w:val="009B1265"/>
    <w:rsid w:val="009B2B3A"/>
    <w:rsid w:val="009B4A15"/>
    <w:rsid w:val="009B5693"/>
    <w:rsid w:val="009B746F"/>
    <w:rsid w:val="009C61A2"/>
    <w:rsid w:val="009C6AB7"/>
    <w:rsid w:val="009C78E4"/>
    <w:rsid w:val="009D687E"/>
    <w:rsid w:val="009F2E0D"/>
    <w:rsid w:val="009F33B9"/>
    <w:rsid w:val="009F6DE7"/>
    <w:rsid w:val="009F6E53"/>
    <w:rsid w:val="00A039CC"/>
    <w:rsid w:val="00A05B52"/>
    <w:rsid w:val="00A10583"/>
    <w:rsid w:val="00A10A3C"/>
    <w:rsid w:val="00A14D9E"/>
    <w:rsid w:val="00A16166"/>
    <w:rsid w:val="00A21EE1"/>
    <w:rsid w:val="00A37FCB"/>
    <w:rsid w:val="00A407B5"/>
    <w:rsid w:val="00A54863"/>
    <w:rsid w:val="00A60235"/>
    <w:rsid w:val="00A61D74"/>
    <w:rsid w:val="00A83E33"/>
    <w:rsid w:val="00A8688B"/>
    <w:rsid w:val="00A91163"/>
    <w:rsid w:val="00A9286F"/>
    <w:rsid w:val="00A96255"/>
    <w:rsid w:val="00AA19E6"/>
    <w:rsid w:val="00AB0FDF"/>
    <w:rsid w:val="00AB285B"/>
    <w:rsid w:val="00AC7443"/>
    <w:rsid w:val="00AD1431"/>
    <w:rsid w:val="00AD1A84"/>
    <w:rsid w:val="00AE0A0F"/>
    <w:rsid w:val="00AE2FE7"/>
    <w:rsid w:val="00AE4904"/>
    <w:rsid w:val="00AF4EE2"/>
    <w:rsid w:val="00AF504F"/>
    <w:rsid w:val="00AF5552"/>
    <w:rsid w:val="00AF5CB4"/>
    <w:rsid w:val="00AF5ED1"/>
    <w:rsid w:val="00AF71D6"/>
    <w:rsid w:val="00B001D9"/>
    <w:rsid w:val="00B00F78"/>
    <w:rsid w:val="00B051C4"/>
    <w:rsid w:val="00B10DC7"/>
    <w:rsid w:val="00B17D5A"/>
    <w:rsid w:val="00B216EE"/>
    <w:rsid w:val="00B3175F"/>
    <w:rsid w:val="00B31E2C"/>
    <w:rsid w:val="00B329B0"/>
    <w:rsid w:val="00B402D8"/>
    <w:rsid w:val="00B4237C"/>
    <w:rsid w:val="00B42FE8"/>
    <w:rsid w:val="00B52AFD"/>
    <w:rsid w:val="00B54077"/>
    <w:rsid w:val="00B62F02"/>
    <w:rsid w:val="00B653CB"/>
    <w:rsid w:val="00B760C7"/>
    <w:rsid w:val="00B77F40"/>
    <w:rsid w:val="00B8087E"/>
    <w:rsid w:val="00B94282"/>
    <w:rsid w:val="00B97E4C"/>
    <w:rsid w:val="00BA19B7"/>
    <w:rsid w:val="00BA1D51"/>
    <w:rsid w:val="00BB1750"/>
    <w:rsid w:val="00BB646E"/>
    <w:rsid w:val="00BC4C41"/>
    <w:rsid w:val="00BD1BA1"/>
    <w:rsid w:val="00BD50EB"/>
    <w:rsid w:val="00BE138A"/>
    <w:rsid w:val="00C019E5"/>
    <w:rsid w:val="00C03897"/>
    <w:rsid w:val="00C2539E"/>
    <w:rsid w:val="00C35BC4"/>
    <w:rsid w:val="00C43F5B"/>
    <w:rsid w:val="00C96978"/>
    <w:rsid w:val="00C977C1"/>
    <w:rsid w:val="00CA14BD"/>
    <w:rsid w:val="00CA4C69"/>
    <w:rsid w:val="00CB4371"/>
    <w:rsid w:val="00CB4B94"/>
    <w:rsid w:val="00CB5C74"/>
    <w:rsid w:val="00CC516D"/>
    <w:rsid w:val="00CC6AFD"/>
    <w:rsid w:val="00CD33AE"/>
    <w:rsid w:val="00CD3DC3"/>
    <w:rsid w:val="00CD434F"/>
    <w:rsid w:val="00CF7E38"/>
    <w:rsid w:val="00D108DD"/>
    <w:rsid w:val="00D20DFA"/>
    <w:rsid w:val="00D23636"/>
    <w:rsid w:val="00D24330"/>
    <w:rsid w:val="00D2716B"/>
    <w:rsid w:val="00D3123B"/>
    <w:rsid w:val="00D40056"/>
    <w:rsid w:val="00D51E7C"/>
    <w:rsid w:val="00D54F29"/>
    <w:rsid w:val="00D7020C"/>
    <w:rsid w:val="00D70AD9"/>
    <w:rsid w:val="00D72152"/>
    <w:rsid w:val="00D907AA"/>
    <w:rsid w:val="00D94BA5"/>
    <w:rsid w:val="00D9510F"/>
    <w:rsid w:val="00DA525B"/>
    <w:rsid w:val="00DA615C"/>
    <w:rsid w:val="00DA6B1F"/>
    <w:rsid w:val="00DA78BB"/>
    <w:rsid w:val="00DC271E"/>
    <w:rsid w:val="00DD1BC6"/>
    <w:rsid w:val="00DE5949"/>
    <w:rsid w:val="00DE5DC3"/>
    <w:rsid w:val="00E00D8A"/>
    <w:rsid w:val="00E05218"/>
    <w:rsid w:val="00E1050F"/>
    <w:rsid w:val="00E11604"/>
    <w:rsid w:val="00E11D92"/>
    <w:rsid w:val="00E130A0"/>
    <w:rsid w:val="00E210C4"/>
    <w:rsid w:val="00E22EF5"/>
    <w:rsid w:val="00E234CB"/>
    <w:rsid w:val="00E23DB7"/>
    <w:rsid w:val="00E2681D"/>
    <w:rsid w:val="00E26AFD"/>
    <w:rsid w:val="00E343C7"/>
    <w:rsid w:val="00E34796"/>
    <w:rsid w:val="00E40926"/>
    <w:rsid w:val="00E46D96"/>
    <w:rsid w:val="00E52CCA"/>
    <w:rsid w:val="00E550CB"/>
    <w:rsid w:val="00E65A3D"/>
    <w:rsid w:val="00E66409"/>
    <w:rsid w:val="00E81C88"/>
    <w:rsid w:val="00E81D5B"/>
    <w:rsid w:val="00E976B9"/>
    <w:rsid w:val="00EA05D3"/>
    <w:rsid w:val="00EA24A7"/>
    <w:rsid w:val="00EA4BD7"/>
    <w:rsid w:val="00EB19AD"/>
    <w:rsid w:val="00EB2F31"/>
    <w:rsid w:val="00EB6493"/>
    <w:rsid w:val="00EC286B"/>
    <w:rsid w:val="00EC2915"/>
    <w:rsid w:val="00ED05A9"/>
    <w:rsid w:val="00ED1BA0"/>
    <w:rsid w:val="00EE175D"/>
    <w:rsid w:val="00EE29F1"/>
    <w:rsid w:val="00EE3003"/>
    <w:rsid w:val="00EE71E2"/>
    <w:rsid w:val="00EE7D8E"/>
    <w:rsid w:val="00EF5903"/>
    <w:rsid w:val="00EF5F59"/>
    <w:rsid w:val="00F07B54"/>
    <w:rsid w:val="00F17257"/>
    <w:rsid w:val="00F22F48"/>
    <w:rsid w:val="00F34D24"/>
    <w:rsid w:val="00F4130B"/>
    <w:rsid w:val="00F454E2"/>
    <w:rsid w:val="00F50CC7"/>
    <w:rsid w:val="00F5214A"/>
    <w:rsid w:val="00F556A2"/>
    <w:rsid w:val="00F719A8"/>
    <w:rsid w:val="00F72C69"/>
    <w:rsid w:val="00F878B9"/>
    <w:rsid w:val="00FA2473"/>
    <w:rsid w:val="00FA68D7"/>
    <w:rsid w:val="00FB01E3"/>
    <w:rsid w:val="00FB1AD0"/>
    <w:rsid w:val="00FB24E8"/>
    <w:rsid w:val="00FB3B2B"/>
    <w:rsid w:val="00FB7F4B"/>
    <w:rsid w:val="00FC18DA"/>
    <w:rsid w:val="00FC3917"/>
    <w:rsid w:val="00FC4679"/>
    <w:rsid w:val="00FC68D2"/>
    <w:rsid w:val="00FD60DA"/>
    <w:rsid w:val="00FF07B4"/>
    <w:rsid w:val="00FF55B0"/>
    <w:rsid w:val="039A6E8C"/>
    <w:rsid w:val="0406BD9B"/>
    <w:rsid w:val="0D431AC6"/>
    <w:rsid w:val="0F24AE66"/>
    <w:rsid w:val="10F794DE"/>
    <w:rsid w:val="142C88A5"/>
    <w:rsid w:val="145F47BE"/>
    <w:rsid w:val="14F550EC"/>
    <w:rsid w:val="18546085"/>
    <w:rsid w:val="18E7051E"/>
    <w:rsid w:val="1B1FCE52"/>
    <w:rsid w:val="214ED3AC"/>
    <w:rsid w:val="26FF0A74"/>
    <w:rsid w:val="2A2C939C"/>
    <w:rsid w:val="2BB97F79"/>
    <w:rsid w:val="311CD6D2"/>
    <w:rsid w:val="38BB1DE5"/>
    <w:rsid w:val="3A54BC86"/>
    <w:rsid w:val="3EAD20C5"/>
    <w:rsid w:val="407E0AFC"/>
    <w:rsid w:val="40F46023"/>
    <w:rsid w:val="42ECBC20"/>
    <w:rsid w:val="43A04C9F"/>
    <w:rsid w:val="46059BB5"/>
    <w:rsid w:val="46260CDC"/>
    <w:rsid w:val="49FC824C"/>
    <w:rsid w:val="5216D6CA"/>
    <w:rsid w:val="59196F22"/>
    <w:rsid w:val="5A4CBC04"/>
    <w:rsid w:val="5E4D4C64"/>
    <w:rsid w:val="66EF30E0"/>
    <w:rsid w:val="6ECE4BFA"/>
    <w:rsid w:val="7447311F"/>
    <w:rsid w:val="78FA8979"/>
    <w:rsid w:val="7B61B1F0"/>
    <w:rsid w:val="7F0ED3DA"/>
    <w:rsid w:val="7FC6A4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C03897"/>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C03897"/>
    <w:rPr>
      <w:rFonts w:eastAsiaTheme="minorHAnsi"/>
      <w:sz w:val="20"/>
      <w:szCs w:val="20"/>
      <w:lang w:val="en-US" w:eastAsia="en-US"/>
    </w:rPr>
  </w:style>
  <w:style w:type="character" w:styleId="FootnoteReference">
    <w:name w:val="footnote reference"/>
    <w:basedOn w:val="DefaultParagraphFont"/>
    <w:uiPriority w:val="99"/>
    <w:semiHidden/>
    <w:unhideWhenUsed/>
    <w:rsid w:val="00C03897"/>
    <w:rPr>
      <w:vertAlign w:val="superscript"/>
    </w:rPr>
  </w:style>
  <w:style w:type="character" w:customStyle="1" w:styleId="normaltextrun">
    <w:name w:val="normaltextrun"/>
    <w:basedOn w:val="DefaultParagraphFont"/>
    <w:rsid w:val="00C03897"/>
  </w:style>
  <w:style w:type="paragraph" w:customStyle="1" w:styleId="paragraph">
    <w:name w:val="paragraph"/>
    <w:basedOn w:val="Normal"/>
    <w:rsid w:val="00C038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C03897"/>
  </w:style>
  <w:style w:type="paragraph" w:styleId="Bibliography">
    <w:name w:val="Bibliography"/>
    <w:basedOn w:val="Normal"/>
    <w:next w:val="Normal"/>
    <w:uiPriority w:val="37"/>
    <w:unhideWhenUsed/>
    <w:rsid w:val="00EF5903"/>
  </w:style>
  <w:style w:type="character" w:styleId="FollowedHyperlink">
    <w:name w:val="FollowedHyperlink"/>
    <w:basedOn w:val="DefaultParagraphFont"/>
    <w:uiPriority w:val="99"/>
    <w:semiHidden/>
    <w:unhideWhenUsed/>
    <w:rsid w:val="00F454E2"/>
    <w:rPr>
      <w:color w:val="800080" w:themeColor="followedHyperlink"/>
      <w:u w:val="single"/>
    </w:rPr>
  </w:style>
  <w:style w:type="paragraph" w:styleId="Caption">
    <w:name w:val="caption"/>
    <w:basedOn w:val="Normal"/>
    <w:next w:val="Normal"/>
    <w:uiPriority w:val="35"/>
    <w:unhideWhenUsed/>
    <w:qFormat/>
    <w:rsid w:val="002E0AD1"/>
    <w:pPr>
      <w:spacing w:line="240" w:lineRule="auto"/>
    </w:pPr>
    <w:rPr>
      <w:rFonts w:eastAsiaTheme="minorHAnsi"/>
      <w:i/>
      <w:iCs/>
      <w:color w:val="1F497D" w:themeColor="text2"/>
      <w:sz w:val="18"/>
      <w:szCs w:val="18"/>
      <w:lang w:val="en-US" w:eastAsia="en-US"/>
    </w:rPr>
  </w:style>
  <w:style w:type="paragraph" w:customStyle="1" w:styleId="Default">
    <w:name w:val="Default"/>
    <w:rsid w:val="0058434F"/>
    <w:pPr>
      <w:autoSpaceDE w:val="0"/>
      <w:autoSpaceDN w:val="0"/>
      <w:adjustRightInd w:val="0"/>
      <w:spacing w:after="0" w:line="240" w:lineRule="auto"/>
    </w:pPr>
    <w:rPr>
      <w:rFonts w:ascii="Calibri" w:hAnsi="Calibri" w:cs="Calibri"/>
      <w:color w:val="000000"/>
      <w:sz w:val="24"/>
      <w:szCs w:val="24"/>
      <w:lang w:val="en-US"/>
    </w:rPr>
  </w:style>
  <w:style w:type="paragraph" w:styleId="Revision">
    <w:name w:val="Revision"/>
    <w:hidden/>
    <w:uiPriority w:val="99"/>
    <w:semiHidden/>
    <w:rsid w:val="0041526F"/>
    <w:pPr>
      <w:spacing w:after="0" w:line="240" w:lineRule="auto"/>
    </w:pPr>
  </w:style>
  <w:style w:type="character" w:styleId="Emphasis">
    <w:name w:val="Emphasis"/>
    <w:basedOn w:val="DefaultParagraphFont"/>
    <w:uiPriority w:val="20"/>
    <w:qFormat/>
    <w:rsid w:val="009F33B9"/>
    <w:rPr>
      <w:i/>
      <w:iCs/>
    </w:rPr>
  </w:style>
  <w:style w:type="table" w:customStyle="1" w:styleId="TableGrid1">
    <w:name w:val="Table Grid1"/>
    <w:basedOn w:val="TableNormal"/>
    <w:next w:val="TableGrid"/>
    <w:uiPriority w:val="39"/>
    <w:rsid w:val="004E5BF6"/>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7100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aps.elie.ucl.ac.be/CCI/viewer/download/ESACCI-LC-Ph2-PUGv2_2.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docrep/019/i3664e/i3664e.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B4A2CE0-D600-4D20-AD56-EF76134E8545}"/>
      </w:docPartPr>
      <w:docPartBody>
        <w:p w:rsidR="005F3E7B" w:rsidRDefault="00585F0E">
          <w:r w:rsidRPr="0027223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0E"/>
    <w:rsid w:val="001C140F"/>
    <w:rsid w:val="003C576B"/>
    <w:rsid w:val="003E4360"/>
    <w:rsid w:val="00584020"/>
    <w:rsid w:val="00585F0E"/>
    <w:rsid w:val="005F3E7B"/>
    <w:rsid w:val="00A77FEC"/>
    <w:rsid w:val="00BC1E76"/>
    <w:rsid w:val="00CD29FA"/>
    <w:rsid w:val="00D111FC"/>
    <w:rsid w:val="00F9379E"/>
    <w:rsid w:val="00FD3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F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Kör11</b:Tag>
    <b:SourceType>JournalArticle</b:SourceType>
    <b:Guid>{2FBE688F-9A5F-4F08-AA0E-847160B4AB4C}</b:Guid>
    <b:Title>A definition of mountains and their bioclimatic belts for global comparisons of biodiversity data</b:Title>
    <b:Year>2011</b:Year>
    <b:JournalName>Alpine Botany</b:JournalName>
    <b:Pages>73-78</b:Pages>
    <b:Author>
      <b:Author>
        <b:NameList>
          <b:Person>
            <b:Last>Körner</b:Last>
            <b:First>C</b:First>
          </b:Person>
          <b:Person>
            <b:Last>Paulsen</b:Last>
            <b:First>J</b:First>
          </b:Person>
          <b:Person>
            <b:Last>Spehn</b:Last>
            <b:First>E</b:First>
          </b:Person>
        </b:NameList>
      </b:Author>
    </b:Author>
    <b:Volume>121</b:Volume>
    <b:RefOrder>1</b:RefOrder>
  </b:Source>
  <b:Source>
    <b:Tag>Kar17</b:Tag>
    <b:SourceType>JournalArticle</b:SourceType>
    <b:Guid>{7F94D59D-5175-4E7D-8F19-C328D6CF294C}</b:Guid>
    <b:Title>Modeling global Hammond landform regions from 250-m elevation data</b:Title>
    <b:JournalName>Transactions in GIS</b:JournalName>
    <b:Year>2017</b:Year>
    <b:Author>
      <b:Author>
        <b:NameList>
          <b:Person>
            <b:Last>Karagulle</b:Last>
            <b:First>D</b:First>
          </b:Person>
          <b:Person>
            <b:Last>Frye</b:Last>
            <b:First>C</b:First>
          </b:Person>
          <b:Person>
            <b:Last>Breyer</b:Last>
            <b:First>S</b:First>
          </b:Person>
          <b:Person>
            <b:Last>Aniello</b:Last>
            <b:First>P</b:First>
          </b:Person>
          <b:Person>
            <b:Last>Vaughan</b:Last>
            <b:First>R</b:First>
          </b:Person>
          <b:Person>
            <b:Last>Wright</b:Last>
            <b:First>D</b:First>
          </b:Person>
        </b:NameList>
      </b:Author>
    </b:Author>
    <b:DOI>10.1111/tgis.12265</b:DOI>
    <b:RefOrder>2</b:RefOrder>
  </b:Source>
  <b:Source>
    <b:Tag>Kap00</b:Tag>
    <b:SourceType>BookSection</b:SourceType>
    <b:Guid>{0E82D813-1613-4646-8646-F951054E0ADE}</b:Guid>
    <b:Title>Developing a map of the world’s mountain forests</b:Title>
    <b:BookTitle>Forests in Sustainable Mountain Development: A State-of-Knowledge Report for 2000</b:BookTitle>
    <b:Year>2000</b:Year>
    <b:Pages>4-9</b:Pages>
    <b:City>Wallingford</b:City>
    <b:Publisher>CAB International</b:Publisher>
    <b:Author>
      <b:Author>
        <b:NameList>
          <b:Person>
            <b:Last>Kapos</b:Last>
            <b:First>V</b:First>
          </b:Person>
          <b:Person>
            <b:Last>Rhind</b:Last>
            <b:First>J</b:First>
          </b:Person>
          <b:Person>
            <b:Last>Edwards</b:Last>
            <b:First>M</b:First>
          </b:Person>
          <b:Person>
            <b:Last>Prince</b:Last>
            <b:First>M</b:First>
          </b:Person>
          <b:Person>
            <b:Last>Ravillous</b:Last>
            <b:First>C</b:First>
          </b:Person>
        </b:NameList>
      </b:Author>
      <b:Editor>
        <b:NameList>
          <b:Person>
            <b:Last>Price </b:Last>
            <b:Middle>F</b:Middle>
            <b:First>M</b:First>
          </b:Person>
          <b:Person>
            <b:Last>Butt</b:Last>
            <b:First>N</b:First>
          </b:Person>
        </b:NameList>
      </b:Editor>
    </b:Author>
    <b:RefOrder>3</b:RefOrder>
  </b:Source>
  <b:Source>
    <b:Tag>San15</b:Tag>
    <b:SourceType>Report</b:SourceType>
    <b:Guid>{639A3C4F-6C15-4A31-9560-CC7D7EB0506C}</b:Guid>
    <b:Title>Land Cover CCI PRODUCT USER GUIDE VERSION 2.0</b:Title>
    <b:Year>2015</b:Year>
    <b:URL>http://maps.elie.ucl.ac.be/CCI/viewer/download/ESACCI-LC-Ph2-PUGv2_2.0.pdf</b:URL>
    <b:Publisher>European Spatial Agency</b:Publisher>
    <b:Author>
      <b:Author>
        <b:NameList>
          <b:Person>
            <b:Last>Santoro</b:Last>
            <b:First>M.</b:First>
          </b:Person>
          <b:Person>
            <b:Last>Kirches</b:Last>
            <b:First>G.</b:First>
          </b:Person>
          <b:Person>
            <b:Last>Wevers</b:Last>
            <b:First>J.</b:First>
          </b:Person>
          <b:Person>
            <b:Last>Boettcher</b:Last>
            <b:First>M.</b:First>
          </b:Person>
          <b:Person>
            <b:Last>Brockmann</b:Last>
            <b:First>C.</b:First>
          </b:Person>
          <b:Person>
            <b:Last>Lamarche</b:Last>
            <b:First>C.</b:First>
          </b:Person>
          <b:Person>
            <b:Last>Bontemps</b:Last>
            <b:First>S.</b:First>
          </b:Person>
          <b:Person>
            <b:Last>Moreau</b:Last>
            <b:First>I.</b:First>
          </b:Person>
          <b:Person>
            <b:Last>Defourny</b:Last>
            <b:First>P.</b:First>
          </b:Person>
        </b:NameList>
      </b:Author>
    </b:Author>
    <b:Institution>European Spatial Agency</b:Institution>
    <b:Pages>26-27</b:Pages>
    <b:ThesisType>USER GUIDE</b:ThesisType>
    <b:RefOrder>5</b:RefOrder>
  </b:Source>
  <b:Source>
    <b:Tag>Eur191</b:Tag>
    <b:SourceType>InternetSite</b:SourceType>
    <b:Guid>{13C10E66-0D3F-4FEC-BA42-2A47076ED030}</b:Guid>
    <b:Author>
      <b:Author>
        <b:Corporate>Eurostats</b:Corporate>
      </b:Author>
    </b:Author>
    <b:Title>LUCAS Grid</b:Title>
    <b:InternetSiteTitle>Eurostat Your Key to European statistcs</b:InternetSiteTitle>
    <b:Year>2019</b:Year>
    <b:URL>https://ec.europa.eu/eurostat/web/lucas/data/lucas-grid</b:URL>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0873817C-D56F-4F72-9BF5-BC5252238941}">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97489E88-950E-43F5-BCB2-7A97F861A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Navarro, DorianKalamvrezos (OCS)</dc:creator>
  <cp:lastModifiedBy>Kebebush Welkema</cp:lastModifiedBy>
  <cp:revision>7</cp:revision>
  <cp:lastPrinted>2022-12-20T23:26:00Z</cp:lastPrinted>
  <dcterms:created xsi:type="dcterms:W3CDTF">2024-07-05T18:19:00Z</dcterms:created>
  <dcterms:modified xsi:type="dcterms:W3CDTF">2024-07-25T21:40:00Z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TaxKeyword">
    <vt:lpwstr/>
  </property>
</Properties>
</file>