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720" w:before="1200"/>
        <w:jc w:val="center"/>
      </w:pPr>
      <w:r>
        <w:rPr>
          <w:rFonts w:ascii="Calibri" w:cs="Calibri" w:eastAsia="Calibri" w:hAnsi="Calibri"/>
          <w:sz w:val="56"/>
          <w:szCs w:val="56"/>
        </w:rPr>
        <w:t xml:space="preserve">3D Vision - Lab 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Names</w:t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IDs</w:t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</w:t>
            </w:r>
          </w:p>
        </w:tc>
        <w:tc>
          <w:tcPr>
            <w:tcW w:type="dxa" w:w="66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Stereo Matching and Shape from Silhouette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1. Stereo Matching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code for the SSD matching cost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does SSD measure? Describe it in words.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is the relationship between estimation errors and occluded regions? Why?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an example from the disparity map.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compute_mse code and the MSE value obtained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Why is the ground truth masked before computing MSE?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does the MSE value tell you about the quality of the disparity estimate?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3 disparity maps (5x5, 9x9, 21x21 windows) side by side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are the key differences between the disparity maps?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do the differences relate to the window size?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code for the NCC matching cost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Explain NCC in words. How does it differ from SSD?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are the key differences between NCC disparity maps for different window sizes?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 there any notable difference compared to SSD results?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code for the bilateral weights computation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Briefly explain how bilateral weights work.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Compare the bilateral results with SSD uniform weights. What improvements do you observe?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disparity maps for the Lab 4 rectified images (resized and original size)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disparity limits did you choose and why?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did you adjust the limits for the original (non-resized) images?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Comment the result qualitatively. Is the disparity well estimated everywhere?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2. Shape from Silhouette: Visual Hull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one original image alongside its silhouette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are the silhouettes extracted in the provided code?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Would this approach work in a general case? Why or why not?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volume corner projection visualization for one camera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is the projection of volume corners useful for?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completed visual hull code (Q13)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Explain step by step how the visual hull algorithm works.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is the surface rendered? How many views must "see" a voxel to be part of the surface?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the bottom of the sculpture - is it void inside? Why?</w:t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a screenshot of the 3D reconstruction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t xml:space="preserve"/>
            </w:r>
          </w:p>
        </w:tc>
      </w:tr>
      <w:tr>
        <w:trPr>
          <w:trHeight w:val="3000" w:hRule="atLeast"/>
          <w:cantSplit w:val="1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i/>
        <w:iCs/>
        <w:sz w:val="16"/>
        <w:szCs w:val="16"/>
      </w:rPr>
      <w:t xml:space="preserve">*Note: Resizing answer boxes will be penalized. Ensure your response stays within the provided borders to ensure compatibility with Gradescope.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sz w:val="18"/>
        <w:szCs w:val="18"/>
      </w:rPr>
      <w:t xml:space="preserve">3D Vision - 2026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2026-05-13T08:01:12.570Z</dcterms:created>
  <dcterms:modified xsi:type="dcterms:W3CDTF">2026-05-13T08:01:12.575Z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