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.0 -->
  <w:body>
    <w:p w:rsidR="00A77B3E"/>
    <w:p w:rsidR="00A77B3E">
      <w:pPr>
        <w:pStyle w:val="1"/>
      </w:pPr>
    </w:p>
    <w:p w:rsidR="00A77B3E">
      <w:pPr>
        <w:pStyle w:val="1"/>
      </w:pPr>
    </w:p>
    <w:p w:rsidR="00A77B3E">
      <w:pPr>
        <w:pStyle w:val="2"/>
      </w:pPr>
      <w:r>
        <w:t>410</w:t>
      </w:r>
    </w:p>
    <w:p w:rsidR="00A77B3E">
      <w:pPr>
        <w:pStyle w:val="3"/>
      </w:pPr>
      <w:r>
        <w:t>VYHLÁŠKA</w:t>
      </w:r>
    </w:p>
    <w:p w:rsidR="00A77B3E">
      <w:pPr>
        <w:pStyle w:val="4"/>
      </w:pPr>
      <w:r>
        <w:t>ze dne 26. září 2025</w:t>
      </w:r>
    </w:p>
    <w:p w:rsidR="00A77B3E">
      <w:pPr>
        <w:pStyle w:val="5"/>
      </w:pPr>
      <w:r>
        <w:t>o bezpečnostních opatřeních poskytovatele regulované služby v režimu nižších povinností</w:t>
      </w:r>
    </w:p>
    <w:p w:rsidR="00A77B3E">
      <w:pPr>
        <w:pStyle w:val="6"/>
      </w:pPr>
      <w:r>
        <w:t>Národní úřad pro kybernetickou a informační bezpečnost stanoví podle § 13 odst. 3 a § 15 odst. 3 zákona č. 264/2025 Sb., o kybernetické bezpečnosti, (dále jen „zákon“):</w:t>
      </w:r>
    </w:p>
    <w:p w:rsidR="00A77B3E">
      <w:pPr>
        <w:pStyle w:val="1"/>
      </w:pPr>
    </w:p>
    <w:p w:rsidR="00A77B3E">
      <w:pPr>
        <w:pStyle w:val="7"/>
      </w:pPr>
      <w:r>
        <w:t>ČÁST PRVNÍ</w:t>
      </w:r>
    </w:p>
    <w:p w:rsidR="00A77B3E">
      <w:pPr>
        <w:pStyle w:val="8"/>
      </w:pPr>
      <w:r>
        <w:t>ÚVODNÍ USTANOVENÍ</w:t>
      </w:r>
    </w:p>
    <w:p w:rsidR="00A77B3E">
      <w:pPr>
        <w:pStyle w:val="9"/>
      </w:pPr>
      <w:r>
        <w:t>§ 1</w:t>
      </w:r>
    </w:p>
    <w:p w:rsidR="00A77B3E">
      <w:pPr>
        <w:pStyle w:val="10"/>
      </w:pPr>
      <w:r>
        <w:t>Předmět úpravy</w:t>
      </w:r>
    </w:p>
    <w:p w:rsidR="00A77B3E">
      <w:pPr>
        <w:pStyle w:val="11"/>
      </w:pPr>
      <w:r>
        <w:t>Tato vyhláška zapracovává příslušný předpis Evropské unie</w:t>
      </w:r>
      <w:r>
        <w:rPr>
          <w:vertAlign w:val="superscript"/>
        </w:rPr>
        <w:t>1</w:t>
      </w:r>
      <w:r>
        <w:t>) a pro poskytovatele regulované služby v režimu nižších povinností (dále jen „povinná osoba“) upravuje</w:t>
      </w:r>
    </w:p>
    <w:p w:rsidR="00A77B3E">
      <w:pPr>
        <w:pStyle w:val="12"/>
      </w:pPr>
      <w:r>
        <w:t>a)</w:t>
      </w:r>
      <w:r>
        <w:t>    obsah, způsob zavádění a provádění bezpečnostních opatření a</w:t>
      </w:r>
    </w:p>
    <w:p w:rsidR="00A77B3E">
      <w:pPr>
        <w:pStyle w:val="13"/>
      </w:pPr>
      <w:r>
        <w:t>b)</w:t>
      </w:r>
      <w:r>
        <w:t>    stanovení významnosti dopadu kybernetického bezpečnostního incidentu.</w:t>
      </w:r>
    </w:p>
    <w:p w:rsidR="00A77B3E">
      <w:pPr>
        <w:pStyle w:val="14"/>
      </w:pPr>
      <w:r>
        <w:t>§ 2</w:t>
      </w:r>
    </w:p>
    <w:p w:rsidR="00A77B3E">
      <w:pPr>
        <w:pStyle w:val="10"/>
      </w:pPr>
      <w:r>
        <w:t>Vymezení pojmů</w:t>
      </w:r>
    </w:p>
    <w:p w:rsidR="00A77B3E">
      <w:pPr>
        <w:pStyle w:val="11"/>
      </w:pPr>
      <w:r>
        <w:t>Pro účely této vyhlášky se rozumí</w:t>
      </w:r>
    </w:p>
    <w:p w:rsidR="00A77B3E">
      <w:pPr>
        <w:pStyle w:val="12"/>
      </w:pPr>
      <w:r>
        <w:t>a)</w:t>
      </w:r>
      <w:r>
        <w:t>    uživatelem fyzická nebo právnická osoba anebo orgán veřejné moci, který využívá aktiva,</w:t>
      </w:r>
    </w:p>
    <w:p w:rsidR="00A77B3E">
      <w:pPr>
        <w:pStyle w:val="15"/>
      </w:pPr>
      <w:r>
        <w:t>b)</w:t>
      </w:r>
      <w:r>
        <w:t>    privilegovaným uživatelem uživatel nebo jiná osoba, jejíž činnost na technickém aktivu může mít významný dopad na bezpečnost regulované služby,</w:t>
      </w:r>
    </w:p>
    <w:p w:rsidR="00A77B3E">
      <w:pPr>
        <w:pStyle w:val="15"/>
      </w:pPr>
      <w:r>
        <w:t>c)</w:t>
      </w:r>
      <w:r>
        <w:t>    administrátorem privilegovaný uživatel nebo osoba zajišťující správu, provoz, užívání, údržbu a bezpečnost technického aktiva,</w:t>
      </w:r>
    </w:p>
    <w:p w:rsidR="00A77B3E">
      <w:pPr>
        <w:pStyle w:val="13"/>
      </w:pPr>
      <w:r>
        <w:t>d)</w:t>
      </w:r>
      <w:r>
        <w:t>    bezpečnostní politikou soubor zásad a pravidel, která určují způsob zajištění ochrany aktiv.</w:t>
      </w:r>
    </w:p>
    <w:p w:rsidR="00A77B3E">
      <w:pPr>
        <w:pStyle w:val="7"/>
      </w:pPr>
      <w:r>
        <w:t>ČÁST DRUHÁ</w:t>
      </w:r>
    </w:p>
    <w:p w:rsidR="00A77B3E">
      <w:pPr>
        <w:pStyle w:val="8"/>
      </w:pPr>
      <w:r>
        <w:t>BEZPEČNOSTNÍ OPATŘENÍ</w:t>
      </w:r>
    </w:p>
    <w:p w:rsidR="00A77B3E">
      <w:pPr>
        <w:pStyle w:val="9"/>
      </w:pPr>
      <w:r>
        <w:t>§ 3</w:t>
      </w:r>
    </w:p>
    <w:p w:rsidR="00A77B3E">
      <w:pPr>
        <w:pStyle w:val="10"/>
      </w:pPr>
      <w:r>
        <w:t>Systém zajišťování minimální kybernetické bezpečnosti</w:t>
      </w:r>
    </w:p>
    <w:p w:rsidR="00A77B3E">
      <w:pPr>
        <w:pStyle w:val="16"/>
      </w:pPr>
      <w:r>
        <w:t>(1)</w:t>
      </w:r>
      <w:r>
        <w:t>    Povinná osoba při zajišťování kybernetické bezpečnosti</w:t>
      </w:r>
    </w:p>
    <w:p w:rsidR="00A77B3E">
      <w:pPr>
        <w:pStyle w:val="17"/>
      </w:pPr>
      <w:r>
        <w:t>a)</w:t>
      </w:r>
      <w:r>
        <w:t>    zavede a provádí bezpečnostní opatření, která jsou přiměřená bezpečnostním potřebám, a</w:t>
      </w:r>
    </w:p>
    <w:p w:rsidR="00A77B3E">
      <w:pPr>
        <w:pStyle w:val="18"/>
      </w:pPr>
      <w:r>
        <w:t>b)</w:t>
      </w:r>
      <w:r>
        <w:t>    zavede a provádí alespoň bezpečnostní opatření podle odstavců 2 až 6, § 4 až 6 a § 10.</w:t>
      </w:r>
    </w:p>
    <w:p w:rsidR="00A77B3E">
      <w:pPr>
        <w:pStyle w:val="16"/>
      </w:pPr>
      <w:r>
        <w:t>(2)</w:t>
      </w:r>
      <w:r>
        <w:t>    Povinná osoba</w:t>
      </w:r>
    </w:p>
    <w:p w:rsidR="00A77B3E">
      <w:pPr>
        <w:pStyle w:val="19"/>
      </w:pPr>
      <w:r>
        <w:t>a)</w:t>
      </w:r>
      <w:r>
        <w:t>    stanoví přehled bezpečnostních opatření podle přílohy č. 1 k této vyhlášce, který obsahuje přehled všech bezpečnostních opatření, která</w:t>
      </w:r>
    </w:p>
    <w:p w:rsidR="00A77B3E">
      <w:pPr>
        <w:pStyle w:val="20"/>
      </w:pPr>
      <w:r>
        <w:t>1.</w:t>
      </w:r>
      <w:r>
        <w:t>    byla povinnou osobou zavedena, včetně popisu jejich zavedení,</w:t>
      </w:r>
    </w:p>
    <w:p w:rsidR="00A77B3E">
      <w:pPr>
        <w:pStyle w:val="21"/>
      </w:pPr>
      <w:r>
        <w:t>2.</w:t>
      </w:r>
      <w:r>
        <w:t>    budou povinnou osobou zavedena, včetně termínů pro jejich zavedení, priority jejich zavedení a určení osoby odpovědné za jejich zavedení, a</w:t>
      </w:r>
    </w:p>
    <w:p w:rsidR="00A77B3E">
      <w:pPr>
        <w:pStyle w:val="22"/>
      </w:pPr>
      <w:r>
        <w:t>3.</w:t>
      </w:r>
      <w:r>
        <w:t>    nebyla zavedena, včetně odůvodnění jejich nezavedení,</w:t>
      </w:r>
    </w:p>
    <w:p w:rsidR="00A77B3E">
      <w:pPr>
        <w:pStyle w:val="17"/>
      </w:pPr>
      <w:r>
        <w:t>b)</w:t>
      </w:r>
      <w:r>
        <w:t>    provede a dokumentuje alespoň jednou ročně aktualizaci přehledu bezpečnostních opatření, včetně vyhodnocení účinnosti zavedených bezpečnostních opatření,</w:t>
      </w:r>
    </w:p>
    <w:p w:rsidR="00A77B3E">
      <w:pPr>
        <w:pStyle w:val="18"/>
      </w:pPr>
      <w:r>
        <w:t>c)</w:t>
      </w:r>
      <w:r>
        <w:t>    uchovává jednotlivé přehledy bezpečnostních opatření a jejich aktualizace alespoň po dobu 4 let.</w:t>
      </w:r>
    </w:p>
    <w:p w:rsidR="00A77B3E">
      <w:pPr>
        <w:pStyle w:val="16"/>
      </w:pPr>
      <w:r>
        <w:t>(3)</w:t>
      </w:r>
      <w:r>
        <w:t>    Povinná osoba v rámci řízení bezpečnostní politiky a bezpečnostní dokumentace</w:t>
      </w:r>
    </w:p>
    <w:p w:rsidR="00A77B3E">
      <w:pPr>
        <w:pStyle w:val="17"/>
      </w:pPr>
      <w:r>
        <w:t>a)</w:t>
      </w:r>
      <w:r>
        <w:t>    stanoví bezpečnostní politiku a bezpečnostní dokumentaci k bezpečnostním opatřením požadovaným touto vyhláškou,</w:t>
      </w:r>
    </w:p>
    <w:p w:rsidR="00A77B3E">
      <w:pPr>
        <w:pStyle w:val="23"/>
      </w:pPr>
      <w:r>
        <w:t>b)</w:t>
      </w:r>
      <w:r>
        <w:t>    pravidelně přezkoumává a aktualizuje pravidla a postupy stanovené v bezpečnostní politice a bezpečnostní dokumentaci a</w:t>
      </w:r>
    </w:p>
    <w:p w:rsidR="00A77B3E">
      <w:pPr>
        <w:pStyle w:val="18"/>
      </w:pPr>
      <w:r>
        <w:t>c)</w:t>
      </w:r>
      <w:r>
        <w:t>    vynucuje dodržování pravidel a postupů stanovených v bezpečnostní politice a bezpečnostní dokumentaci.</w:t>
      </w:r>
    </w:p>
    <w:p w:rsidR="00A77B3E">
      <w:pPr>
        <w:pStyle w:val="24"/>
      </w:pPr>
      <w:r>
        <w:t>(4)</w:t>
      </w:r>
      <w:r>
        <w:t>    Povinná osoba v rámci řízení aktiv stanoví pravidla pro používání a manipulaci technických aktiv.</w:t>
      </w:r>
    </w:p>
    <w:p w:rsidR="00A77B3E">
      <w:pPr>
        <w:pStyle w:val="25"/>
      </w:pPr>
      <w:r>
        <w:t>(5)</w:t>
      </w:r>
      <w:r>
        <w:t>    Povinná osoba při uzavírání smlouvy s dodavatelem do stanoveného rozsahu podle § 12 zákona zohlední hrozby a zranitelnosti spojené s tímto dodavatelem, celkovou kvalitu produktů a postupů v oblasti kybernetické bezpečnosti tohoto dodavatele, včetně postupů bezpečného vývoje a na základě toho zajistí, aby smlouvy s tímto dodavatelem obsahovaly relevantní požadavky na smluvní ujednaní uvedené v příloze č. 2 k této vyhlášce.</w:t>
      </w:r>
    </w:p>
    <w:p w:rsidR="00A77B3E">
      <w:pPr>
        <w:pStyle w:val="26"/>
      </w:pPr>
      <w:r>
        <w:t>(6)</w:t>
      </w:r>
      <w:r>
        <w:t>    Povinná osoba v souvislosti s plánovanou akvizicí, vývojem a údržbou technických aktiv stanoví bezpečnostní požadavky v oblasti kybernetické bezpečnosti a vymáhá jejich dodržování, přičemž vychází z požadavků na bezpečnostní opatření podle této vyhlášky.</w:t>
      </w:r>
    </w:p>
    <w:p w:rsidR="00A77B3E">
      <w:pPr>
        <w:pStyle w:val="14"/>
      </w:pPr>
      <w:r>
        <w:t>§ 4</w:t>
      </w:r>
    </w:p>
    <w:p w:rsidR="00A77B3E">
      <w:pPr>
        <w:pStyle w:val="10"/>
      </w:pPr>
      <w:r>
        <w:t>Požadavky na vrcholné vedení</w:t>
      </w:r>
    </w:p>
    <w:p w:rsidR="00A77B3E">
      <w:pPr>
        <w:pStyle w:val="11"/>
      </w:pPr>
      <w:r>
        <w:t>Statutární orgán povinné osoby nebo jiná osoba anebo skupina osob v obdobném řídícím postavení povinné osoby (dále jen „vrcholné vedení“) s ohledem na zajišťování minimální kybernetické bezpečnosti</w:t>
      </w:r>
    </w:p>
    <w:p w:rsidR="00A77B3E">
      <w:pPr>
        <w:pStyle w:val="27"/>
      </w:pPr>
      <w:r>
        <w:t>a)</w:t>
      </w:r>
      <w:r>
        <w:t>    určí osobu pověřenou kybernetickou bezpečností, které svěří pravomoci potřebné k řízení a rozvoji kybernetické bezpečnosti, dohledu nad stavem kybernetické bezpečnosti a komunikaci s vrcholným vedením, přičemž pro výkon této činnosti</w:t>
      </w:r>
    </w:p>
    <w:p w:rsidR="00A77B3E">
      <w:pPr>
        <w:pStyle w:val="28"/>
      </w:pPr>
      <w:r>
        <w:t>1.</w:t>
      </w:r>
      <w:r>
        <w:t>    absolvuje bez zbytečného odkladu odborné školení podle § 5 odst. 2 písm. d), nebo</w:t>
      </w:r>
    </w:p>
    <w:p w:rsidR="00A77B3E">
      <w:pPr>
        <w:pStyle w:val="29"/>
      </w:pPr>
      <w:r>
        <w:t>2.</w:t>
      </w:r>
      <w:r>
        <w:t>    prokáže odbornou znalost v kybernetické bezpečnosti,</w:t>
      </w:r>
    </w:p>
    <w:p w:rsidR="00A77B3E">
      <w:pPr>
        <w:pStyle w:val="12"/>
      </w:pPr>
      <w:r>
        <w:t>b)</w:t>
      </w:r>
      <w:r>
        <w:t>    absolvuje prokazatelně školení podle § 5 odst. 2 písm. a),</w:t>
      </w:r>
    </w:p>
    <w:p w:rsidR="00A77B3E">
      <w:pPr>
        <w:pStyle w:val="15"/>
      </w:pPr>
      <w:r>
        <w:t>c)</w:t>
      </w:r>
      <w:r>
        <w:t>    zajistí dostupnost zdrojů potřebných pro zajišťování kybernetické bezpečnosti v souladu s přehledem bezpečnostních opatření,</w:t>
      </w:r>
    </w:p>
    <w:p w:rsidR="00A77B3E">
      <w:pPr>
        <w:pStyle w:val="15"/>
      </w:pPr>
      <w:r>
        <w:t>d)</w:t>
      </w:r>
      <w:r>
        <w:t>    se prokazatelně seznamuje se stavem plnění bezpečnostních opatření uvedeným v přehledu bezpečnostních opatření podle § 3 odst. 2 písm. a),</w:t>
      </w:r>
    </w:p>
    <w:p w:rsidR="00A77B3E">
      <w:pPr>
        <w:pStyle w:val="15"/>
      </w:pPr>
      <w:r>
        <w:t>e)</w:t>
      </w:r>
      <w:r>
        <w:t>    prosazuje neustálé zlepšování zajišťování kybernetické bezpečnosti a za tímto účelem podporuje osobu pověřenou kybernetickou bezpečností a jiné relevantní osoby a</w:t>
      </w:r>
    </w:p>
    <w:p w:rsidR="00A77B3E">
      <w:pPr>
        <w:pStyle w:val="13"/>
      </w:pPr>
      <w:r>
        <w:t>f)</w:t>
      </w:r>
      <w:r>
        <w:t>    stanoví prioritu obnovy primárních aktiv.</w:t>
      </w:r>
    </w:p>
    <w:p w:rsidR="00A77B3E">
      <w:pPr>
        <w:pStyle w:val="14"/>
      </w:pPr>
      <w:r>
        <w:t>§ 5</w:t>
      </w:r>
    </w:p>
    <w:p w:rsidR="00A77B3E">
      <w:pPr>
        <w:pStyle w:val="10"/>
      </w:pPr>
      <w:r>
        <w:t>Bezpečnost lidských zdrojů</w:t>
      </w:r>
    </w:p>
    <w:p w:rsidR="00A77B3E">
      <w:pPr>
        <w:pStyle w:val="16"/>
      </w:pPr>
      <w:r>
        <w:t>(1)</w:t>
      </w:r>
      <w:r>
        <w:t>    Povinná osoba v rámci bezpečnosti lidských zdrojů</w:t>
      </w:r>
    </w:p>
    <w:p w:rsidR="00A77B3E">
      <w:pPr>
        <w:pStyle w:val="17"/>
      </w:pPr>
      <w:r>
        <w:t>a)</w:t>
      </w:r>
      <w:r>
        <w:t>    stanoví politiku bezpečného chování uživatelů, v jejímž rámci zohledňuje relevantní témata uvedená v příloze č. 3 k této vyhlášce,</w:t>
      </w:r>
    </w:p>
    <w:p w:rsidR="00A77B3E">
      <w:pPr>
        <w:pStyle w:val="23"/>
      </w:pPr>
      <w:r>
        <w:t>b)</w:t>
      </w:r>
      <w:r>
        <w:t>    stanoví pravidla rozvoje bezpečnostního povědomí vrcholného vedení, uživatelů, administrátorů a osoby pověřené kybernetickou bezpečností, včetně pravidel pro tvorbu hesel,</w:t>
      </w:r>
    </w:p>
    <w:p w:rsidR="00A77B3E">
      <w:pPr>
        <w:pStyle w:val="23"/>
      </w:pPr>
      <w:r>
        <w:t>c)</w:t>
      </w:r>
      <w:r>
        <w:t>    zajistí kontrolu dodržování bezpečnostní politiky ze strany uživatelů, administrátorů a osoby pověřené kybernetickou bezpečností a</w:t>
      </w:r>
    </w:p>
    <w:p w:rsidR="00A77B3E">
      <w:pPr>
        <w:pStyle w:val="18"/>
      </w:pPr>
      <w:r>
        <w:t>d)</w:t>
      </w:r>
      <w:r>
        <w:t>    stanoví pravidla a postupy pro řešení případů porušení bezpečnostní politiky.</w:t>
      </w:r>
    </w:p>
    <w:p w:rsidR="00A77B3E">
      <w:pPr>
        <w:pStyle w:val="16"/>
      </w:pPr>
      <w:r>
        <w:t>(2)</w:t>
      </w:r>
      <w:r>
        <w:t>    Povinná osoba v souladu s pravidly rozvoje bezpečnostního povědomí zajistí</w:t>
      </w:r>
    </w:p>
    <w:p w:rsidR="00A77B3E">
      <w:pPr>
        <w:pStyle w:val="17"/>
      </w:pPr>
      <w:r>
        <w:t>a)</w:t>
      </w:r>
      <w:r>
        <w:t>    poučení vrcholného vedení o jeho povinnostech a o bezpečnostní politice, zejména v oblasti zajišťování kybernetické bezpečnosti, formou vstupních a pravidelných školení,</w:t>
      </w:r>
    </w:p>
    <w:p w:rsidR="00A77B3E">
      <w:pPr>
        <w:pStyle w:val="23"/>
      </w:pPr>
      <w:r>
        <w:t>b)</w:t>
      </w:r>
      <w:r>
        <w:t>    vstupní školení v oblasti kybernetické bezpečnosti,</w:t>
      </w:r>
    </w:p>
    <w:p w:rsidR="00A77B3E">
      <w:pPr>
        <w:pStyle w:val="23"/>
      </w:pPr>
      <w:r>
        <w:t>c)</w:t>
      </w:r>
      <w:r>
        <w:t>    pravidelná školení v oblasti kybernetické bezpečnosti a</w:t>
      </w:r>
    </w:p>
    <w:p w:rsidR="00A77B3E">
      <w:pPr>
        <w:pStyle w:val="18"/>
      </w:pPr>
      <w:r>
        <w:t>d)</w:t>
      </w:r>
      <w:r>
        <w:t>    potřebná odborná teoretická i praktická školení administrátorů a osoby pověřené kybernetickou bezpečností v souladu s jejich pracovní náplní.</w:t>
      </w:r>
    </w:p>
    <w:p w:rsidR="00A77B3E">
      <w:pPr>
        <w:pStyle w:val="16"/>
      </w:pPr>
      <w:r>
        <w:t>(3)</w:t>
      </w:r>
      <w:r>
        <w:t>    Povinná osoba vede přehledy o provedených školeních a seznamy školených osob podle odstavce 2.</w:t>
      </w:r>
    </w:p>
    <w:p w:rsidR="00A77B3E">
      <w:pPr>
        <w:pStyle w:val="14"/>
      </w:pPr>
      <w:r>
        <w:t>§ 6</w:t>
      </w:r>
    </w:p>
    <w:p w:rsidR="00A77B3E">
      <w:pPr>
        <w:pStyle w:val="10"/>
      </w:pPr>
      <w:r>
        <w:t>Řízení kontinuity činností</w:t>
      </w:r>
    </w:p>
    <w:p w:rsidR="00A77B3E">
      <w:pPr>
        <w:pStyle w:val="11"/>
      </w:pPr>
      <w:r>
        <w:t>Povinná osoba v rámci řízení kontinuity činností</w:t>
      </w:r>
    </w:p>
    <w:p w:rsidR="00A77B3E">
      <w:pPr>
        <w:pStyle w:val="12"/>
      </w:pPr>
      <w:r>
        <w:t>a)</w:t>
      </w:r>
      <w:r>
        <w:t>    stanoví prioritu technických aktiv, pořadí a postupy jejich obnovy a zohlední přitom stanovenou prioritu relevantního primárního aktiva podle § 4 písm. f),</w:t>
      </w:r>
    </w:p>
    <w:p w:rsidR="00A77B3E">
      <w:pPr>
        <w:pStyle w:val="15"/>
      </w:pPr>
      <w:r>
        <w:t>b)</w:t>
      </w:r>
      <w:r>
        <w:t>    stanoví povinnosti a odpovědnost konkrétních osob za jednotlivé činnosti pro zajištění kontinuity činností a k obnově podle písmene a) a</w:t>
      </w:r>
    </w:p>
    <w:p w:rsidR="00A77B3E">
      <w:pPr>
        <w:pStyle w:val="13"/>
      </w:pPr>
      <w:r>
        <w:t>c)</w:t>
      </w:r>
      <w:r>
        <w:t>    vytváří pravidelné zálohy informací, dat, konfigurací a nastavení technických aktiv nezbytných zejména pro účely obnovy regulované služby pro případ kybernetického bezpečnostního incidentu.</w:t>
      </w:r>
    </w:p>
    <w:p w:rsidR="00A77B3E">
      <w:pPr>
        <w:pStyle w:val="14"/>
      </w:pPr>
      <w:r>
        <w:t>§ 7</w:t>
      </w:r>
    </w:p>
    <w:p w:rsidR="00A77B3E">
      <w:pPr>
        <w:pStyle w:val="10"/>
      </w:pPr>
      <w:r>
        <w:t>Řízení přístupu</w:t>
      </w:r>
    </w:p>
    <w:p w:rsidR="00A77B3E">
      <w:pPr>
        <w:pStyle w:val="16"/>
      </w:pPr>
      <w:r>
        <w:t>(1)</w:t>
      </w:r>
      <w:r>
        <w:t>    Povinná osoba řídí přístup k aktivům a v rámci něj</w:t>
      </w:r>
    </w:p>
    <w:p w:rsidR="00A77B3E">
      <w:pPr>
        <w:pStyle w:val="17"/>
      </w:pPr>
      <w:r>
        <w:t>a)</w:t>
      </w:r>
      <w:r>
        <w:t>    přidělí každému uživateli a administrátorovi přistupujícímu k aktivům přístupová práva a oprávnění na úroveň nezbytně nutnou k výkonu jejich práce a jedinečný identifikátor daného typu účtu, přičemž od sebe odděluje uživatelské a administrátorské účty jedné osoby,</w:t>
      </w:r>
    </w:p>
    <w:p w:rsidR="00A77B3E">
      <w:pPr>
        <w:pStyle w:val="23"/>
      </w:pPr>
      <w:r>
        <w:t>b)</w:t>
      </w:r>
      <w:r>
        <w:t>    řídí identifikátory, přístupová práva a oprávnění účtů technických aktiv,</w:t>
      </w:r>
    </w:p>
    <w:p w:rsidR="00A77B3E">
      <w:pPr>
        <w:pStyle w:val="23"/>
      </w:pPr>
      <w:r>
        <w:t>c)</w:t>
      </w:r>
      <w:r>
        <w:t>    zavádí bezpečnostní opatření potřebná pro bezpečné používání mobilních zařízení a jiných obdobných technických aktiv, popřípadě i bezpečnostní opatření spojená s využitím technických aktiv, která povinná osoba nemá ve své správě,</w:t>
      </w:r>
    </w:p>
    <w:p w:rsidR="00A77B3E">
      <w:pPr>
        <w:pStyle w:val="23"/>
      </w:pPr>
      <w:r>
        <w:t>d)</w:t>
      </w:r>
      <w:r>
        <w:t>    provádí pravidelné přezkoumání nastavení veškerých přístupových práv a oprávnění,</w:t>
      </w:r>
    </w:p>
    <w:p w:rsidR="00A77B3E">
      <w:pPr>
        <w:pStyle w:val="23"/>
      </w:pPr>
      <w:r>
        <w:t>e)</w:t>
      </w:r>
      <w:r>
        <w:t>    zajistí bezodkladné odebrání nebo změnu přístupových práv a oprávnění při změně pozice nebo zařazení uživatelů nebo administrátorů a</w:t>
      </w:r>
    </w:p>
    <w:p w:rsidR="00A77B3E">
      <w:pPr>
        <w:pStyle w:val="18"/>
      </w:pPr>
      <w:r>
        <w:t>f)</w:t>
      </w:r>
      <w:r>
        <w:t>    zajistí deaktivaci účtu a bezodkladné odebrání nebo změnu přístupových práv a oprávnění při ukončení nebo změně smluvního vztahu, na jehož základě došlo ke zřízení přístupu k aktivům.</w:t>
      </w:r>
    </w:p>
    <w:p w:rsidR="00A77B3E">
      <w:pPr>
        <w:pStyle w:val="16"/>
      </w:pPr>
      <w:r>
        <w:t>(2)</w:t>
      </w:r>
      <w:r>
        <w:t>    Povinná osoba v rámci zajištění fyzické bezpečnosti zamezí neoprávněnému přístupu ke svým aktivům a předchází poškození, odcizení, zneužití aktiv, neoprávněným zásahům do nich a narušení bezpečnosti poskytování regulované služby.</w:t>
      </w:r>
    </w:p>
    <w:p w:rsidR="00A77B3E">
      <w:pPr>
        <w:pStyle w:val="14"/>
      </w:pPr>
      <w:r>
        <w:t>§ 8</w:t>
      </w:r>
    </w:p>
    <w:p w:rsidR="00A77B3E">
      <w:pPr>
        <w:pStyle w:val="10"/>
      </w:pPr>
      <w:r>
        <w:t>Řízení identit a jejich oprávnění</w:t>
      </w:r>
    </w:p>
    <w:p w:rsidR="00A77B3E">
      <w:pPr>
        <w:pStyle w:val="16"/>
      </w:pPr>
      <w:r>
        <w:t>(1)</w:t>
      </w:r>
      <w:r>
        <w:t>    Povinná osoba pro řízení identit, přístupových práv a oprávnění používá nástroj, který zajišťuje</w:t>
      </w:r>
    </w:p>
    <w:p w:rsidR="00A77B3E">
      <w:pPr>
        <w:pStyle w:val="17"/>
      </w:pPr>
      <w:r>
        <w:t>a)</w:t>
      </w:r>
      <w:r>
        <w:t>    řízení počtu možných neúspěšných pokusů o přihlášení,</w:t>
      </w:r>
    </w:p>
    <w:p w:rsidR="00A77B3E">
      <w:pPr>
        <w:pStyle w:val="23"/>
      </w:pPr>
      <w:r>
        <w:t>b)</w:t>
      </w:r>
      <w:r>
        <w:t>    opětovné ověření identity po stanovené době nečinnosti,</w:t>
      </w:r>
    </w:p>
    <w:p w:rsidR="00A77B3E">
      <w:pPr>
        <w:pStyle w:val="23"/>
      </w:pPr>
      <w:r>
        <w:t>c)</w:t>
      </w:r>
      <w:r>
        <w:t>    odolnost uložených a přenášených autentizačních údajů a</w:t>
      </w:r>
    </w:p>
    <w:p w:rsidR="00A77B3E">
      <w:pPr>
        <w:pStyle w:val="18"/>
      </w:pPr>
      <w:r>
        <w:t>d)</w:t>
      </w:r>
      <w:r>
        <w:t>    řízení přístupových práv, oprávnění pro čtení a zápis informací a dat a změnu oprávnění.</w:t>
      </w:r>
    </w:p>
    <w:p w:rsidR="00A77B3E">
      <w:pPr>
        <w:pStyle w:val="24"/>
      </w:pPr>
      <w:r>
        <w:t>(2)</w:t>
      </w:r>
      <w:r>
        <w:t>    Povinná osoba pro ověření identity administrátorů, uživatelů a technických aktiv využívá autentizační mechanismus, který je založený na vícefaktorové autentizaci s alespoň dvěma různými typy faktorů, nebo využívá autentizační mechanismus, který je založen na aktuálně odolné kontinuální autentizaci založené na modelu nulové důvěry.</w:t>
      </w:r>
    </w:p>
    <w:p w:rsidR="00A77B3E">
      <w:pPr>
        <w:pStyle w:val="25"/>
      </w:pPr>
      <w:r>
        <w:t>(3)</w:t>
      </w:r>
      <w:r>
        <w:t>    Povinná osoba do doby využívání autentizačního mechanismu podle odstavce 2 využívá autentizaci pomocí kryptografických klíčů nebo certifikátů.</w:t>
      </w:r>
    </w:p>
    <w:p w:rsidR="00A77B3E">
      <w:pPr>
        <w:pStyle w:val="26"/>
      </w:pPr>
      <w:r>
        <w:t>(4)</w:t>
      </w:r>
      <w:r>
        <w:t>    Povinná osoba do doby využívání autentizačního mechanismu podle odstavce 3 využívá nástroj založený na autentizaci pomocí identifikátoru účtu a hesla, kdy tento nástroj musí vynucovat pravidla</w:t>
      </w:r>
    </w:p>
    <w:p w:rsidR="00A77B3E">
      <w:pPr>
        <w:pStyle w:val="19"/>
      </w:pPr>
      <w:r>
        <w:t>a)</w:t>
      </w:r>
      <w:r>
        <w:t>    délky hesla alespoň</w:t>
      </w:r>
    </w:p>
    <w:p w:rsidR="00A77B3E">
      <w:pPr>
        <w:pStyle w:val="20"/>
      </w:pPr>
      <w:r>
        <w:t>1.</w:t>
      </w:r>
      <w:r>
        <w:t>    12 znaků pro účty uživatelů,</w:t>
      </w:r>
    </w:p>
    <w:p w:rsidR="00A77B3E">
      <w:pPr>
        <w:pStyle w:val="21"/>
      </w:pPr>
      <w:r>
        <w:t>2.</w:t>
      </w:r>
      <w:r>
        <w:t>    17 znaků pro účty administrátorů,</w:t>
      </w:r>
    </w:p>
    <w:p w:rsidR="00A77B3E">
      <w:pPr>
        <w:pStyle w:val="22"/>
      </w:pPr>
      <w:r>
        <w:t>3.</w:t>
      </w:r>
      <w:r>
        <w:t>    22 znaků pro účty technických aktiv,</w:t>
      </w:r>
    </w:p>
    <w:p w:rsidR="00A77B3E">
      <w:pPr>
        <w:pStyle w:val="17"/>
      </w:pPr>
      <w:r>
        <w:t>b)</w:t>
      </w:r>
      <w:r>
        <w:t>    bezodkladné změny výchozího hesla pro ověření identity technických aktiv, přičemž nové heslo musí být vytvořeno náhodným řetězcem složeným z malých a velkých písmen, číslic a speciálních znaků,</w:t>
      </w:r>
    </w:p>
    <w:p w:rsidR="00A77B3E">
      <w:pPr>
        <w:pStyle w:val="23"/>
      </w:pPr>
      <w:r>
        <w:t>c)</w:t>
      </w:r>
      <w:r>
        <w:t>    neomezující použití malých a velkých písmen, číslic a speciálních znaků,</w:t>
      </w:r>
    </w:p>
    <w:p w:rsidR="00A77B3E">
      <w:pPr>
        <w:pStyle w:val="23"/>
      </w:pPr>
      <w:r>
        <w:t>d)</w:t>
      </w:r>
      <w:r>
        <w:t>    povinné změny hesla v intervalu alespoň jednou za 18 měsíců a</w:t>
      </w:r>
    </w:p>
    <w:p w:rsidR="00A77B3E">
      <w:pPr>
        <w:pStyle w:val="18"/>
      </w:pPr>
      <w:r>
        <w:t>e)</w:t>
      </w:r>
      <w:r>
        <w:t>    neumožňující uživatelům a administrátorům</w:t>
      </w:r>
    </w:p>
    <w:p w:rsidR="00A77B3E">
      <w:pPr>
        <w:pStyle w:val="20"/>
      </w:pPr>
      <w:r>
        <w:t>1.</w:t>
      </w:r>
      <w:r>
        <w:t>    zvolit si jednoduchá a často používaná hesla,</w:t>
      </w:r>
    </w:p>
    <w:p w:rsidR="00A77B3E">
      <w:pPr>
        <w:pStyle w:val="21"/>
      </w:pPr>
      <w:r>
        <w:t>2.</w:t>
      </w:r>
      <w:r>
        <w:t>    tvořit hesla na základě mnohonásobně opakujících se znaků, přihlašovacích jmen, adres elektronické pošty, názvů systémů nebo obdobným způsobem a</w:t>
      </w:r>
    </w:p>
    <w:p w:rsidR="00A77B3E">
      <w:pPr>
        <w:pStyle w:val="22"/>
      </w:pPr>
      <w:r>
        <w:t>3.</w:t>
      </w:r>
      <w:r>
        <w:t>    opětovného použití dříve používaných hesel s pamětí alespoň 12 předchozích hesel.</w:t>
      </w:r>
    </w:p>
    <w:p w:rsidR="00A77B3E">
      <w:pPr>
        <w:pStyle w:val="16"/>
      </w:pPr>
      <w:r>
        <w:t>(5)</w:t>
      </w:r>
      <w:r>
        <w:t>    Povinná osoba při řízení identit dále zajistí</w:t>
      </w:r>
    </w:p>
    <w:p w:rsidR="00A77B3E">
      <w:pPr>
        <w:pStyle w:val="17"/>
      </w:pPr>
      <w:r>
        <w:t>a)</w:t>
      </w:r>
      <w:r>
        <w:t>    důvěrnost při vytváření výchozích autentizačních údajů a při obnově přístupu,</w:t>
      </w:r>
    </w:p>
    <w:p w:rsidR="00A77B3E">
      <w:pPr>
        <w:pStyle w:val="23"/>
      </w:pPr>
      <w:r>
        <w:t>b)</w:t>
      </w:r>
      <w:r>
        <w:t>    změnu výchozího hesla nebo hesla sloužícího k obnově přístupu po jeho prvním použití,</w:t>
      </w:r>
    </w:p>
    <w:p w:rsidR="00A77B3E">
      <w:pPr>
        <w:pStyle w:val="23"/>
      </w:pPr>
      <w:r>
        <w:t>c)</w:t>
      </w:r>
      <w:r>
        <w:t>    zneplatnění hesla nebo identifikátoru sloužícího k obnově přístupu nejpozději do 24 hodin od jeho vytvoření,</w:t>
      </w:r>
    </w:p>
    <w:p w:rsidR="00A77B3E">
      <w:pPr>
        <w:pStyle w:val="23"/>
      </w:pPr>
      <w:r>
        <w:t>d)</w:t>
      </w:r>
      <w:r>
        <w:t>    bezodkladnou změnu přístupového hesla v případě důvodného podezření na jeho kompromitaci a</w:t>
      </w:r>
    </w:p>
    <w:p w:rsidR="00A77B3E">
      <w:pPr>
        <w:pStyle w:val="18"/>
      </w:pPr>
      <w:r>
        <w:t>e)</w:t>
      </w:r>
      <w:r>
        <w:t>    zabezpečení administrátorských účtů technických aktiv zejména určených pro případ obnovy po kybernetickém bezpečnostním incidentu a využívá tyto účty pouze v nezbytně nutných případech.</w:t>
      </w:r>
    </w:p>
    <w:p w:rsidR="00A77B3E">
      <w:pPr>
        <w:pStyle w:val="14"/>
      </w:pPr>
      <w:r>
        <w:t>§ 9</w:t>
      </w:r>
    </w:p>
    <w:p w:rsidR="00A77B3E">
      <w:pPr>
        <w:pStyle w:val="10"/>
      </w:pPr>
      <w:r>
        <w:t>Detekce a zaznamenávání kybernetických bezpečnostních událostí</w:t>
      </w:r>
    </w:p>
    <w:p w:rsidR="00A77B3E">
      <w:pPr>
        <w:pStyle w:val="16"/>
      </w:pPr>
      <w:r>
        <w:t>(1)</w:t>
      </w:r>
      <w:r>
        <w:t>    Povinná osoba při detekci kybernetických bezpečnostních událostí zajistí</w:t>
      </w:r>
    </w:p>
    <w:p w:rsidR="00A77B3E">
      <w:pPr>
        <w:pStyle w:val="17"/>
      </w:pPr>
      <w:r>
        <w:t>a)</w:t>
      </w:r>
      <w:r>
        <w:t>    ověření a kontrolu přenášených dat na perimetru komunikační sítě, včetně blokování nežádoucí komunikace,</w:t>
      </w:r>
    </w:p>
    <w:p w:rsidR="00A77B3E">
      <w:pPr>
        <w:pStyle w:val="18"/>
      </w:pPr>
      <w:r>
        <w:t>b)</w:t>
      </w:r>
      <w:r>
        <w:t>    použití nástroje pro nepřetržitou a automatickou ochranu před škodlivým kódem na technických aktivech, zejména na</w:t>
      </w:r>
    </w:p>
    <w:p w:rsidR="00A77B3E">
      <w:pPr>
        <w:pStyle w:val="20"/>
      </w:pPr>
      <w:r>
        <w:t>1.</w:t>
      </w:r>
      <w:r>
        <w:t>    serverech a</w:t>
      </w:r>
    </w:p>
    <w:p w:rsidR="00A77B3E">
      <w:pPr>
        <w:pStyle w:val="22"/>
      </w:pPr>
      <w:r>
        <w:t>2.</w:t>
      </w:r>
      <w:r>
        <w:t>    koncových stanicích,</w:t>
      </w:r>
    </w:p>
    <w:p w:rsidR="00A77B3E">
      <w:pPr>
        <w:pStyle w:val="17"/>
      </w:pPr>
      <w:r>
        <w:t>c)</w:t>
      </w:r>
      <w:r>
        <w:t>    řízení automatického spouštění obsahu, zejména u vyměnitelných zařízení a datových nosičů,</w:t>
      </w:r>
    </w:p>
    <w:p w:rsidR="00A77B3E">
      <w:pPr>
        <w:pStyle w:val="23"/>
      </w:pPr>
      <w:r>
        <w:t>d)</w:t>
      </w:r>
      <w:r>
        <w:t>    nepřetržité poskytování informací o relevantních detekovaných kybernetických bezpečnostních událostech a včasné varování relevantních osob a</w:t>
      </w:r>
    </w:p>
    <w:p w:rsidR="00A77B3E">
      <w:pPr>
        <w:pStyle w:val="18"/>
      </w:pPr>
      <w:r>
        <w:t>e)</w:t>
      </w:r>
      <w:r>
        <w:t>    pravidelnou a bezodkladnou aktualizaci nástrojů pro nepřetržitou a automatickou ochranu před škodlivým kódem a dalších detekčních nástrojů a jejich pravidel.</w:t>
      </w:r>
    </w:p>
    <w:p w:rsidR="00A77B3E">
      <w:pPr>
        <w:pStyle w:val="16"/>
      </w:pPr>
      <w:r>
        <w:t>(2)</w:t>
      </w:r>
      <w:r>
        <w:t>    Povinná osoba za účelem detekce kybernetických bezpečnostních událostí zaznamenává</w:t>
      </w:r>
    </w:p>
    <w:p w:rsidR="00A77B3E">
      <w:pPr>
        <w:pStyle w:val="17"/>
      </w:pPr>
      <w:r>
        <w:t>a)</w:t>
      </w:r>
      <w:r>
        <w:t>    bezpečnostní a relevantní provozní události detekované podle odstavce 1 a bezpečnostní a relevantní provozní události technických aktiv na základě svých bezpečnostních potřeb a</w:t>
      </w:r>
    </w:p>
    <w:p w:rsidR="00A77B3E">
      <w:pPr>
        <w:pStyle w:val="18"/>
      </w:pPr>
      <w:r>
        <w:t>b)</w:t>
      </w:r>
      <w:r>
        <w:t>    u událostí podle písmene a) následující informace o události:</w:t>
      </w:r>
    </w:p>
    <w:p w:rsidR="00A77B3E">
      <w:pPr>
        <w:pStyle w:val="20"/>
      </w:pPr>
      <w:r>
        <w:t>1.</w:t>
      </w:r>
      <w:r>
        <w:t>    datum a čas, včetně specifikace časového pásma,</w:t>
      </w:r>
    </w:p>
    <w:p w:rsidR="00A77B3E">
      <w:pPr>
        <w:pStyle w:val="21"/>
      </w:pPr>
      <w:r>
        <w:t>2.</w:t>
      </w:r>
      <w:r>
        <w:t>    typ činnosti,</w:t>
      </w:r>
    </w:p>
    <w:p w:rsidR="00A77B3E">
      <w:pPr>
        <w:pStyle w:val="21"/>
      </w:pPr>
      <w:r>
        <w:t>3.</w:t>
      </w:r>
      <w:r>
        <w:t>    jednoznačnou identifikaci technického aktiva a identifikaci účtu původce a</w:t>
      </w:r>
    </w:p>
    <w:p w:rsidR="00A77B3E">
      <w:pPr>
        <w:pStyle w:val="22"/>
      </w:pPr>
      <w:r>
        <w:t>4.</w:t>
      </w:r>
      <w:r>
        <w:t>    úspěšnost nebo neúspěšnost činnosti.</w:t>
      </w:r>
    </w:p>
    <w:p w:rsidR="00A77B3E">
      <w:pPr>
        <w:pStyle w:val="16"/>
      </w:pPr>
      <w:r>
        <w:t>(3)</w:t>
      </w:r>
      <w:r>
        <w:t>    Povinná osoba uchovává záznamy bezpečnostních a relevantních provozních událostí po dobu, kterou si stanoví na základě svých bezpečnostních potřeb.</w:t>
      </w:r>
    </w:p>
    <w:p w:rsidR="00A77B3E">
      <w:pPr>
        <w:pStyle w:val="14"/>
      </w:pPr>
      <w:r>
        <w:t>§ 10</w:t>
      </w:r>
    </w:p>
    <w:p w:rsidR="00A77B3E">
      <w:pPr>
        <w:pStyle w:val="10"/>
      </w:pPr>
      <w:r>
        <w:t>Řešení kybernetických bezpečnostních incidentů</w:t>
      </w:r>
    </w:p>
    <w:p w:rsidR="00A77B3E">
      <w:pPr>
        <w:pStyle w:val="11"/>
      </w:pPr>
      <w:r>
        <w:t>Povinná osoba při řešení kybernetických bezpečnostních událostí a kybernetických bezpečnostních incidentů</w:t>
      </w:r>
    </w:p>
    <w:p w:rsidR="00A77B3E">
      <w:pPr>
        <w:pStyle w:val="12"/>
      </w:pPr>
      <w:r>
        <w:t>a)</w:t>
      </w:r>
      <w:r>
        <w:t>    zajistí, že uživatelé, administrátoři, osoby pověřené kybernetickou bezpečností a další zaměstnanci budou oznamovat neobvyklé chování technických aktiv a podezření na jakékoliv zranitelnosti,</w:t>
      </w:r>
    </w:p>
    <w:p w:rsidR="00A77B3E">
      <w:pPr>
        <w:pStyle w:val="15"/>
      </w:pPr>
      <w:r>
        <w:t>b)</w:t>
      </w:r>
      <w:r>
        <w:t>    vytvoří metodiku pro posuzování kybernetických bezpečnostních událostí a kybernetických bezpečnostních incidentů, včetně posuzování významnosti dopadu kybernetického bezpečnostního incidentu v souladu s § 14,</w:t>
      </w:r>
    </w:p>
    <w:p w:rsidR="00A77B3E">
      <w:pPr>
        <w:pStyle w:val="15"/>
      </w:pPr>
      <w:r>
        <w:t>c)</w:t>
      </w:r>
      <w:r>
        <w:t>    zajistí detekci kybernetických bezpečnostních událostí,</w:t>
      </w:r>
    </w:p>
    <w:p w:rsidR="00A77B3E">
      <w:pPr>
        <w:pStyle w:val="15"/>
      </w:pPr>
      <w:r>
        <w:t>d)</w:t>
      </w:r>
      <w:r>
        <w:t>    zajistí posuzování kybernetických bezpečnostních událostí a kybernetických bezpečnostních incidentů v souladu s metodikou podle písmene b),</w:t>
      </w:r>
    </w:p>
    <w:p w:rsidR="00A77B3E">
      <w:pPr>
        <w:pStyle w:val="15"/>
      </w:pPr>
      <w:r>
        <w:t>e)</w:t>
      </w:r>
      <w:r>
        <w:t>    zajistí hlášení kybernetického bezpečnostního incidentu s významným dopadem podle § 15 zákona,</w:t>
      </w:r>
    </w:p>
    <w:p w:rsidR="00A77B3E">
      <w:pPr>
        <w:pStyle w:val="13"/>
      </w:pPr>
      <w:r>
        <w:t>f)</w:t>
      </w:r>
      <w:r>
        <w:t>    zajistí vytvoření závěrečné zprávy o vyřešení kybernetického bezpečnostního incidentu s významným dopadem podle § 16 zákona.</w:t>
      </w:r>
    </w:p>
    <w:p w:rsidR="00A77B3E">
      <w:pPr>
        <w:pStyle w:val="14"/>
      </w:pPr>
      <w:r>
        <w:t>§ 11</w:t>
      </w:r>
    </w:p>
    <w:p w:rsidR="00A77B3E">
      <w:pPr>
        <w:pStyle w:val="10"/>
      </w:pPr>
      <w:r>
        <w:t>Bezpečnost komunikačních sítí</w:t>
      </w:r>
    </w:p>
    <w:p w:rsidR="00A77B3E">
      <w:pPr>
        <w:pStyle w:val="11"/>
      </w:pPr>
      <w:r>
        <w:t>Povinná osoba pro ochranu bezpečnosti komunikační sítě, a to zejména jejího síťového perimetru,</w:t>
      </w:r>
    </w:p>
    <w:p w:rsidR="00A77B3E">
      <w:pPr>
        <w:pStyle w:val="12"/>
      </w:pPr>
      <w:r>
        <w:t>a)</w:t>
      </w:r>
      <w:r>
        <w:t>    zajistí segmentaci komunikační sítě, včetně oddělení provozního a zálohovacího prostředí,</w:t>
      </w:r>
    </w:p>
    <w:p w:rsidR="00A77B3E">
      <w:pPr>
        <w:pStyle w:val="15"/>
      </w:pPr>
      <w:r>
        <w:t>b)</w:t>
      </w:r>
      <w:r>
        <w:t>    omezí odchozí a příchozí komunikaci na perimetru komunikační sítě na dobu nezbytně nutnou pro řádné zajištění poskytování regulované služby,</w:t>
      </w:r>
    </w:p>
    <w:p w:rsidR="00A77B3E">
      <w:pPr>
        <w:pStyle w:val="15"/>
      </w:pPr>
      <w:r>
        <w:t>c)</w:t>
      </w:r>
      <w:r>
        <w:t>    užívá aktuálně odolné a bezpečné komunikační protokoly,</w:t>
      </w:r>
    </w:p>
    <w:p w:rsidR="00A77B3E">
      <w:pPr>
        <w:pStyle w:val="13"/>
      </w:pPr>
      <w:r>
        <w:t>d)</w:t>
      </w:r>
      <w:r>
        <w:t>    v případě užití vzdáleného připojení do interní komunikační sítě nebo vzdálené správy technických aktiv regulované služby</w:t>
      </w:r>
    </w:p>
    <w:p w:rsidR="00A77B3E">
      <w:pPr>
        <w:pStyle w:val="28"/>
      </w:pPr>
      <w:r>
        <w:t>1.</w:t>
      </w:r>
      <w:r>
        <w:t>    omezí tato připojení na nezbytně nutná,</w:t>
      </w:r>
    </w:p>
    <w:p w:rsidR="00A77B3E">
      <w:pPr>
        <w:pStyle w:val="30"/>
      </w:pPr>
      <w:r>
        <w:t>2.</w:t>
      </w:r>
      <w:r>
        <w:t>    zavede bezpečnostní opatření, která zajistí důvěrnost a integritu těchto vzdálených připojení a vzdálené správy, a</w:t>
      </w:r>
    </w:p>
    <w:p w:rsidR="00A77B3E">
      <w:pPr>
        <w:pStyle w:val="29"/>
      </w:pPr>
      <w:r>
        <w:t>3.</w:t>
      </w:r>
      <w:r>
        <w:t>    má přehled o uživatelích a administrátorech, kteří tato vzdálená připojení nebo vzdálenou správu užívají.</w:t>
      </w:r>
    </w:p>
    <w:p w:rsidR="00A77B3E">
      <w:pPr>
        <w:pStyle w:val="14"/>
      </w:pPr>
      <w:r>
        <w:t>§ 12</w:t>
      </w:r>
    </w:p>
    <w:p w:rsidR="00A77B3E">
      <w:pPr>
        <w:pStyle w:val="10"/>
      </w:pPr>
      <w:r>
        <w:t>Aplikační bezpečnost</w:t>
      </w:r>
    </w:p>
    <w:p w:rsidR="00A77B3E">
      <w:pPr>
        <w:pStyle w:val="11"/>
      </w:pPr>
      <w:r>
        <w:t>Povinná osoba při zajišťování aplikační bezpečnosti regulované služby</w:t>
      </w:r>
    </w:p>
    <w:p w:rsidR="00A77B3E">
      <w:pPr>
        <w:pStyle w:val="12"/>
      </w:pPr>
      <w:r>
        <w:t>a)</w:t>
      </w:r>
      <w:r>
        <w:t>    zajistí bezodkladné aplikování schválených bezpečnostních aktualizací vydaných pro technická aktiva,</w:t>
      </w:r>
    </w:p>
    <w:p w:rsidR="00A77B3E">
      <w:pPr>
        <w:pStyle w:val="13"/>
      </w:pPr>
      <w:r>
        <w:t>b)</w:t>
      </w:r>
      <w:r>
        <w:t>    u technických aktiv, která již nejsou výrobcem, dodavatelem nebo jinou osobou podporována</w:t>
      </w:r>
    </w:p>
    <w:p w:rsidR="00A77B3E">
      <w:pPr>
        <w:pStyle w:val="28"/>
      </w:pPr>
      <w:r>
        <w:t>1.</w:t>
      </w:r>
      <w:r>
        <w:t>    vede jejich evidenci,</w:t>
      </w:r>
    </w:p>
    <w:p w:rsidR="00A77B3E">
      <w:pPr>
        <w:pStyle w:val="30"/>
      </w:pPr>
      <w:r>
        <w:t>2.</w:t>
      </w:r>
      <w:r>
        <w:t>    zavede bezpečnostní opatření, která zaručí obdobnou nebo vyšší úroveň bezpečnosti, a</w:t>
      </w:r>
    </w:p>
    <w:p w:rsidR="00A77B3E">
      <w:pPr>
        <w:pStyle w:val="29"/>
      </w:pPr>
      <w:r>
        <w:t>3.</w:t>
      </w:r>
      <w:r>
        <w:t>    omezí jejich komunikaci v komunikační síti na nezbytně nutnou,</w:t>
      </w:r>
    </w:p>
    <w:p w:rsidR="00A77B3E">
      <w:pPr>
        <w:pStyle w:val="27"/>
      </w:pPr>
      <w:r>
        <w:t>c)</w:t>
      </w:r>
      <w:r>
        <w:t>    provádí pravidelné skenování zranitelností relevantních technických aktiv a aplikuje přiměřená bezpečnostní opatření na základě zjištěných výsledků.</w:t>
      </w:r>
    </w:p>
    <w:p w:rsidR="00A77B3E">
      <w:pPr>
        <w:pStyle w:val="14"/>
      </w:pPr>
      <w:r>
        <w:t>§ 13</w:t>
      </w:r>
    </w:p>
    <w:p w:rsidR="00A77B3E">
      <w:pPr>
        <w:pStyle w:val="10"/>
      </w:pPr>
      <w:r>
        <w:t>Kryptografické algoritmy</w:t>
      </w:r>
    </w:p>
    <w:p w:rsidR="00A77B3E">
      <w:pPr>
        <w:pStyle w:val="16"/>
      </w:pPr>
      <w:r>
        <w:t>(1)</w:t>
      </w:r>
      <w:r>
        <w:t>    Povinná osoba při zajištění bezpečnosti technických aktiv a jejich komunikace</w:t>
      </w:r>
    </w:p>
    <w:p w:rsidR="00A77B3E">
      <w:pPr>
        <w:pStyle w:val="17"/>
      </w:pPr>
      <w:r>
        <w:t>a)</w:t>
      </w:r>
      <w:r>
        <w:t>    používá aktuálně odolné kryptografické algoritmy,</w:t>
      </w:r>
    </w:p>
    <w:p w:rsidR="00A77B3E">
      <w:pPr>
        <w:pStyle w:val="23"/>
      </w:pPr>
      <w:r>
        <w:t>b)</w:t>
      </w:r>
      <w:r>
        <w:t>    prosazuje bezpečné nakládání s kryptografickými algoritmy a</w:t>
      </w:r>
    </w:p>
    <w:p w:rsidR="00A77B3E">
      <w:pPr>
        <w:pStyle w:val="18"/>
      </w:pPr>
      <w:r>
        <w:t>c)</w:t>
      </w:r>
      <w:r>
        <w:t>    zohledňuje doporučení a metodiky v oblasti kryptografických algoritmů vydané Národním úřadem pro kybernetickou a informační bezpečnost.</w:t>
      </w:r>
    </w:p>
    <w:p w:rsidR="00A77B3E">
      <w:pPr>
        <w:pStyle w:val="16"/>
      </w:pPr>
      <w:r>
        <w:t>(2)</w:t>
      </w:r>
      <w:r>
        <w:t>    Povinná osoba zajišťuje bezpečnou</w:t>
      </w:r>
    </w:p>
    <w:p w:rsidR="00A77B3E">
      <w:pPr>
        <w:pStyle w:val="17"/>
      </w:pPr>
      <w:r>
        <w:t>a)</w:t>
      </w:r>
      <w:r>
        <w:t>    hlasovou, audiovizuální a textovou komunikaci, a to včetně e-mailové komunikace, a</w:t>
      </w:r>
    </w:p>
    <w:p w:rsidR="00A77B3E">
      <w:pPr>
        <w:pStyle w:val="18"/>
      </w:pPr>
      <w:r>
        <w:t>b)</w:t>
      </w:r>
      <w:r>
        <w:t>    nouzovou komunikaci v rámci organizace.</w:t>
      </w:r>
    </w:p>
    <w:p w:rsidR="00A77B3E">
      <w:pPr>
        <w:pStyle w:val="7"/>
      </w:pPr>
      <w:r>
        <w:t>ČÁST TŘETÍ</w:t>
      </w:r>
    </w:p>
    <w:p w:rsidR="00A77B3E">
      <w:pPr>
        <w:pStyle w:val="8"/>
      </w:pPr>
      <w:r>
        <w:t>STANOVENÍ VÝZNAMNOSTI DOPADU KYBERNETICKÉHO BEZPEČNOSTNÍHO INCIDENTU</w:t>
      </w:r>
    </w:p>
    <w:p w:rsidR="00A77B3E">
      <w:pPr>
        <w:pStyle w:val="9"/>
      </w:pPr>
      <w:r>
        <w:t>§ 14</w:t>
      </w:r>
    </w:p>
    <w:p w:rsidR="00A77B3E">
      <w:pPr>
        <w:pStyle w:val="16"/>
      </w:pPr>
      <w:r>
        <w:t>(1)</w:t>
      </w:r>
      <w:r>
        <w:t>    Povinná osoba pro potřeby vyhodnocení významnosti dopadu kybernetického bezpečnostního incidentu na poskytování regulované služby stanoví</w:t>
      </w:r>
    </w:p>
    <w:p w:rsidR="00A77B3E">
      <w:pPr>
        <w:pStyle w:val="17"/>
      </w:pPr>
      <w:r>
        <w:t>a)</w:t>
      </w:r>
      <w:r>
        <w:t>    únosnou míru újmy způsobené kybernetickým bezpečnostním incidentem, v jehož důsledku ještě není ohrožen život nebo zdraví osob nebo schopnost povinné osoby dostát svým závazkům,</w:t>
      </w:r>
    </w:p>
    <w:p w:rsidR="00A77B3E">
      <w:pPr>
        <w:pStyle w:val="18"/>
      </w:pPr>
      <w:r>
        <w:t>b)</w:t>
      </w:r>
      <w:r>
        <w:t>    oblasti pro posouzení významnosti dopadu kybernetických bezpečnostních incidentů zohledňující zejména</w:t>
      </w:r>
    </w:p>
    <w:p w:rsidR="00A77B3E">
      <w:pPr>
        <w:pStyle w:val="20"/>
      </w:pPr>
      <w:r>
        <w:t>1.</w:t>
      </w:r>
      <w:r>
        <w:t>    provozní dopad kybernetického bezpečnostního incidentu na povinnou osobu a její schopnost poskytovat regulovanou službu,</w:t>
      </w:r>
    </w:p>
    <w:p w:rsidR="00A77B3E">
      <w:pPr>
        <w:pStyle w:val="21"/>
      </w:pPr>
      <w:r>
        <w:t>2.</w:t>
      </w:r>
      <w:r>
        <w:t>    množství uživatelů regulované služby a jiných orgánů a osob zasažených kybernetickým bezpečnostním incidentem,</w:t>
      </w:r>
    </w:p>
    <w:p w:rsidR="00A77B3E">
      <w:pPr>
        <w:pStyle w:val="21"/>
      </w:pPr>
      <w:r>
        <w:t>3.</w:t>
      </w:r>
      <w:r>
        <w:t>    časové, lidské a technické zdroje, které jsou potřebné k obnově poskytování zasažené regulované služby,</w:t>
      </w:r>
    </w:p>
    <w:p w:rsidR="00A77B3E">
      <w:pPr>
        <w:pStyle w:val="21"/>
      </w:pPr>
      <w:r>
        <w:t>4.</w:t>
      </w:r>
      <w:r>
        <w:t>    typ a umístění aktiv dotčených kybernetickým bezpečnostním incidentem,</w:t>
      </w:r>
    </w:p>
    <w:p w:rsidR="00A77B3E">
      <w:pPr>
        <w:pStyle w:val="21"/>
      </w:pPr>
      <w:r>
        <w:t>5.</w:t>
      </w:r>
      <w:r>
        <w:t>    citlivost informací a dat zasažených kybernetickým bezpečnostním incidentem a újmu, jakou může narušení bezpečnosti těchto informací a dat způsobit povinné osobě nebo jinému orgánu nebo osobě, a</w:t>
      </w:r>
    </w:p>
    <w:p w:rsidR="00A77B3E">
      <w:pPr>
        <w:pStyle w:val="22"/>
      </w:pPr>
      <w:r>
        <w:t>6.</w:t>
      </w:r>
      <w:r>
        <w:t>    přímou příčinu kybernetického bezpečnostního incidentu, je-li povinné osobě známo, zda se jedná o lidskou chybu, technickou závadu nebo úmyslné jednání.</w:t>
      </w:r>
    </w:p>
    <w:p w:rsidR="00A77B3E">
      <w:pPr>
        <w:pStyle w:val="16"/>
      </w:pPr>
      <w:r>
        <w:t>(2)</w:t>
      </w:r>
      <w:r>
        <w:t>    Dopad kybernetického bezpečnostního incidentu na poskytování regulované služby je považován za významný, pokud</w:t>
      </w:r>
    </w:p>
    <w:p w:rsidR="00A77B3E">
      <w:pPr>
        <w:pStyle w:val="17"/>
      </w:pPr>
      <w:r>
        <w:t>a)</w:t>
      </w:r>
      <w:r>
        <w:t>    přesáhne povinnou osobou stanovenou únosnou míru újmy způsobenou kybernetickým bezpečnostním incidentem podle odstavce 1 písm. a) a současně</w:t>
      </w:r>
    </w:p>
    <w:p w:rsidR="00A77B3E">
      <w:pPr>
        <w:pStyle w:val="18"/>
      </w:pPr>
      <w:r>
        <w:t>b)</w:t>
      </w:r>
      <w:r>
        <w:t>    je oblast pro posouzení významnosti dopadu podle odstavce 1 písm. b) posouzena jako významná.</w:t>
      </w:r>
    </w:p>
    <w:p w:rsidR="00A77B3E">
      <w:pPr>
        <w:pStyle w:val="7"/>
      </w:pPr>
      <w:r>
        <w:t>ČÁST ČTVRTÁ</w:t>
      </w:r>
    </w:p>
    <w:p w:rsidR="00A77B3E">
      <w:pPr>
        <w:pStyle w:val="8"/>
      </w:pPr>
      <w:r>
        <w:t>ÚČINNOST</w:t>
      </w:r>
    </w:p>
    <w:p w:rsidR="00A77B3E">
      <w:pPr>
        <w:pStyle w:val="9"/>
      </w:pPr>
      <w:r>
        <w:t>§ 15</w:t>
      </w:r>
    </w:p>
    <w:p w:rsidR="00A77B3E">
      <w:pPr>
        <w:pStyle w:val="10"/>
      </w:pPr>
      <w:r>
        <w:t>Účinnost</w:t>
      </w:r>
    </w:p>
    <w:p w:rsidR="00A77B3E">
      <w:pPr>
        <w:pStyle w:val="1"/>
      </w:pPr>
    </w:p>
    <w:p w:rsidR="00A77B3E">
      <w:pPr>
        <w:pStyle w:val="11"/>
      </w:pPr>
      <w:r>
        <w:t>Tato vyhláška nabývá účinnosti dnem 1. listopadu 2025.</w:t>
      </w:r>
    </w:p>
    <w:p w:rsidR="00A77B3E">
      <w:pPr>
        <w:pStyle w:val="1"/>
      </w:pPr>
    </w:p>
    <w:p w:rsidR="00A77B3E">
      <w:pPr>
        <w:pStyle w:val="31"/>
      </w:pPr>
      <w:r>
        <w:t>Ředitel:</w:t>
      </w:r>
    </w:p>
    <w:p w:rsidR="00A77B3E">
      <w:pPr>
        <w:pStyle w:val="32"/>
      </w:pPr>
      <w:r>
        <w:t>Ing. Kintr v. r.</w:t>
      </w:r>
    </w:p>
    <w:p w:rsidR="00A77B3E">
      <w:pPr>
        <w:pStyle w:val="1"/>
      </w:pPr>
    </w:p>
    <w:p w:rsidR="00A77B3E">
      <w:pPr>
        <w:pStyle w:val="1"/>
      </w:pPr>
    </w:p>
    <w:p w:rsidR="00A77B3E">
      <w:pPr>
        <w:pStyle w:val="33"/>
      </w:pPr>
      <w:r>
        <w:t>Příloha č. 1</w:t>
      </w:r>
    </w:p>
    <w:p w:rsidR="00A77B3E">
      <w:pPr>
        <w:pStyle w:val="34"/>
      </w:pPr>
      <w:r>
        <w:t>Přehled bezpečnostních opatření</w:t>
      </w:r>
    </w:p>
    <w:p w:rsidR="00A77B3E">
      <w:pPr>
        <w:pStyle w:val="11"/>
      </w:pPr>
      <w:r>
        <w:t>Tato příloha představuje přehled bezpečnostních opatření ve formě tabulky (Tab. č. 1), která má povinné osobě sloužit jako nástroj k vyhodnocení účinnosti zavedených bezpečnostních opatření za stanovené období.</w:t>
      </w:r>
    </w:p>
    <w:p w:rsidR="00A77B3E">
      <w:pPr>
        <w:pStyle w:val="34"/>
      </w:pPr>
      <w:r>
        <w:t>Tab. č. 1: Přehled bezpečnostních opatření</w:t>
      </w:r>
    </w:p>
    <w:tbl>
      <w:tblPr>
        <w:tblStyle w:val="data-tisk-na-sirkuPouzeNaPrvniStranezahlavi"/>
        <w:tblW w:w="11970" w:type="dxa"/>
        <w:tblInd w:w="17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5E0"/>
      </w:tblPr>
      <w:tblGrid>
        <w:gridCol w:w="1994"/>
        <w:gridCol w:w="1685"/>
        <w:gridCol w:w="1685"/>
        <w:gridCol w:w="2229"/>
        <w:gridCol w:w="2341"/>
        <w:gridCol w:w="1995"/>
      </w:tblGrid>
      <w:tr>
        <w:tblPrEx>
          <w:tblW w:w="11970" w:type="dxa"/>
          <w:tblInd w:w="172" w:type="dxa"/>
          <w:tblLook w:val="05E0"/>
        </w:tblPrEx>
        <w:trPr>
          <w:trHeight w:val="360"/>
          <w:tblHeader w:val="0"/>
        </w:trPr>
        <w:tc>
          <w:tcPr>
            <w:tcW w:w="4150" w:type="pct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noWrap w:val="0"/>
            <w:tcMar>
              <w:top w:w="85" w:type="dxa"/>
              <w:left w:w="157" w:type="dxa"/>
              <w:bottom w:w="85" w:type="dxa"/>
              <w:right w:w="157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Vyhodnocení účinnosti zajišťování kybernetické bezpečnosti</w:t>
            </w:r>
          </w:p>
        </w:tc>
        <w:tc>
          <w:tcPr>
            <w:tcW w:w="850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noWrap w:val="0"/>
            <w:tcMar>
              <w:top w:w="85" w:type="dxa"/>
              <w:left w:w="157" w:type="dxa"/>
              <w:bottom w:w="85" w:type="dxa"/>
              <w:right w:w="157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>
        <w:tblPrEx>
          <w:tblW w:w="11970" w:type="dxa"/>
          <w:tblInd w:w="172" w:type="dxa"/>
          <w:tblLook w:val="05E0"/>
        </w:tblPrEx>
        <w:trPr>
          <w:trHeight w:val="360"/>
          <w:tblHeader w:val="0"/>
        </w:trPr>
        <w:tc>
          <w:tcPr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noWrap w:val="0"/>
            <w:tcMar>
              <w:top w:w="85" w:type="dxa"/>
              <w:left w:w="157" w:type="dxa"/>
              <w:bottom w:w="85" w:type="dxa"/>
              <w:right w:w="157" w:type="dxa"/>
            </w:tcMar>
            <w:vAlign w:val="bottom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Bezpečnostní opatření podle vyhlášky</w:t>
            </w:r>
          </w:p>
        </w:tc>
        <w:tc>
          <w:tcPr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noWrap w:val="0"/>
            <w:tcMar>
              <w:top w:w="85" w:type="dxa"/>
              <w:left w:w="157" w:type="dxa"/>
              <w:bottom w:w="85" w:type="dxa"/>
              <w:right w:w="157" w:type="dxa"/>
            </w:tcMar>
            <w:vAlign w:val="bottom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Stav bezpečnostního opatření</w:t>
            </w:r>
          </w:p>
        </w:tc>
        <w:tc>
          <w:tcPr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noWrap w:val="0"/>
            <w:tcMar>
              <w:top w:w="85" w:type="dxa"/>
              <w:left w:w="157" w:type="dxa"/>
              <w:bottom w:w="85" w:type="dxa"/>
              <w:right w:w="157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Popis bezpečnostního opatření</w:t>
            </w:r>
          </w:p>
        </w:tc>
        <w:tc>
          <w:tcPr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noWrap w:val="0"/>
            <w:tcMar>
              <w:top w:w="85" w:type="dxa"/>
              <w:left w:w="157" w:type="dxa"/>
              <w:bottom w:w="85" w:type="dxa"/>
              <w:right w:w="157" w:type="dxa"/>
            </w:tcMar>
            <w:vAlign w:val="bottom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Termín zavedení bezpečnostního opatření</w:t>
            </w:r>
          </w:p>
        </w:tc>
        <w:tc>
          <w:tcPr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noWrap w:val="0"/>
            <w:tcMar>
              <w:top w:w="85" w:type="dxa"/>
              <w:left w:w="157" w:type="dxa"/>
              <w:bottom w:w="85" w:type="dxa"/>
              <w:right w:w="157" w:type="dxa"/>
            </w:tcMar>
            <w:vAlign w:val="bottom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Priorita zavedení bezpečnostního opatření</w:t>
            </w:r>
          </w:p>
        </w:tc>
        <w:tc>
          <w:tcPr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noWrap w:val="0"/>
            <w:tcMar>
              <w:top w:w="85" w:type="dxa"/>
              <w:left w:w="157" w:type="dxa"/>
              <w:bottom w:w="85" w:type="dxa"/>
              <w:right w:w="157" w:type="dxa"/>
            </w:tcMar>
            <w:vAlign w:val="bottom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Odpovědnost za bezpečnostní opatření</w:t>
            </w:r>
          </w:p>
        </w:tc>
      </w:tr>
      <w:tr>
        <w:tblPrEx>
          <w:tblW w:w="11970" w:type="dxa"/>
          <w:tblInd w:w="172" w:type="dxa"/>
          <w:tblLook w:val="05E0"/>
        </w:tblPrEx>
        <w:trPr>
          <w:trHeight w:val="360"/>
          <w:tblHeader w:val="0"/>
        </w:trPr>
        <w:tc>
          <w:tcPr>
            <w:tcBorders>
              <w:top w:val="single" w:sz="3" w:space="0" w:color="000000"/>
              <w:bottom w:val="single" w:sz="3" w:space="0" w:color="000000"/>
              <w:right w:val="single" w:sz="3" w:space="0" w:color="000000"/>
            </w:tcBorders>
            <w:noWrap w:val="0"/>
            <w:tcMar>
              <w:top w:w="85" w:type="dxa"/>
              <w:left w:w="152" w:type="dxa"/>
              <w:bottom w:w="85" w:type="dxa"/>
              <w:right w:w="146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46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46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46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46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sz="3" w:space="0" w:color="000000"/>
              <w:left w:val="single" w:sz="3" w:space="0" w:color="000000"/>
              <w:bottom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52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>
        <w:tblPrEx>
          <w:tblW w:w="11970" w:type="dxa"/>
          <w:tblInd w:w="172" w:type="dxa"/>
          <w:tblLook w:val="05E0"/>
        </w:tblPrEx>
        <w:trPr>
          <w:trHeight w:val="360"/>
          <w:tblHeader w:val="0"/>
        </w:trPr>
        <w:tc>
          <w:tcPr>
            <w:tcBorders>
              <w:top w:val="single" w:sz="3" w:space="0" w:color="000000"/>
              <w:bottom w:val="single" w:sz="3" w:space="0" w:color="000000"/>
              <w:right w:val="single" w:sz="3" w:space="0" w:color="000000"/>
            </w:tcBorders>
            <w:noWrap w:val="0"/>
            <w:tcMar>
              <w:top w:w="85" w:type="dxa"/>
              <w:left w:w="152" w:type="dxa"/>
              <w:bottom w:w="85" w:type="dxa"/>
              <w:right w:w="146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46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46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46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46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sz="3" w:space="0" w:color="000000"/>
              <w:left w:val="single" w:sz="3" w:space="0" w:color="000000"/>
              <w:bottom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52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>
        <w:tblPrEx>
          <w:tblW w:w="11970" w:type="dxa"/>
          <w:tblInd w:w="172" w:type="dxa"/>
          <w:tblLook w:val="05E0"/>
        </w:tblPrEx>
        <w:trPr>
          <w:trHeight w:val="360"/>
          <w:tblHeader w:val="0"/>
        </w:trPr>
        <w:tc>
          <w:tcPr>
            <w:tcBorders>
              <w:top w:val="single" w:sz="3" w:space="0" w:color="000000"/>
              <w:bottom w:val="single" w:sz="3" w:space="0" w:color="000000"/>
              <w:right w:val="single" w:sz="3" w:space="0" w:color="000000"/>
            </w:tcBorders>
            <w:noWrap w:val="0"/>
            <w:tcMar>
              <w:top w:w="85" w:type="dxa"/>
              <w:left w:w="152" w:type="dxa"/>
              <w:bottom w:w="85" w:type="dxa"/>
              <w:right w:w="146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46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46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46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46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sz="3" w:space="0" w:color="000000"/>
              <w:left w:val="single" w:sz="3" w:space="0" w:color="000000"/>
              <w:bottom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52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>
        <w:tblPrEx>
          <w:tblW w:w="11970" w:type="dxa"/>
          <w:tblInd w:w="172" w:type="dxa"/>
          <w:tblLook w:val="05E0"/>
        </w:tblPrEx>
        <w:trPr>
          <w:trHeight w:val="360"/>
          <w:tblHeader w:val="0"/>
        </w:trPr>
        <w:tc>
          <w:tcPr>
            <w:tcBorders>
              <w:top w:val="single" w:sz="3" w:space="0" w:color="000000"/>
              <w:bottom w:val="single" w:sz="3" w:space="0" w:color="000000"/>
              <w:right w:val="single" w:sz="3" w:space="0" w:color="000000"/>
            </w:tcBorders>
            <w:noWrap w:val="0"/>
            <w:tcMar>
              <w:top w:w="85" w:type="dxa"/>
              <w:left w:w="152" w:type="dxa"/>
              <w:bottom w:w="85" w:type="dxa"/>
              <w:right w:w="146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46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46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46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46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sz="3" w:space="0" w:color="000000"/>
              <w:left w:val="single" w:sz="3" w:space="0" w:color="000000"/>
              <w:bottom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52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>
        <w:tblPrEx>
          <w:tblW w:w="11970" w:type="dxa"/>
          <w:tblInd w:w="172" w:type="dxa"/>
          <w:tblLook w:val="05E0"/>
        </w:tblPrEx>
        <w:trPr>
          <w:trHeight w:val="360"/>
          <w:tblHeader w:val="0"/>
        </w:trPr>
        <w:tc>
          <w:tcPr>
            <w:tcBorders>
              <w:top w:val="single" w:sz="3" w:space="0" w:color="000000"/>
              <w:bottom w:val="single" w:sz="16" w:space="0" w:color="000000"/>
              <w:right w:val="single" w:sz="3" w:space="0" w:color="000000"/>
            </w:tcBorders>
            <w:noWrap w:val="0"/>
            <w:tcMar>
              <w:top w:w="85" w:type="dxa"/>
              <w:left w:w="152" w:type="dxa"/>
              <w:bottom w:w="85" w:type="dxa"/>
              <w:right w:w="146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sz="3" w:space="0" w:color="000000"/>
              <w:left w:val="single" w:sz="3" w:space="0" w:color="000000"/>
              <w:bottom w:val="single" w:sz="16" w:space="0" w:color="000000"/>
              <w:right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46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sz="3" w:space="0" w:color="000000"/>
              <w:left w:val="single" w:sz="3" w:space="0" w:color="000000"/>
              <w:bottom w:val="single" w:sz="16" w:space="0" w:color="000000"/>
              <w:right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46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sz="3" w:space="0" w:color="000000"/>
              <w:left w:val="single" w:sz="3" w:space="0" w:color="000000"/>
              <w:bottom w:val="single" w:sz="16" w:space="0" w:color="000000"/>
              <w:right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46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sz="3" w:space="0" w:color="000000"/>
              <w:left w:val="single" w:sz="3" w:space="0" w:color="000000"/>
              <w:bottom w:val="single" w:sz="16" w:space="0" w:color="000000"/>
              <w:right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46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sz="3" w:space="0" w:color="000000"/>
              <w:left w:val="single" w:sz="3" w:space="0" w:color="000000"/>
              <w:bottom w:val="single" w:sz="16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52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A77B3E"/>
    <w:p w:rsidR="00A77B3E">
      <w:pPr>
        <w:pStyle w:val="11"/>
      </w:pPr>
      <w:r>
        <w:t>Přehled bezpečnostních opatření je složen ze šesti sloupců, kdy specifika jednotlivých sloupců a příklady jejich vyplnění jsou uvedeny v tabulkách níže (Tab. č. 2 až 7). V Tabulce č. 3 „Stav bezpečnostního opatření“ jsou místo příkladů uvedeny „Přípustné hodnoty“.</w:t>
      </w:r>
    </w:p>
    <w:p w:rsidR="00A77B3E">
      <w:pPr>
        <w:pStyle w:val="34"/>
      </w:pPr>
      <w:r>
        <w:t>Tab. č. 2: Bezpečnostní opatření podle vyhlášky</w:t>
      </w:r>
    </w:p>
    <w:tbl>
      <w:tblPr>
        <w:tblStyle w:val="data-tisk-na-sirkuPouzeNaPrvniStranezahlavi"/>
        <w:tblW w:w="11992" w:type="dxa"/>
        <w:tblInd w:w="150" w:type="dxa"/>
        <w:tblCellMar>
          <w:top w:w="15" w:type="dxa"/>
          <w:left w:w="15" w:type="dxa"/>
          <w:bottom w:w="15" w:type="dxa"/>
          <w:right w:w="15" w:type="dxa"/>
        </w:tblCellMar>
        <w:tblLook w:val="05E0"/>
      </w:tblPr>
      <w:tblGrid>
        <w:gridCol w:w="3118"/>
        <w:gridCol w:w="8874"/>
      </w:tblGrid>
      <w:tr>
        <w:tblPrEx>
          <w:tblW w:w="11992" w:type="dxa"/>
          <w:tblInd w:w="150" w:type="dxa"/>
          <w:tblLook w:val="05E0"/>
        </w:tblPrEx>
        <w:trPr>
          <w:trHeight w:val="360"/>
          <w:tblHeader w:val="0"/>
        </w:trPr>
        <w:tc>
          <w:tcPr>
            <w:tcW w:w="1300" w:type="pct"/>
            <w:tcBorders>
              <w:top w:val="single" w:sz="8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46" w:type="dxa"/>
            </w:tcMar>
            <w:vAlign w:val="bottom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Název sloupce v Tab. č. 1</w:t>
            </w:r>
          </w:p>
        </w:tc>
        <w:tc>
          <w:tcPr>
            <w:tcW w:w="3700" w:type="pct"/>
            <w:tcBorders>
              <w:top w:val="single" w:sz="8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46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Bezpečnostní opatření podle vyhlášky.</w:t>
            </w:r>
          </w:p>
        </w:tc>
      </w:tr>
      <w:tr>
        <w:tblPrEx>
          <w:tblW w:w="11992" w:type="dxa"/>
          <w:tblInd w:w="150" w:type="dxa"/>
          <w:tblLook w:val="05E0"/>
        </w:tblPrEx>
        <w:trPr>
          <w:trHeight w:val="360"/>
          <w:tblHeader w:val="0"/>
        </w:trPr>
        <w:tc>
          <w:tcPr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46" w:type="dxa"/>
            </w:tcMar>
            <w:vAlign w:val="center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Popis sloupce</w:t>
            </w:r>
          </w:p>
        </w:tc>
        <w:tc>
          <w:tcPr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46" w:type="dxa"/>
            </w:tcMar>
            <w:vAlign w:val="center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Příslušné bezpečnostní opatření požadované vyhláškou uvedené například formou odkazu na dotčené ustanovení vyhlášky.</w:t>
            </w:r>
          </w:p>
        </w:tc>
      </w:tr>
      <w:tr>
        <w:tblPrEx>
          <w:tblW w:w="11992" w:type="dxa"/>
          <w:tblInd w:w="150" w:type="dxa"/>
          <w:tblLook w:val="05E0"/>
        </w:tblPrEx>
        <w:trPr>
          <w:trHeight w:val="360"/>
          <w:tblHeader w:val="0"/>
        </w:trPr>
        <w:tc>
          <w:tcPr>
            <w:tcBorders>
              <w:top w:val="single" w:sz="3" w:space="0" w:color="000000"/>
              <w:left w:val="single" w:sz="3" w:space="0" w:color="000000"/>
              <w:bottom w:val="single" w:sz="16" w:space="0" w:color="000000"/>
              <w:right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46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Popis hodnot</w:t>
            </w:r>
          </w:p>
        </w:tc>
        <w:tc>
          <w:tcPr>
            <w:tcBorders>
              <w:top w:val="single" w:sz="3" w:space="0" w:color="000000"/>
              <w:left w:val="single" w:sz="3" w:space="0" w:color="000000"/>
              <w:bottom w:val="single" w:sz="16" w:space="0" w:color="000000"/>
              <w:right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46" w:type="dxa"/>
            </w:tcMar>
            <w:vAlign w:val="bottom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Uvedené hodnoty musí odkazovat na konkrétní ustanovení právního předpisu, přičemž je doporučeno, aby byly jednotlivé části uvedeny v logické návaznosti.</w:t>
            </w:r>
          </w:p>
        </w:tc>
      </w:tr>
    </w:tbl>
    <w:p w:rsidR="00A77B3E">
      <w:pPr>
        <w:pStyle w:val="11"/>
      </w:pPr>
    </w:p>
    <w:p w:rsidR="00A77B3E">
      <w:pPr>
        <w:pStyle w:val="34"/>
      </w:pPr>
      <w:r>
        <w:t>Tab. č. 3: Stav bezpečnostního opatření</w:t>
      </w:r>
    </w:p>
    <w:tbl>
      <w:tblPr>
        <w:tblStyle w:val="data-tisk-na-sirkuPouzeNaPrvniStranezahlavi"/>
        <w:tblW w:w="11992" w:type="dxa"/>
        <w:tblInd w:w="150" w:type="dxa"/>
        <w:tblCellMar>
          <w:top w:w="15" w:type="dxa"/>
          <w:left w:w="15" w:type="dxa"/>
          <w:bottom w:w="15" w:type="dxa"/>
          <w:right w:w="15" w:type="dxa"/>
        </w:tblCellMar>
        <w:tblLook w:val="05E0"/>
      </w:tblPr>
      <w:tblGrid>
        <w:gridCol w:w="3118"/>
        <w:gridCol w:w="8874"/>
      </w:tblGrid>
      <w:tr>
        <w:tblPrEx>
          <w:tblW w:w="11992" w:type="dxa"/>
          <w:tblInd w:w="150" w:type="dxa"/>
          <w:tblLook w:val="05E0"/>
        </w:tblPrEx>
        <w:trPr>
          <w:trHeight w:val="360"/>
          <w:tblHeader w:val="0"/>
        </w:trPr>
        <w:tc>
          <w:tcPr>
            <w:tcW w:w="1300" w:type="pct"/>
            <w:tcBorders>
              <w:top w:val="single" w:sz="8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46" w:type="dxa"/>
            </w:tcMar>
            <w:vAlign w:val="bottom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Název sloupce v 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Tab. č. 1</w:t>
            </w:r>
          </w:p>
        </w:tc>
        <w:tc>
          <w:tcPr>
            <w:tcW w:w="3700" w:type="pct"/>
            <w:tcBorders>
              <w:top w:val="single" w:sz="8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46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Stav bezpečnostního opatření.</w:t>
            </w:r>
          </w:p>
        </w:tc>
      </w:tr>
      <w:tr>
        <w:tblPrEx>
          <w:tblW w:w="11992" w:type="dxa"/>
          <w:tblInd w:w="150" w:type="dxa"/>
          <w:tblLook w:val="05E0"/>
        </w:tblPrEx>
        <w:trPr>
          <w:trHeight w:val="360"/>
          <w:tblHeader w:val="0"/>
        </w:trPr>
        <w:tc>
          <w:tcPr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46" w:type="dxa"/>
            </w:tcMar>
            <w:vAlign w:val="center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Popis sloupce</w:t>
            </w:r>
          </w:p>
        </w:tc>
        <w:tc>
          <w:tcPr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46" w:type="dxa"/>
            </w:tcMar>
            <w:vAlign w:val="center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Popis stavu bezpečnostního opatření ve chvíli, kdy je provedeno vyhodnocení účinnosti zajišťování kybernetické bezpečnosti.</w:t>
            </w:r>
          </w:p>
        </w:tc>
      </w:tr>
      <w:tr>
        <w:tblPrEx>
          <w:tblW w:w="11992" w:type="dxa"/>
          <w:tblInd w:w="150" w:type="dxa"/>
          <w:tblLook w:val="05E0"/>
        </w:tblPrEx>
        <w:trPr>
          <w:trHeight w:val="360"/>
          <w:tblHeader w:val="0"/>
        </w:trPr>
        <w:tc>
          <w:tcPr>
            <w:tcBorders>
              <w:top w:val="single" w:sz="3" w:space="0" w:color="000000"/>
              <w:left w:val="single" w:sz="3" w:space="0" w:color="000000"/>
              <w:bottom w:val="single" w:sz="16" w:space="0" w:color="000000"/>
              <w:right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46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Popis hodnot</w:t>
            </w:r>
          </w:p>
        </w:tc>
        <w:tc>
          <w:tcPr>
            <w:tcBorders>
              <w:top w:val="single" w:sz="3" w:space="0" w:color="000000"/>
              <w:left w:val="single" w:sz="3" w:space="0" w:color="000000"/>
              <w:bottom w:val="single" w:sz="16" w:space="0" w:color="000000"/>
              <w:right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46" w:type="dxa"/>
            </w:tcMar>
            <w:vAlign w:val="bottom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Tento sloupec bude obsahovat právě jednu z přípustných hodnot „Zavedeno“, „V procesu“ nebo „Nezavedeno“.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Hodnotu „Zavedeno“ lze zapsat v případě, kdy bylo bezpečnostní opatření v hodnoceném období zavedeno v požadovaném rozsahu.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Hodnotu „V procesu“ lze zapsat v případě, kdy je bezpečnostní opatření (nebo jeho část) v hodnoceném období zaváděno, popřípadě jsou činěny doložitelné kroky k jeho zavedení (například výběrové řízení, smlouva, testovací provoz atd.)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Hodnotu „Nezavedeno“ lze zapsat pouze v případě, kdy opatření zavedeno nebylo.</w:t>
            </w:r>
          </w:p>
        </w:tc>
      </w:tr>
    </w:tbl>
    <w:p w:rsidR="00A77B3E">
      <w:pPr>
        <w:pStyle w:val="11"/>
      </w:pPr>
    </w:p>
    <w:p w:rsidR="00A77B3E">
      <w:pPr>
        <w:pStyle w:val="34"/>
      </w:pPr>
      <w:r>
        <w:t>Tab. č. 4: Popis bezpečnostního opatření</w:t>
      </w:r>
    </w:p>
    <w:tbl>
      <w:tblPr>
        <w:tblStyle w:val="data-tisk-na-sirkuPouzeNaPrvniStranezahlavi"/>
        <w:tblW w:w="11992" w:type="dxa"/>
        <w:tblInd w:w="150" w:type="dxa"/>
        <w:tblCellMar>
          <w:top w:w="15" w:type="dxa"/>
          <w:left w:w="15" w:type="dxa"/>
          <w:bottom w:w="15" w:type="dxa"/>
          <w:right w:w="15" w:type="dxa"/>
        </w:tblCellMar>
        <w:tblLook w:val="05E0"/>
      </w:tblPr>
      <w:tblGrid>
        <w:gridCol w:w="3118"/>
        <w:gridCol w:w="8874"/>
      </w:tblGrid>
      <w:tr>
        <w:tblPrEx>
          <w:tblW w:w="11992" w:type="dxa"/>
          <w:tblInd w:w="150" w:type="dxa"/>
          <w:tblLook w:val="05E0"/>
        </w:tblPrEx>
        <w:trPr>
          <w:trHeight w:val="360"/>
          <w:tblHeader w:val="0"/>
        </w:trPr>
        <w:tc>
          <w:tcPr>
            <w:tcW w:w="1300" w:type="pct"/>
            <w:tcBorders>
              <w:top w:val="single" w:sz="8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46" w:type="dxa"/>
            </w:tcMar>
            <w:vAlign w:val="bottom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Název sloupce v 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Tab. č. 1</w:t>
            </w:r>
          </w:p>
        </w:tc>
        <w:tc>
          <w:tcPr>
            <w:tcW w:w="3700" w:type="pct"/>
            <w:tcBorders>
              <w:top w:val="single" w:sz="8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46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Popis bezpečnostního opatření.</w:t>
            </w:r>
          </w:p>
        </w:tc>
      </w:tr>
      <w:tr>
        <w:tblPrEx>
          <w:tblW w:w="11992" w:type="dxa"/>
          <w:tblInd w:w="150" w:type="dxa"/>
          <w:tblLook w:val="05E0"/>
        </w:tblPrEx>
        <w:trPr>
          <w:trHeight w:val="360"/>
          <w:tblHeader w:val="0"/>
        </w:trPr>
        <w:tc>
          <w:tcPr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46" w:type="dxa"/>
            </w:tcMar>
            <w:vAlign w:val="center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Popis sloupce</w:t>
            </w:r>
          </w:p>
        </w:tc>
        <w:tc>
          <w:tcPr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46" w:type="dxa"/>
            </w:tcMar>
            <w:vAlign w:val="center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Stručný popis zavedení bezpečnostního opatření v návaznosti na stav, v jakém se aktuálně nachází, a s přihlédnutím k prostředí povinné osoby.</w:t>
            </w:r>
          </w:p>
        </w:tc>
      </w:tr>
      <w:tr>
        <w:tblPrEx>
          <w:tblW w:w="11992" w:type="dxa"/>
          <w:tblInd w:w="150" w:type="dxa"/>
          <w:tblLook w:val="05E0"/>
        </w:tblPrEx>
        <w:trPr>
          <w:trHeight w:val="360"/>
          <w:tblHeader w:val="0"/>
        </w:trPr>
        <w:tc>
          <w:tcPr>
            <w:tcBorders>
              <w:top w:val="single" w:sz="3" w:space="0" w:color="000000"/>
              <w:left w:val="single" w:sz="3" w:space="0" w:color="000000"/>
              <w:bottom w:val="single" w:sz="16" w:space="0" w:color="000000"/>
              <w:right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46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Popis hodnot</w:t>
            </w:r>
          </w:p>
        </w:tc>
        <w:tc>
          <w:tcPr>
            <w:tcBorders>
              <w:top w:val="single" w:sz="3" w:space="0" w:color="000000"/>
              <w:left w:val="single" w:sz="3" w:space="0" w:color="000000"/>
              <w:bottom w:val="single" w:sz="16" w:space="0" w:color="000000"/>
              <w:right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46" w:type="dxa"/>
            </w:tcMar>
            <w:vAlign w:val="bottom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Popis jednotlivých bezpečnostních opatření by měl stručně reflektovat situaci u povinné osoby (například podle názvů příslušných částí bezpečnostní dokumentace) a stav bezpečnostního opatření podle Tab. č. 2.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 případě bezpečnostních opatření, která jsou označena jako „V procesu“ je nutné popsat prozatímní stav, případně uvést odkaz na dokumentaci, která proces zavádění dokládá.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Pokud je bezpečnostní opatření označeno jako „Nezavedeno“, je nutné odůvodnit, proč zavedeno nebylo.</w:t>
            </w:r>
          </w:p>
        </w:tc>
      </w:tr>
    </w:tbl>
    <w:p w:rsidR="00A77B3E">
      <w:pPr>
        <w:pStyle w:val="11"/>
      </w:pPr>
    </w:p>
    <w:p w:rsidR="00A77B3E">
      <w:pPr>
        <w:pStyle w:val="34"/>
      </w:pPr>
      <w:r>
        <w:t>Tab. č. 5: Termín zavedení bezpečnostního opatření</w:t>
      </w:r>
    </w:p>
    <w:tbl>
      <w:tblPr>
        <w:tblStyle w:val="data-tisk-na-sirkuPouzeNaPrvniStranezahlavi"/>
        <w:tblW w:w="11992" w:type="dxa"/>
        <w:tblInd w:w="150" w:type="dxa"/>
        <w:tblCellMar>
          <w:top w:w="15" w:type="dxa"/>
          <w:left w:w="15" w:type="dxa"/>
          <w:bottom w:w="15" w:type="dxa"/>
          <w:right w:w="15" w:type="dxa"/>
        </w:tblCellMar>
        <w:tblLook w:val="05E0"/>
      </w:tblPr>
      <w:tblGrid>
        <w:gridCol w:w="3118"/>
        <w:gridCol w:w="8874"/>
      </w:tblGrid>
      <w:tr>
        <w:tblPrEx>
          <w:tblW w:w="11992" w:type="dxa"/>
          <w:tblInd w:w="150" w:type="dxa"/>
          <w:tblLook w:val="05E0"/>
        </w:tblPrEx>
        <w:trPr>
          <w:trHeight w:val="360"/>
          <w:tblHeader w:val="0"/>
        </w:trPr>
        <w:tc>
          <w:tcPr>
            <w:tcW w:w="1300" w:type="pct"/>
            <w:tcBorders>
              <w:top w:val="single" w:sz="8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46" w:type="dxa"/>
            </w:tcMar>
            <w:vAlign w:val="bottom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Název sloupce v 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Tab. č. 1</w:t>
            </w:r>
          </w:p>
        </w:tc>
        <w:tc>
          <w:tcPr>
            <w:tcW w:w="3700" w:type="pct"/>
            <w:tcBorders>
              <w:top w:val="single" w:sz="8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46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Termín zavedení bezpečnostního opatření.</w:t>
            </w:r>
          </w:p>
        </w:tc>
      </w:tr>
      <w:tr>
        <w:tblPrEx>
          <w:tblW w:w="11992" w:type="dxa"/>
          <w:tblInd w:w="150" w:type="dxa"/>
          <w:tblLook w:val="05E0"/>
        </w:tblPrEx>
        <w:trPr>
          <w:trHeight w:val="360"/>
          <w:tblHeader w:val="0"/>
        </w:trPr>
        <w:tc>
          <w:tcPr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46" w:type="dxa"/>
            </w:tcMar>
            <w:vAlign w:val="center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Popis sloupce</w:t>
            </w:r>
          </w:p>
        </w:tc>
        <w:tc>
          <w:tcPr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46" w:type="dxa"/>
            </w:tcMar>
            <w:vAlign w:val="center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Plánovaný termín zavedení bezpečnostního opatření v plném rozsahu.</w:t>
            </w:r>
          </w:p>
        </w:tc>
      </w:tr>
      <w:tr>
        <w:tblPrEx>
          <w:tblW w:w="11992" w:type="dxa"/>
          <w:tblInd w:w="150" w:type="dxa"/>
          <w:tblLook w:val="05E0"/>
        </w:tblPrEx>
        <w:trPr>
          <w:trHeight w:val="360"/>
          <w:tblHeader w:val="0"/>
        </w:trPr>
        <w:tc>
          <w:tcPr>
            <w:tcBorders>
              <w:top w:val="single" w:sz="3" w:space="0" w:color="000000"/>
              <w:left w:val="single" w:sz="3" w:space="0" w:color="000000"/>
              <w:bottom w:val="single" w:sz="16" w:space="0" w:color="000000"/>
              <w:right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46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Popis hodnot</w:t>
            </w:r>
          </w:p>
        </w:tc>
        <w:tc>
          <w:tcPr>
            <w:tcBorders>
              <w:top w:val="single" w:sz="3" w:space="0" w:color="000000"/>
              <w:left w:val="single" w:sz="3" w:space="0" w:color="000000"/>
              <w:bottom w:val="single" w:sz="16" w:space="0" w:color="000000"/>
              <w:right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46" w:type="dxa"/>
            </w:tcMar>
            <w:vAlign w:val="bottom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Tato hodnota bude vyplněna pouze v případě, je-li stav bezpečnostního opatření označen jako „V procesu“ nebo „Nezavedeno“, ale jeho zavedení je v budoucnu plánováno nebo závisí na dalších okolnostech. Měla by být uvedena buď konkrétním datem nebo kvartálem či měsícem konkrétního roku.</w:t>
            </w:r>
          </w:p>
        </w:tc>
      </w:tr>
    </w:tbl>
    <w:p w:rsidR="00A77B3E">
      <w:pPr>
        <w:pStyle w:val="11"/>
      </w:pPr>
    </w:p>
    <w:p w:rsidR="00A77B3E">
      <w:pPr>
        <w:pStyle w:val="34"/>
      </w:pPr>
      <w:r>
        <w:t>Tab. č. 6: Priorita zavedení bezpečnostního opatření</w:t>
      </w:r>
    </w:p>
    <w:tbl>
      <w:tblPr>
        <w:tblStyle w:val="data-tisk-na-sirkuPouzeNaPrvniStranezahlavi"/>
        <w:tblW w:w="11992" w:type="dxa"/>
        <w:tblInd w:w="150" w:type="dxa"/>
        <w:tblCellMar>
          <w:top w:w="15" w:type="dxa"/>
          <w:left w:w="15" w:type="dxa"/>
          <w:bottom w:w="15" w:type="dxa"/>
          <w:right w:w="15" w:type="dxa"/>
        </w:tblCellMar>
        <w:tblLook w:val="05E0"/>
      </w:tblPr>
      <w:tblGrid>
        <w:gridCol w:w="3118"/>
        <w:gridCol w:w="8874"/>
      </w:tblGrid>
      <w:tr>
        <w:tblPrEx>
          <w:tblW w:w="11992" w:type="dxa"/>
          <w:tblInd w:w="150" w:type="dxa"/>
          <w:tblLook w:val="05E0"/>
        </w:tblPrEx>
        <w:trPr>
          <w:trHeight w:val="360"/>
          <w:tblHeader w:val="0"/>
        </w:trPr>
        <w:tc>
          <w:tcPr>
            <w:tcW w:w="1300" w:type="pct"/>
            <w:tcBorders>
              <w:top w:val="single" w:sz="8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46" w:type="dxa"/>
            </w:tcMar>
            <w:vAlign w:val="bottom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Název sloupce v 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Tab. č. 1</w:t>
            </w:r>
          </w:p>
        </w:tc>
        <w:tc>
          <w:tcPr>
            <w:tcW w:w="3700" w:type="pct"/>
            <w:tcBorders>
              <w:top w:val="single" w:sz="8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46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Priorita zavedení bezpečnostního opatření.</w:t>
            </w:r>
          </w:p>
        </w:tc>
      </w:tr>
      <w:tr>
        <w:tblPrEx>
          <w:tblW w:w="11992" w:type="dxa"/>
          <w:tblInd w:w="150" w:type="dxa"/>
          <w:tblLook w:val="05E0"/>
        </w:tblPrEx>
        <w:trPr>
          <w:trHeight w:val="360"/>
          <w:tblHeader w:val="0"/>
        </w:trPr>
        <w:tc>
          <w:tcPr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46" w:type="dxa"/>
            </w:tcMar>
            <w:vAlign w:val="center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Popis sloupce</w:t>
            </w:r>
          </w:p>
        </w:tc>
        <w:tc>
          <w:tcPr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46" w:type="dxa"/>
            </w:tcMar>
            <w:vAlign w:val="center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Prioritizace zavádění bezpečnostních opatření s ohledem na dopad na poskytování regulované služby.</w:t>
            </w:r>
          </w:p>
        </w:tc>
      </w:tr>
      <w:tr>
        <w:tblPrEx>
          <w:tblW w:w="11992" w:type="dxa"/>
          <w:tblInd w:w="150" w:type="dxa"/>
          <w:tblLook w:val="05E0"/>
        </w:tblPrEx>
        <w:trPr>
          <w:trHeight w:val="360"/>
          <w:tblHeader w:val="0"/>
        </w:trPr>
        <w:tc>
          <w:tcPr>
            <w:tcBorders>
              <w:top w:val="single" w:sz="3" w:space="0" w:color="000000"/>
              <w:left w:val="single" w:sz="3" w:space="0" w:color="000000"/>
              <w:bottom w:val="single" w:sz="16" w:space="0" w:color="000000"/>
              <w:right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46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Popis hodnot</w:t>
            </w:r>
          </w:p>
        </w:tc>
        <w:tc>
          <w:tcPr>
            <w:tcBorders>
              <w:top w:val="single" w:sz="3" w:space="0" w:color="000000"/>
              <w:left w:val="single" w:sz="3" w:space="0" w:color="000000"/>
              <w:bottom w:val="single" w:sz="16" w:space="0" w:color="000000"/>
              <w:right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46" w:type="dxa"/>
            </w:tcMar>
            <w:vAlign w:val="bottom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Hodnotu „nízká“ nebo „1“ je možné zapsat v případě, kdy by absence zavedení bezpečnostního opatření neměla dopad na poskytování regulované služby nebo dané bezpečnostní opatření není pro poskytování regulované služby relevantní.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Hodnotu „střední“ nebo „2“ je možné zapsat v případě, kdy by absence zavedení bezpečnostního opatření měla minimální a krátkodobý dopad na poskytování regulované služby.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Hodnotu „vysoká“ nebo „3“ je možné zapsat v případě, kdy by absence zavedení bezpečnostního opatření měla za následek vážný a dlouhodobý dopad na poskytování regulované služby.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Hodnotu „kritická“ nebo „4“ je možné zapsat v případě, kdy by absence zavedení bezpečnostního opatření měla okamžité a nevratné důsledky pro poskytování regulované služby nebo jsou známy úspěšné pokusy o překonání bezpečnostních opatření.</w:t>
            </w:r>
          </w:p>
        </w:tc>
      </w:tr>
    </w:tbl>
    <w:p w:rsidR="00A77B3E">
      <w:pPr>
        <w:pStyle w:val="11"/>
      </w:pPr>
    </w:p>
    <w:p w:rsidR="00A77B3E">
      <w:pPr>
        <w:pStyle w:val="34"/>
      </w:pPr>
      <w:r>
        <w:t>Tab. č. 7: Odpovědnost za bezpečnostní opatření</w:t>
      </w:r>
    </w:p>
    <w:tbl>
      <w:tblPr>
        <w:tblStyle w:val="data-tisk-na-sirkuPouzeNaPrvniStranezahlavi"/>
        <w:tblW w:w="11992" w:type="dxa"/>
        <w:tblInd w:w="150" w:type="dxa"/>
        <w:tblCellMar>
          <w:top w:w="15" w:type="dxa"/>
          <w:left w:w="15" w:type="dxa"/>
          <w:bottom w:w="15" w:type="dxa"/>
          <w:right w:w="15" w:type="dxa"/>
        </w:tblCellMar>
        <w:tblLook w:val="05E0"/>
      </w:tblPr>
      <w:tblGrid>
        <w:gridCol w:w="3118"/>
        <w:gridCol w:w="8874"/>
      </w:tblGrid>
      <w:tr>
        <w:tblPrEx>
          <w:tblW w:w="11992" w:type="dxa"/>
          <w:tblInd w:w="150" w:type="dxa"/>
          <w:tblLook w:val="05E0"/>
        </w:tblPrEx>
        <w:trPr>
          <w:trHeight w:val="360"/>
          <w:tblHeader w:val="0"/>
        </w:trPr>
        <w:tc>
          <w:tcPr>
            <w:tcW w:w="1300" w:type="pct"/>
            <w:tcBorders>
              <w:top w:val="single" w:sz="8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46" w:type="dxa"/>
            </w:tcMar>
            <w:vAlign w:val="bottom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Název sloupce v 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Tab. č. 1</w:t>
            </w:r>
          </w:p>
        </w:tc>
        <w:tc>
          <w:tcPr>
            <w:tcW w:w="3700" w:type="pct"/>
            <w:tcBorders>
              <w:top w:val="single" w:sz="8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46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Odpovědnost za bezpečnostní opatření.</w:t>
            </w:r>
          </w:p>
        </w:tc>
      </w:tr>
      <w:tr>
        <w:tblPrEx>
          <w:tblW w:w="11992" w:type="dxa"/>
          <w:tblInd w:w="150" w:type="dxa"/>
          <w:tblLook w:val="05E0"/>
        </w:tblPrEx>
        <w:trPr>
          <w:trHeight w:val="360"/>
          <w:tblHeader w:val="0"/>
        </w:trPr>
        <w:tc>
          <w:tcPr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46" w:type="dxa"/>
            </w:tcMar>
            <w:vAlign w:val="center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Popis sloupce</w:t>
            </w:r>
          </w:p>
        </w:tc>
        <w:tc>
          <w:tcPr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46" w:type="dxa"/>
            </w:tcMar>
            <w:vAlign w:val="center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Osoba pověřená za zavedení daného bezpečnostního opatření.</w:t>
            </w:r>
          </w:p>
        </w:tc>
      </w:tr>
      <w:tr>
        <w:tblPrEx>
          <w:tblW w:w="11992" w:type="dxa"/>
          <w:tblInd w:w="150" w:type="dxa"/>
          <w:tblLook w:val="05E0"/>
        </w:tblPrEx>
        <w:trPr>
          <w:trHeight w:val="360"/>
          <w:tblHeader w:val="0"/>
        </w:trPr>
        <w:tc>
          <w:tcPr>
            <w:tcBorders>
              <w:top w:val="single" w:sz="3" w:space="0" w:color="000000"/>
              <w:left w:val="single" w:sz="3" w:space="0" w:color="000000"/>
              <w:bottom w:val="single" w:sz="16" w:space="0" w:color="000000"/>
              <w:right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46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Popis hodnot</w:t>
            </w:r>
          </w:p>
        </w:tc>
        <w:tc>
          <w:tcPr>
            <w:tcBorders>
              <w:top w:val="single" w:sz="3" w:space="0" w:color="000000"/>
              <w:left w:val="single" w:sz="3" w:space="0" w:color="000000"/>
              <w:bottom w:val="single" w:sz="16" w:space="0" w:color="000000"/>
              <w:right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46" w:type="dxa"/>
            </w:tcMar>
            <w:vAlign w:val="bottom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Je nutné zaznamenat údaje tak, aby bylo možné jednoznačně určit osobu pověřenou za zavedení bezpečnostního opatření. V případě potřeby je možné uvést také konkrétní organizační složku, do níž daná osoba spadá.</w:t>
            </w:r>
          </w:p>
        </w:tc>
      </w:tr>
    </w:tbl>
    <w:p w:rsidR="00A77B3E">
      <w:pPr>
        <w:pStyle w:val="11"/>
      </w:pPr>
    </w:p>
    <w:p w:rsidR="00A77B3E">
      <w:pPr>
        <w:pStyle w:val="1"/>
      </w:pPr>
    </w:p>
    <w:p w:rsidR="00A77B3E">
      <w:pPr>
        <w:pStyle w:val="33"/>
      </w:pPr>
      <w:r>
        <w:t>Příloha č. 2</w:t>
      </w:r>
    </w:p>
    <w:p w:rsidR="00A77B3E">
      <w:pPr>
        <w:pStyle w:val="34"/>
      </w:pPr>
      <w:r>
        <w:t>Požadavky na smluvní ujednání s dodavateli</w:t>
      </w:r>
    </w:p>
    <w:p w:rsidR="00A77B3E">
      <w:pPr>
        <w:pStyle w:val="35"/>
      </w:pPr>
      <w:r>
        <w:t>Povinná osoba uzavírá pouze takové smlouvy, které stanoví způsoby realizace bezpečnostních opatření a určují obsah vzájemné smluvní odpovědnosti za zavedení a kontrolu bezpečnostních opatření.</w:t>
      </w:r>
    </w:p>
    <w:p w:rsidR="00A77B3E">
      <w:pPr>
        <w:pStyle w:val="36"/>
      </w:pPr>
      <w:r>
        <w:t>Povinné osoby mohou uzavírat jen takové smlouvy, které budou zohledňovat následující relevantní ustanovení:</w:t>
      </w:r>
    </w:p>
    <w:p w:rsidR="00A77B3E">
      <w:pPr>
        <w:pStyle w:val="12"/>
      </w:pPr>
      <w:r>
        <w:t>a)</w:t>
      </w:r>
      <w:r>
        <w:t>    ustanovení o bezpečnosti informací z pohledu důvěrnosti (včetně ustanovení o mlčenlivosti), integrity a dostupnosti,</w:t>
      </w:r>
    </w:p>
    <w:p w:rsidR="00A77B3E">
      <w:pPr>
        <w:pStyle w:val="15"/>
      </w:pPr>
      <w:r>
        <w:t>b)</w:t>
      </w:r>
      <w:r>
        <w:t>    ustanovení o auditu dodavatele související s plněním smlouvy,</w:t>
      </w:r>
    </w:p>
    <w:p w:rsidR="00A77B3E">
      <w:pPr>
        <w:pStyle w:val="15"/>
      </w:pPr>
      <w:r>
        <w:t>c)</w:t>
      </w:r>
      <w:r>
        <w:t>    ustanovení o řetězení dodavatelů,</w:t>
      </w:r>
    </w:p>
    <w:p w:rsidR="00A77B3E">
      <w:pPr>
        <w:pStyle w:val="15"/>
      </w:pPr>
      <w:r>
        <w:t>d)</w:t>
      </w:r>
      <w:r>
        <w:t>    ustanovení upravující tzv. exit strategii, podmínky ukončení smluvního vztahu z pohledu bezpečnosti informací,</w:t>
      </w:r>
    </w:p>
    <w:p w:rsidR="00A77B3E">
      <w:pPr>
        <w:pStyle w:val="15"/>
      </w:pPr>
      <w:r>
        <w:t>e)</w:t>
      </w:r>
      <w:r>
        <w:t>    ustanovení o sankcích za porušení smluvních povinností,</w:t>
      </w:r>
    </w:p>
    <w:p w:rsidR="00A77B3E">
      <w:pPr>
        <w:pStyle w:val="15"/>
      </w:pPr>
      <w:r>
        <w:t>f)</w:t>
      </w:r>
      <w:r>
        <w:t>    ustanovení o oprávnění užívat data,</w:t>
      </w:r>
    </w:p>
    <w:p w:rsidR="00A77B3E">
      <w:pPr>
        <w:pStyle w:val="15"/>
      </w:pPr>
      <w:r>
        <w:t>g)</w:t>
      </w:r>
      <w:r>
        <w:t>    ustanovení o autorství programového kódu, případně o programových licencích,</w:t>
      </w:r>
    </w:p>
    <w:p w:rsidR="00A77B3E">
      <w:pPr>
        <w:pStyle w:val="15"/>
      </w:pPr>
      <w:r>
        <w:t>h)</w:t>
      </w:r>
      <w:r>
        <w:t>    ustanovení o důvěrnosti smluvního vztahu,</w:t>
      </w:r>
    </w:p>
    <w:p w:rsidR="00A77B3E">
      <w:pPr>
        <w:pStyle w:val="15"/>
      </w:pPr>
      <w:r>
        <w:t>i)</w:t>
      </w:r>
      <w:r>
        <w:t>    ustanovení o povinnosti dodavatele dodržovat bezpečnostní politiky povinné osoby nebo ustanovení o odsouhlasení bezpečnostních politik dodavatele (nebo odsouhlasení pro dodavatelský vztah relevantních částí bezpečnostních politik) povinnou osobou,</w:t>
      </w:r>
    </w:p>
    <w:p w:rsidR="00A77B3E">
      <w:pPr>
        <w:pStyle w:val="15"/>
      </w:pPr>
      <w:r>
        <w:t>j)</w:t>
      </w:r>
      <w:r>
        <w:t>    ustanovení o řízení změn,</w:t>
      </w:r>
    </w:p>
    <w:p w:rsidR="00A77B3E">
      <w:pPr>
        <w:pStyle w:val="15"/>
      </w:pPr>
      <w:r>
        <w:t>k)</w:t>
      </w:r>
      <w:r>
        <w:t>    ustanovení o kybernetických bezpečnostních incidentech souvisejících s plněním smlouvy,</w:t>
      </w:r>
    </w:p>
    <w:p w:rsidR="00A77B3E">
      <w:pPr>
        <w:pStyle w:val="15"/>
      </w:pPr>
      <w:r>
        <w:t>l)</w:t>
      </w:r>
      <w:r>
        <w:t>    ustanovení upravující zajištění řízení kontinuity činností,</w:t>
      </w:r>
    </w:p>
    <w:p w:rsidR="00A77B3E">
      <w:pPr>
        <w:pStyle w:val="15"/>
      </w:pPr>
      <w:r>
        <w:t>m)</w:t>
      </w:r>
      <w:r>
        <w:t>    náležitosti smlouvy o úrovni služeb (SLA) a způsobu a úrovni realizace bezpečnostních opatření,</w:t>
      </w:r>
    </w:p>
    <w:p w:rsidR="00A77B3E">
      <w:pPr>
        <w:pStyle w:val="13"/>
      </w:pPr>
      <w:r>
        <w:t>n)</w:t>
      </w:r>
      <w:r>
        <w:t>    ustanovení o dodržování pravidel bezpečného vývoje.</w:t>
      </w:r>
    </w:p>
    <w:p w:rsidR="00A77B3E">
      <w:pPr>
        <w:pStyle w:val="37"/>
      </w:pPr>
      <w:r>
        <w:t>Povinná osoba může požadovat při uzavírání smluv s dodavateli i další ujednání zohledňující specifické požadavky plynoucí ze zajištění provozních a bezpečnostních potřeb souvisejících s regulovanou službou, která nejsou uvedena v této příloze.</w:t>
      </w:r>
    </w:p>
    <w:p w:rsidR="00A77B3E">
      <w:pPr>
        <w:pStyle w:val="1"/>
      </w:pPr>
    </w:p>
    <w:p w:rsidR="00A77B3E">
      <w:pPr>
        <w:pStyle w:val="33"/>
      </w:pPr>
      <w:r>
        <w:t>Příloha č. 3</w:t>
      </w:r>
    </w:p>
    <w:p w:rsidR="00A77B3E">
      <w:pPr>
        <w:pStyle w:val="34"/>
      </w:pPr>
      <w:r>
        <w:t>Témata pro rozvoj bezpečnostního povědomí</w:t>
      </w:r>
    </w:p>
    <w:p w:rsidR="00A77B3E">
      <w:pPr>
        <w:pStyle w:val="12"/>
      </w:pPr>
      <w:r>
        <w:t>a)</w:t>
      </w:r>
      <w:r>
        <w:t>    Techniky zabezpečení zařízení.</w:t>
      </w:r>
    </w:p>
    <w:p w:rsidR="00A77B3E">
      <w:pPr>
        <w:pStyle w:val="15"/>
      </w:pPr>
      <w:r>
        <w:t>b)</w:t>
      </w:r>
      <w:r>
        <w:t>    Firewall, antivirový program a jejich omezení.</w:t>
      </w:r>
    </w:p>
    <w:p w:rsidR="00A77B3E">
      <w:pPr>
        <w:pStyle w:val="15"/>
      </w:pPr>
      <w:r>
        <w:t>c)</w:t>
      </w:r>
      <w:r>
        <w:t>    Škodlivé programy a jejich projevy.</w:t>
      </w:r>
    </w:p>
    <w:p w:rsidR="00A77B3E">
      <w:pPr>
        <w:pStyle w:val="15"/>
      </w:pPr>
      <w:r>
        <w:t>d)</w:t>
      </w:r>
      <w:r>
        <w:t>    Rizika stahování programů a aplikací.</w:t>
      </w:r>
    </w:p>
    <w:p w:rsidR="00A77B3E">
      <w:pPr>
        <w:pStyle w:val="15"/>
      </w:pPr>
      <w:r>
        <w:t>e)</w:t>
      </w:r>
      <w:r>
        <w:t>    Aktualizace software.</w:t>
      </w:r>
    </w:p>
    <w:p w:rsidR="00A77B3E">
      <w:pPr>
        <w:pStyle w:val="15"/>
      </w:pPr>
      <w:r>
        <w:t>f)</w:t>
      </w:r>
      <w:r>
        <w:t>    Rizika povolení a zakázání spouštění maker.</w:t>
      </w:r>
    </w:p>
    <w:p w:rsidR="00A77B3E">
      <w:pPr>
        <w:pStyle w:val="15"/>
      </w:pPr>
      <w:r>
        <w:t>g)</w:t>
      </w:r>
      <w:r>
        <w:t>    Rizika spustitelných souborů.</w:t>
      </w:r>
    </w:p>
    <w:p w:rsidR="00A77B3E">
      <w:pPr>
        <w:pStyle w:val="15"/>
      </w:pPr>
      <w:r>
        <w:t>h)</w:t>
      </w:r>
      <w:r>
        <w:t>    Zásady zabezpečení uživatelských účtů.</w:t>
      </w:r>
    </w:p>
    <w:p w:rsidR="00A77B3E">
      <w:pPr>
        <w:pStyle w:val="15"/>
      </w:pPr>
      <w:r>
        <w:t>i)</w:t>
      </w:r>
      <w:r>
        <w:t>    Používání, tvorba a správa hesel.</w:t>
      </w:r>
    </w:p>
    <w:p w:rsidR="00A77B3E">
      <w:pPr>
        <w:pStyle w:val="15"/>
      </w:pPr>
      <w:r>
        <w:t>j)</w:t>
      </w:r>
      <w:r>
        <w:t>    Vícefaktorová autentizace.</w:t>
      </w:r>
    </w:p>
    <w:p w:rsidR="00A77B3E">
      <w:pPr>
        <w:pStyle w:val="15"/>
      </w:pPr>
      <w:r>
        <w:t>k)</w:t>
      </w:r>
      <w:r>
        <w:t>    Techniky sociálního inženýrství.</w:t>
      </w:r>
    </w:p>
    <w:p w:rsidR="00A77B3E">
      <w:pPr>
        <w:pStyle w:val="15"/>
      </w:pPr>
      <w:r>
        <w:t>l)</w:t>
      </w:r>
      <w:r>
        <w:t>    On-line identita, digitální stopa a její minimalizace.</w:t>
      </w:r>
    </w:p>
    <w:p w:rsidR="00A77B3E">
      <w:pPr>
        <w:pStyle w:val="15"/>
      </w:pPr>
      <w:r>
        <w:t>m)</w:t>
      </w:r>
      <w:r>
        <w:t>    Zásady práce v počítačové síti.</w:t>
      </w:r>
    </w:p>
    <w:p w:rsidR="00A77B3E">
      <w:pPr>
        <w:pStyle w:val="15"/>
      </w:pPr>
      <w:r>
        <w:t>n)</w:t>
      </w:r>
      <w:r>
        <w:t>    Používání vzdáleného připojení (VPN).</w:t>
      </w:r>
    </w:p>
    <w:p w:rsidR="00A77B3E">
      <w:pPr>
        <w:pStyle w:val="15"/>
      </w:pPr>
      <w:r>
        <w:t>o)</w:t>
      </w:r>
      <w:r>
        <w:t>    Bezpečná elektronická komunikace.</w:t>
      </w:r>
    </w:p>
    <w:p w:rsidR="00A77B3E">
      <w:pPr>
        <w:pStyle w:val="15"/>
      </w:pPr>
      <w:r>
        <w:t>p)</w:t>
      </w:r>
      <w:r>
        <w:t>    Bezpečnost webových stránek.</w:t>
      </w:r>
    </w:p>
    <w:p w:rsidR="00A77B3E">
      <w:pPr>
        <w:pStyle w:val="15"/>
      </w:pPr>
      <w:r>
        <w:t>q)</w:t>
      </w:r>
      <w:r>
        <w:t>    Zálohování, ukládání a šifrování dat.</w:t>
      </w:r>
    </w:p>
    <w:p w:rsidR="00A77B3E">
      <w:pPr>
        <w:pStyle w:val="15"/>
      </w:pPr>
      <w:r>
        <w:t>r)</w:t>
      </w:r>
      <w:r>
        <w:t>    Bezpečné používání přenosných technických nosičů dat.</w:t>
      </w:r>
    </w:p>
    <w:p w:rsidR="00A77B3E">
      <w:pPr>
        <w:pStyle w:val="15"/>
      </w:pPr>
      <w:r>
        <w:t>s)</w:t>
      </w:r>
      <w:r>
        <w:t>    Využívání služeb cloud computingu.</w:t>
      </w:r>
    </w:p>
    <w:p w:rsidR="00A77B3E">
      <w:pPr>
        <w:pStyle w:val="15"/>
      </w:pPr>
      <w:r>
        <w:t>t)</w:t>
      </w:r>
      <w:r>
        <w:t>    Pravidla a postupy pro oznamování neobvyklého chování technických aktiv a podezření na jakékoliv zranitelnosti.</w:t>
      </w:r>
    </w:p>
    <w:p w:rsidR="00A77B3E">
      <w:pPr>
        <w:pStyle w:val="15"/>
      </w:pPr>
      <w:r>
        <w:t>u)</w:t>
      </w:r>
      <w:r>
        <w:t>    Základní postup při reakci na kybernetickou bezpečnostní událost nebo kybernetický bezpečnostní incident.</w:t>
      </w:r>
    </w:p>
    <w:p w:rsidR="00A77B3E">
      <w:pPr>
        <w:pStyle w:val="15"/>
      </w:pPr>
      <w:r>
        <w:t>v)</w:t>
      </w:r>
      <w:r>
        <w:t>    Zásady bezpečného používání pracovních zařízení pro soukromé účely.</w:t>
      </w:r>
    </w:p>
    <w:p w:rsidR="00A77B3E">
      <w:pPr>
        <w:pStyle w:val="15"/>
      </w:pPr>
      <w:r>
        <w:t>w)</w:t>
      </w:r>
      <w:r>
        <w:t>    Zásady bezpečného používání soukromých zařízení pro pracovní účely (tzv. BYOD).</w:t>
      </w:r>
    </w:p>
    <w:p w:rsidR="00A77B3E">
      <w:pPr>
        <w:pStyle w:val="15"/>
      </w:pPr>
      <w:r>
        <w:t>x)</w:t>
      </w:r>
      <w:r>
        <w:t>    Osobní odpovědnost zaměstnance při dodržování zásad kybernetické bezpečnosti.</w:t>
      </w:r>
    </w:p>
    <w:p w:rsidR="00A77B3E">
      <w:pPr>
        <w:pStyle w:val="13"/>
      </w:pPr>
      <w:r>
        <w:t>y)</w:t>
      </w:r>
      <w:r>
        <w:t>    Aktuální hrozby v kybernetické bezpečnosti.</w:t>
      </w:r>
    </w:p>
    <w:p w:rsidR="00A77B3E">
      <w:pPr>
        <w:pStyle w:val="38"/>
      </w:pPr>
    </w:p>
    <w:p w:rsidR="00A77B3E">
      <w:pPr>
        <w:pStyle w:val="39"/>
      </w:pPr>
      <w:r>
        <w:rPr>
          <w:vertAlign w:val="superscript"/>
        </w:rPr>
        <w:t>1</w:t>
      </w:r>
      <w:r>
        <w:t>)</w:t>
      </w:r>
      <w:r>
        <w:t>    Směrnice Evropského parlamentu a Rady (EU) 2022/2555 ze dne 14. prosince 2022 o opatřeních k zajištění vysoké společné úrovně kybernetické bezpečnosti v Unii a o změně nařízení (EU) č. 910/2014 a směrnice (EU) 20/1972 a o zrušení směrnice (EU) 2016/1148 (směrnice NIS 2).</w:t>
      </w:r>
    </w:p>
    <w:sectPr>
      <w:headerReference w:type="even" r:id="rId4"/>
      <w:headerReference w:type="default" r:id="rId5"/>
      <w:headerReference w:type="first" r:id="rId6"/>
      <w:pgSz w:w="15840" w:h="12240" w:orient="landscape"/>
      <w:pgMar w:top="1417" w:right="1417" w:bottom="1417" w:left="1417" w:header="400" w:footer="708" w:gutter="0"/>
      <w:cols w:space="708"/>
      <w:titlePg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1881"/>
      <w:gridCol w:w="2822"/>
      <w:gridCol w:w="2822"/>
      <w:gridCol w:w="1881"/>
    </w:tblGrid>
    <w:tr>
      <w:tblPrEx>
        <w:tblW w:w="5000" w:type="pct"/>
      </w:tblPrEx>
      <w:tc>
        <w:tcPr>
          <w:gridSpan w:val="4"/>
          <w:noWrap w:val="0"/>
          <w:tcMar>
            <w:top w:w="85" w:type="dxa"/>
            <w:left w:w="146" w:type="dxa"/>
            <w:bottom w:w="85" w:type="dxa"/>
            <w:right w:w="146" w:type="dxa"/>
          </w:tcMar>
          <w:vAlign w:val="bottom"/>
          <w:hideMark/>
        </w:tcPr>
        <w:p>
          <w:pPr>
            <w:pStyle w:val="HlavickaZlutyText"/>
            <w:jc w:val="center"/>
          </w:pPr>
        </w:p>
      </w:tc>
    </w:tr>
    <w:tr>
      <w:tblPrEx>
        <w:tblW w:w="5000" w:type="pct"/>
        <w:tblBorders>
          <w:bottom w:val="single" w:sz="12" w:space="0" w:color="000000"/>
        </w:tblBorders>
      </w:tblPrEx>
      <w:tc>
        <w:tcPr>
          <w:tcW w:w="1000" w:type="pct"/>
          <w:noWrap w:val="0"/>
          <w:tcMar>
            <w:top w:w="85" w:type="dxa"/>
            <w:left w:w="146" w:type="dxa"/>
            <w:bottom w:w="85" w:type="dxa"/>
            <w:right w:w="146" w:type="dxa"/>
          </w:tcMar>
          <w:vAlign w:val="bottom"/>
          <w:hideMark/>
        </w:tcPr>
        <w:p>
          <w:pPr>
            <w:pStyle w:val="Hlavicka"/>
            <w:jc w:val="left"/>
          </w:pPr>
          <w:r>
            <w:t xml:space="preserve">strana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000" w:type="pct"/>
          <w:gridSpan w:val="2"/>
          <w:noWrap w:val="0"/>
          <w:tcMar>
            <w:top w:w="85" w:type="dxa"/>
            <w:left w:w="146" w:type="dxa"/>
            <w:bottom w:w="85" w:type="dxa"/>
            <w:right w:w="146" w:type="dxa"/>
          </w:tcMar>
          <w:vAlign w:val="bottom"/>
          <w:hideMark/>
        </w:tcPr>
        <w:p>
          <w:pPr>
            <w:pStyle w:val="Hlavicka"/>
            <w:jc w:val="center"/>
          </w:pPr>
        </w:p>
      </w:tc>
      <w:tc>
        <w:tcPr>
          <w:tcW w:w="1000" w:type="pct"/>
          <w:noWrap w:val="0"/>
          <w:tcMar>
            <w:top w:w="85" w:type="dxa"/>
            <w:left w:w="146" w:type="dxa"/>
            <w:bottom w:w="85" w:type="dxa"/>
            <w:right w:w="146" w:type="dxa"/>
          </w:tcMar>
          <w:vAlign w:val="bottom"/>
          <w:hideMark/>
        </w:tcPr>
        <w:p>
          <w:pPr>
            <w:pStyle w:val="Hlavicka"/>
            <w:jc w:val="right"/>
          </w:pPr>
        </w:p>
      </w:tc>
    </w:tr>
    <w:tr>
      <w:tblPrEx>
        <w:tblW w:w="5000" w:type="pct"/>
      </w:tblPrEx>
      <w:tc>
        <w:tcPr>
          <w:tcW w:w="2500" w:type="pct"/>
          <w:gridSpan w:val="2"/>
          <w:noWrap w:val="0"/>
          <w:tcMar>
            <w:top w:w="85" w:type="dxa"/>
            <w:left w:w="146" w:type="dxa"/>
            <w:bottom w:w="85" w:type="dxa"/>
            <w:right w:w="146" w:type="dxa"/>
          </w:tcMar>
          <w:vAlign w:val="bottom"/>
          <w:hideMark/>
        </w:tcPr>
        <w:p>
          <w:pPr>
            <w:pStyle w:val="Hlavicka"/>
            <w:jc w:val="left"/>
          </w:pPr>
        </w:p>
      </w:tc>
      <w:tc>
        <w:tcPr>
          <w:tcW w:w="2500" w:type="pct"/>
          <w:gridSpan w:val="2"/>
          <w:noWrap w:val="0"/>
          <w:tcMar>
            <w:top w:w="85" w:type="dxa"/>
            <w:left w:w="146" w:type="dxa"/>
            <w:bottom w:w="85" w:type="dxa"/>
            <w:right w:w="146" w:type="dxa"/>
          </w:tcMar>
          <w:vAlign w:val="bottom"/>
          <w:hideMark/>
        </w:tcPr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1881"/>
      <w:gridCol w:w="2822"/>
      <w:gridCol w:w="2822"/>
      <w:gridCol w:w="1881"/>
    </w:tblGrid>
    <w:tr>
      <w:tblPrEx>
        <w:tblW w:w="5000" w:type="pct"/>
      </w:tblPrEx>
      <w:tc>
        <w:tcPr>
          <w:tcW w:w="2500" w:type="pct"/>
          <w:gridSpan w:val="4"/>
          <w:noWrap w:val="0"/>
          <w:tcMar>
            <w:top w:w="85" w:type="dxa"/>
            <w:left w:w="146" w:type="dxa"/>
            <w:bottom w:w="85" w:type="dxa"/>
            <w:right w:w="146" w:type="dxa"/>
          </w:tcMar>
          <w:vAlign w:val="bottom"/>
          <w:hideMark/>
        </w:tcPr>
        <w:p>
          <w:pPr>
            <w:pStyle w:val="HlavickaZlutyText"/>
            <w:jc w:val="center"/>
          </w:pPr>
        </w:p>
      </w:tc>
    </w:tr>
    <w:tr>
      <w:tblPrEx>
        <w:tblW w:w="5000" w:type="pct"/>
        <w:tblBorders>
          <w:bottom w:val="single" w:sz="12" w:space="0" w:color="000000"/>
        </w:tblBorders>
      </w:tblPrEx>
      <w:tc>
        <w:tcPr>
          <w:tcW w:w="1000" w:type="pct"/>
          <w:noWrap w:val="0"/>
          <w:tcMar>
            <w:top w:w="85" w:type="dxa"/>
            <w:left w:w="146" w:type="dxa"/>
            <w:bottom w:w="85" w:type="dxa"/>
            <w:right w:w="146" w:type="dxa"/>
          </w:tcMar>
          <w:vAlign w:val="bottom"/>
          <w:hideMark/>
        </w:tcPr>
        <w:p>
          <w:pPr>
            <w:pStyle w:val="Hlavicka"/>
            <w:jc w:val="left"/>
          </w:pPr>
        </w:p>
      </w:tc>
      <w:tc>
        <w:tcPr>
          <w:tcW w:w="3000" w:type="pct"/>
          <w:gridSpan w:val="2"/>
          <w:noWrap w:val="0"/>
          <w:tcMar>
            <w:top w:w="85" w:type="dxa"/>
            <w:left w:w="146" w:type="dxa"/>
            <w:bottom w:w="85" w:type="dxa"/>
            <w:right w:w="146" w:type="dxa"/>
          </w:tcMar>
          <w:vAlign w:val="bottom"/>
          <w:hideMark/>
        </w:tcPr>
        <w:p>
          <w:pPr>
            <w:pStyle w:val="Hlavicka"/>
            <w:jc w:val="center"/>
          </w:pPr>
        </w:p>
      </w:tc>
      <w:tc>
        <w:tcPr>
          <w:tcW w:w="1000" w:type="pct"/>
          <w:noWrap w:val="0"/>
          <w:tcMar>
            <w:top w:w="85" w:type="dxa"/>
            <w:left w:w="146" w:type="dxa"/>
            <w:bottom w:w="85" w:type="dxa"/>
            <w:right w:w="146" w:type="dxa"/>
          </w:tcMar>
          <w:vAlign w:val="bottom"/>
          <w:hideMark/>
        </w:tcPr>
        <w:p>
          <w:pPr>
            <w:pStyle w:val="Hlavicka"/>
            <w:jc w:val="right"/>
          </w:pPr>
          <w:r>
            <w:t xml:space="preserve">strana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</w:tr>
    <w:tr>
      <w:tblPrEx>
        <w:tblW w:w="5000" w:type="pct"/>
      </w:tblPrEx>
      <w:tc>
        <w:tcPr>
          <w:tcW w:w="2500" w:type="pct"/>
          <w:gridSpan w:val="2"/>
          <w:noWrap w:val="0"/>
          <w:tcMar>
            <w:top w:w="85" w:type="dxa"/>
            <w:left w:w="146" w:type="dxa"/>
            <w:bottom w:w="85" w:type="dxa"/>
            <w:right w:w="146" w:type="dxa"/>
          </w:tcMar>
          <w:vAlign w:val="bottom"/>
          <w:hideMark/>
        </w:tcPr>
        <w:p>
          <w:pPr>
            <w:pStyle w:val="Hlavicka"/>
            <w:jc w:val="left"/>
          </w:pPr>
        </w:p>
      </w:tc>
      <w:tc>
        <w:tcPr>
          <w:tcW w:w="2500" w:type="pct"/>
          <w:gridSpan w:val="2"/>
          <w:noWrap w:val="0"/>
          <w:tcMar>
            <w:top w:w="85" w:type="dxa"/>
            <w:left w:w="146" w:type="dxa"/>
            <w:bottom w:w="85" w:type="dxa"/>
            <w:right w:w="146" w:type="dxa"/>
          </w:tcMar>
          <w:vAlign w:val="bottom"/>
          <w:hideMark/>
        </w:tcPr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9406"/>
    </w:tblGrid>
    <w:tr>
      <w:tblPrEx>
        <w:tblW w:w="5000" w:type="pct"/>
      </w:tblPrEx>
      <w:tc>
        <w:tcPr>
          <w:noWrap w:val="0"/>
          <w:tcMar>
            <w:top w:w="85" w:type="dxa"/>
            <w:left w:w="146" w:type="dxa"/>
            <w:bottom w:w="85" w:type="dxa"/>
            <w:right w:w="146" w:type="dxa"/>
          </w:tcMar>
          <w:vAlign w:val="bottom"/>
          <w:hideMark/>
        </w:tcPr>
        <w:p>
          <w:pPr>
            <w:pStyle w:val="HlavickaZlutyText"/>
            <w:jc w:val="center"/>
          </w:pPr>
        </w:p>
      </w:tc>
    </w:tr>
    <w:tr>
      <w:tblPrEx>
        <w:tblW w:w="5000" w:type="pct"/>
      </w:tblPrEx>
      <w:tc>
        <w:tcPr>
          <w:noWrap w:val="0"/>
          <w:tcMar>
            <w:top w:w="85" w:type="dxa"/>
            <w:left w:w="146" w:type="dxa"/>
            <w:bottom w:w="85" w:type="dxa"/>
            <w:right w:w="146" w:type="dxa"/>
          </w:tcMar>
          <w:vAlign w:val="bottom"/>
          <w:hideMark/>
        </w:tcPr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evenAndOddHeaders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cs-CZ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Hlavicka">
    <w:name w:val="Hlavicka"/>
    <w:rPr>
      <w:i/>
      <w:sz w:val="20"/>
    </w:rPr>
  </w:style>
  <w:style w:type="paragraph" w:customStyle="1" w:styleId="HlavickaZlutyText">
    <w:name w:val="HlavickaZlutyText"/>
    <w:rPr>
      <w:i w:val="0"/>
      <w:sz w:val="18"/>
    </w:rPr>
  </w:style>
  <w:style w:type="paragraph" w:customStyle="1" w:styleId="Variantastart">
    <w:name w:val="Varianta_start"/>
    <w:pPr>
      <w:pBdr>
        <w:top w:val="single" w:sz="8" w:space="0" w:color="80008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konec">
    <w:name w:val="Varianta_konec"/>
    <w:pPr>
      <w:pBdr>
        <w:bottom w:val="single" w:sz="8" w:space="0" w:color="80008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start">
    <w:name w:val="Ucinnost_start"/>
    <w:pPr>
      <w:pBdr>
        <w:top w:val="single" w:sz="8" w:space="0" w:color="8B000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konec">
    <w:name w:val="Ucinnost_konec"/>
    <w:pPr>
      <w:pBdr>
        <w:bottom w:val="single" w:sz="8" w:space="0" w:color="8B000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Celex">
    <w:name w:val="Celex"/>
    <w:pPr>
      <w:spacing w:before="120" w:after="120"/>
      <w:jc w:val="left"/>
    </w:pPr>
    <w:rPr>
      <w:rFonts w:ascii="Times New Roman" w:eastAsia="Times New Roman" w:hAnsi="Times New Roman" w:cs="Times New Roman"/>
      <w:i/>
      <w:sz w:val="20"/>
    </w:rPr>
  </w:style>
  <w:style w:type="paragraph" w:customStyle="1" w:styleId="Pripominkystart">
    <w:name w:val="Pripominky_start"/>
    <w:pPr>
      <w:pBdr>
        <w:top w:val="single" w:sz="8" w:space="0" w:color="87CEFA"/>
      </w:pBdr>
      <w:spacing w:before="0" w:after="10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">
    <w:name w:val="1"/>
    <w:pPr>
      <w:spacing w:before="11" w:after="0"/>
      <w:ind w:right="0"/>
      <w:jc w:val="left"/>
    </w:pPr>
    <w:rPr>
      <w:rFonts w:ascii="Times New Roman" w:eastAsia="Times New Roman" w:hAnsi="Times New Roman" w:cs="Times New Roman"/>
      <w:sz w:val="0"/>
    </w:rPr>
  </w:style>
  <w:style w:type="paragraph" w:customStyle="1" w:styleId="2">
    <w:name w:val="2"/>
    <w:pPr>
      <w:spacing w:before="57" w:after="227"/>
      <w:ind w:right="0"/>
      <w:jc w:val="center"/>
    </w:pPr>
    <w:rPr>
      <w:rFonts w:ascii="Times New Roman" w:eastAsia="Times New Roman" w:hAnsi="Times New Roman" w:cs="Times New Roman"/>
      <w:b/>
      <w:sz w:val="32"/>
    </w:rPr>
  </w:style>
  <w:style w:type="paragraph" w:customStyle="1" w:styleId="3">
    <w:name w:val="3"/>
    <w:pPr>
      <w:spacing w:before="0" w:after="0"/>
      <w:ind w:left="680" w:right="680"/>
      <w:jc w:val="center"/>
    </w:pPr>
    <w:rPr>
      <w:rFonts w:ascii="Times New Roman" w:eastAsia="Times New Roman" w:hAnsi="Times New Roman" w:cs="Times New Roman"/>
      <w:b/>
      <w:caps/>
      <w:sz w:val="32"/>
    </w:rPr>
  </w:style>
  <w:style w:type="paragraph" w:customStyle="1" w:styleId="4">
    <w:name w:val="4"/>
    <w:pPr>
      <w:spacing w:before="0" w:after="170"/>
      <w:ind w:left="850" w:right="850"/>
      <w:jc w:val="center"/>
    </w:pPr>
    <w:rPr>
      <w:rFonts w:ascii="Times New Roman" w:eastAsia="Times New Roman" w:hAnsi="Times New Roman" w:cs="Times New Roman"/>
      <w:b/>
      <w:sz w:val="28"/>
    </w:rPr>
  </w:style>
  <w:style w:type="paragraph" w:customStyle="1" w:styleId="5">
    <w:name w:val="5"/>
    <w:pPr>
      <w:spacing w:before="340" w:after="113"/>
      <w:ind w:left="850" w:right="850"/>
      <w:jc w:val="center"/>
    </w:pPr>
    <w:rPr>
      <w:rFonts w:ascii="Times New Roman" w:eastAsia="Times New Roman" w:hAnsi="Times New Roman" w:cs="Times New Roman"/>
      <w:b/>
      <w:sz w:val="34"/>
    </w:rPr>
  </w:style>
  <w:style w:type="paragraph" w:customStyle="1" w:styleId="6">
    <w:name w:val="6"/>
    <w:pPr>
      <w:spacing w:before="283" w:after="340"/>
      <w:ind w:right="0"/>
      <w:jc w:val="left"/>
    </w:pPr>
    <w:rPr>
      <w:rFonts w:ascii="Times New Roman" w:eastAsia="Times New Roman" w:hAnsi="Times New Roman" w:cs="Times New Roman"/>
      <w:sz w:val="30"/>
    </w:rPr>
  </w:style>
  <w:style w:type="paragraph" w:customStyle="1" w:styleId="7">
    <w:name w:val="7"/>
    <w:pPr>
      <w:overflowPunct/>
      <w:spacing w:before="510" w:after="57"/>
      <w:ind w:left="850" w:right="850" w:firstLine="0"/>
      <w:jc w:val="center"/>
    </w:pPr>
    <w:rPr>
      <w:rFonts w:ascii="Times New Roman" w:eastAsia="Times New Roman" w:hAnsi="Times New Roman" w:cs="Times New Roman"/>
      <w:b/>
      <w:caps/>
      <w:sz w:val="32"/>
    </w:rPr>
  </w:style>
  <w:style w:type="paragraph" w:customStyle="1" w:styleId="8">
    <w:name w:val="8"/>
    <w:pPr>
      <w:spacing w:before="57" w:after="170"/>
      <w:ind w:left="850" w:right="850"/>
      <w:jc w:val="center"/>
    </w:pPr>
    <w:rPr>
      <w:rFonts w:ascii="Times New Roman" w:eastAsia="Times New Roman" w:hAnsi="Times New Roman" w:cs="Times New Roman"/>
      <w:b/>
      <w:sz w:val="26"/>
    </w:rPr>
  </w:style>
  <w:style w:type="paragraph" w:customStyle="1" w:styleId="9">
    <w:name w:val="9"/>
    <w:pPr>
      <w:overflowPunct/>
      <w:spacing w:before="227" w:after="113"/>
      <w:ind w:left="0" w:right="0" w:firstLine="0"/>
      <w:jc w:val="center"/>
    </w:pPr>
    <w:rPr>
      <w:rFonts w:ascii="Times New Roman" w:eastAsia="Times New Roman" w:hAnsi="Times New Roman" w:cs="Times New Roman"/>
      <w:sz w:val="28"/>
    </w:rPr>
  </w:style>
  <w:style w:type="paragraph" w:customStyle="1" w:styleId="10">
    <w:name w:val="10"/>
    <w:pPr>
      <w:spacing w:before="0" w:after="57"/>
      <w:ind w:left="850" w:right="850"/>
      <w:jc w:val="center"/>
    </w:pPr>
    <w:rPr>
      <w:rFonts w:ascii="Times New Roman" w:eastAsia="Times New Roman" w:hAnsi="Times New Roman" w:cs="Times New Roman"/>
      <w:b/>
      <w:sz w:val="28"/>
    </w:rPr>
  </w:style>
  <w:style w:type="paragraph" w:customStyle="1" w:styleId="11">
    <w:name w:val="11"/>
    <w:pPr>
      <w:spacing w:before="0" w:after="57"/>
      <w:ind w:right="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12">
    <w:name w:val="12"/>
    <w:pPr>
      <w:overflowPunct/>
      <w:spacing w:before="0" w:after="57"/>
      <w:ind w:left="680" w:right="0" w:hanging="34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12start">
    <w:name w:val="Varianta_12_start"/>
    <w:pPr>
      <w:pBdr>
        <w:top w:val="single" w:sz="8" w:space="0" w:color="800080"/>
      </w:pBdr>
      <w:spacing w:before="0" w:after="100"/>
      <w:ind w:left="68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12konec">
    <w:name w:val="Varianta_12_konec"/>
    <w:pPr>
      <w:pBdr>
        <w:bottom w:val="single" w:sz="8" w:space="0" w:color="800080"/>
      </w:pBdr>
      <w:spacing w:before="0" w:after="100"/>
      <w:ind w:left="68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12start">
    <w:name w:val="Ucinnost_12_start"/>
    <w:pPr>
      <w:pBdr>
        <w:top w:val="single" w:sz="8" w:space="0" w:color="8B0000"/>
      </w:pBdr>
      <w:spacing w:before="0" w:after="100"/>
      <w:ind w:left="68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12konec">
    <w:name w:val="Ucinnost_12_konec"/>
    <w:pPr>
      <w:pBdr>
        <w:bottom w:val="single" w:sz="8" w:space="0" w:color="8B0000"/>
      </w:pBdr>
      <w:spacing w:before="0" w:after="100"/>
      <w:ind w:left="68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12start">
    <w:name w:val="Pripominky_12_start"/>
    <w:pPr>
      <w:pBdr>
        <w:top w:val="single" w:sz="8" w:space="0" w:color="87CEFA"/>
      </w:pBdr>
      <w:spacing w:before="0" w:after="100"/>
      <w:ind w:left="68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3">
    <w:name w:val="13"/>
    <w:pPr>
      <w:overflowPunct/>
      <w:spacing w:before="57" w:after="227"/>
      <w:ind w:left="680" w:right="0" w:hanging="34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13start">
    <w:name w:val="Varianta_13_start"/>
    <w:pPr>
      <w:pBdr>
        <w:top w:val="single" w:sz="8" w:space="0" w:color="800080"/>
      </w:pBdr>
      <w:spacing w:before="0" w:after="100"/>
      <w:ind w:left="68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13konec">
    <w:name w:val="Varianta_13_konec"/>
    <w:pPr>
      <w:pBdr>
        <w:bottom w:val="single" w:sz="8" w:space="0" w:color="800080"/>
      </w:pBdr>
      <w:spacing w:before="0" w:after="100"/>
      <w:ind w:left="68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13start">
    <w:name w:val="Ucinnost_13_start"/>
    <w:pPr>
      <w:pBdr>
        <w:top w:val="single" w:sz="8" w:space="0" w:color="8B0000"/>
      </w:pBdr>
      <w:spacing w:before="0" w:after="100"/>
      <w:ind w:left="68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13konec">
    <w:name w:val="Ucinnost_13_konec"/>
    <w:pPr>
      <w:pBdr>
        <w:bottom w:val="single" w:sz="8" w:space="0" w:color="8B0000"/>
      </w:pBdr>
      <w:spacing w:before="0" w:after="100"/>
      <w:ind w:left="68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13start">
    <w:name w:val="Pripominky_13_start"/>
    <w:pPr>
      <w:pBdr>
        <w:top w:val="single" w:sz="8" w:space="0" w:color="87CEFA"/>
      </w:pBdr>
      <w:spacing w:before="0" w:after="100"/>
      <w:ind w:left="68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4">
    <w:name w:val="14"/>
    <w:pPr>
      <w:overflowPunct/>
      <w:spacing w:before="227" w:after="113"/>
      <w:ind w:left="0" w:right="0" w:firstLine="0"/>
      <w:jc w:val="center"/>
    </w:pPr>
    <w:rPr>
      <w:rFonts w:ascii="Times New Roman" w:eastAsia="Times New Roman" w:hAnsi="Times New Roman" w:cs="Times New Roman"/>
      <w:sz w:val="28"/>
    </w:rPr>
  </w:style>
  <w:style w:type="paragraph" w:customStyle="1" w:styleId="15">
    <w:name w:val="15"/>
    <w:pPr>
      <w:overflowPunct/>
      <w:spacing w:before="57" w:after="57"/>
      <w:ind w:left="680" w:right="0" w:hanging="34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15start">
    <w:name w:val="Varianta_15_start"/>
    <w:pPr>
      <w:pBdr>
        <w:top w:val="single" w:sz="8" w:space="0" w:color="800080"/>
      </w:pBdr>
      <w:spacing w:before="0" w:after="100"/>
      <w:ind w:left="68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15konec">
    <w:name w:val="Varianta_15_konec"/>
    <w:pPr>
      <w:pBdr>
        <w:bottom w:val="single" w:sz="8" w:space="0" w:color="800080"/>
      </w:pBdr>
      <w:spacing w:before="0" w:after="100"/>
      <w:ind w:left="68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15start">
    <w:name w:val="Ucinnost_15_start"/>
    <w:pPr>
      <w:pBdr>
        <w:top w:val="single" w:sz="8" w:space="0" w:color="8B0000"/>
      </w:pBdr>
      <w:spacing w:before="0" w:after="100"/>
      <w:ind w:left="68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15konec">
    <w:name w:val="Ucinnost_15_konec"/>
    <w:pPr>
      <w:pBdr>
        <w:bottom w:val="single" w:sz="8" w:space="0" w:color="8B0000"/>
      </w:pBdr>
      <w:spacing w:before="0" w:after="100"/>
      <w:ind w:left="68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15start">
    <w:name w:val="Pripominky_15_start"/>
    <w:pPr>
      <w:pBdr>
        <w:top w:val="single" w:sz="8" w:space="0" w:color="87CEFA"/>
      </w:pBdr>
      <w:spacing w:before="0" w:after="100"/>
      <w:ind w:left="68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6">
    <w:name w:val="16"/>
    <w:pPr>
      <w:overflowPunct/>
      <w:spacing w:before="0" w:after="57"/>
      <w:ind w:left="510" w:right="0" w:hanging="51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16start">
    <w:name w:val="Varianta_16_start"/>
    <w:pPr>
      <w:pBdr>
        <w:top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16konec">
    <w:name w:val="Varianta_16_konec"/>
    <w:pPr>
      <w:pBdr>
        <w:bottom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16start">
    <w:name w:val="Ucinnost_16_start"/>
    <w:pPr>
      <w:pBdr>
        <w:top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16konec">
    <w:name w:val="Ucinnost_16_konec"/>
    <w:pPr>
      <w:pBdr>
        <w:bottom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16start">
    <w:name w:val="Pripominky_16_start"/>
    <w:pPr>
      <w:pBdr>
        <w:top w:val="single" w:sz="8" w:space="0" w:color="87CEFA"/>
      </w:pBdr>
      <w:spacing w:before="0" w:after="100"/>
      <w:ind w:left="51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7">
    <w:name w:val="17"/>
    <w:pPr>
      <w:overflowPunct/>
      <w:spacing w:before="0" w:after="57"/>
      <w:ind w:left="1190" w:right="0" w:hanging="34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17start">
    <w:name w:val="Varianta_17_start"/>
    <w:pPr>
      <w:pBdr>
        <w:top w:val="single" w:sz="8" w:space="0" w:color="80008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17konec">
    <w:name w:val="Varianta_17_konec"/>
    <w:pPr>
      <w:pBdr>
        <w:bottom w:val="single" w:sz="8" w:space="0" w:color="80008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17start">
    <w:name w:val="Ucinnost_17_start"/>
    <w:pPr>
      <w:pBdr>
        <w:top w:val="single" w:sz="8" w:space="0" w:color="8B000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17konec">
    <w:name w:val="Ucinnost_17_konec"/>
    <w:pPr>
      <w:pBdr>
        <w:bottom w:val="single" w:sz="8" w:space="0" w:color="8B000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17start">
    <w:name w:val="Pripominky_17_start"/>
    <w:pPr>
      <w:pBdr>
        <w:top w:val="single" w:sz="8" w:space="0" w:color="87CEFA"/>
      </w:pBdr>
      <w:spacing w:before="0" w:after="100"/>
      <w:ind w:left="119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8">
    <w:name w:val="18"/>
    <w:pPr>
      <w:overflowPunct/>
      <w:spacing w:before="57" w:after="227"/>
      <w:ind w:left="1190" w:right="0" w:hanging="34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18start">
    <w:name w:val="Varianta_18_start"/>
    <w:pPr>
      <w:pBdr>
        <w:top w:val="single" w:sz="8" w:space="0" w:color="80008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18konec">
    <w:name w:val="Varianta_18_konec"/>
    <w:pPr>
      <w:pBdr>
        <w:bottom w:val="single" w:sz="8" w:space="0" w:color="80008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18start">
    <w:name w:val="Ucinnost_18_start"/>
    <w:pPr>
      <w:pBdr>
        <w:top w:val="single" w:sz="8" w:space="0" w:color="8B000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18konec">
    <w:name w:val="Ucinnost_18_konec"/>
    <w:pPr>
      <w:pBdr>
        <w:bottom w:val="single" w:sz="8" w:space="0" w:color="8B000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18start">
    <w:name w:val="Pripominky_18_start"/>
    <w:pPr>
      <w:pBdr>
        <w:top w:val="single" w:sz="8" w:space="0" w:color="87CEFA"/>
      </w:pBdr>
      <w:spacing w:before="0" w:after="100"/>
      <w:ind w:left="119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9">
    <w:name w:val="19"/>
    <w:pPr>
      <w:overflowPunct/>
      <w:spacing w:before="0" w:after="227"/>
      <w:ind w:left="1190" w:right="0" w:hanging="34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19start">
    <w:name w:val="Varianta_19_start"/>
    <w:pPr>
      <w:pBdr>
        <w:top w:val="single" w:sz="8" w:space="0" w:color="80008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19konec">
    <w:name w:val="Varianta_19_konec"/>
    <w:pPr>
      <w:pBdr>
        <w:bottom w:val="single" w:sz="8" w:space="0" w:color="80008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19start">
    <w:name w:val="Ucinnost_19_start"/>
    <w:pPr>
      <w:pBdr>
        <w:top w:val="single" w:sz="8" w:space="0" w:color="8B000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19konec">
    <w:name w:val="Ucinnost_19_konec"/>
    <w:pPr>
      <w:pBdr>
        <w:bottom w:val="single" w:sz="8" w:space="0" w:color="8B000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19start">
    <w:name w:val="Pripominky_19_start"/>
    <w:pPr>
      <w:pBdr>
        <w:top w:val="single" w:sz="8" w:space="0" w:color="87CEFA"/>
      </w:pBdr>
      <w:spacing w:before="0" w:after="100"/>
      <w:ind w:left="119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20">
    <w:name w:val="20"/>
    <w:pPr>
      <w:overflowPunct/>
      <w:spacing w:before="0" w:after="28"/>
      <w:ind w:left="1814" w:right="0" w:hanging="34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20start">
    <w:name w:val="Varianta_20_start"/>
    <w:pPr>
      <w:pBdr>
        <w:top w:val="single" w:sz="8" w:space="0" w:color="800080"/>
      </w:pBdr>
      <w:spacing w:before="0" w:after="100"/>
      <w:ind w:left="1814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20konec">
    <w:name w:val="Varianta_20_konec"/>
    <w:pPr>
      <w:pBdr>
        <w:bottom w:val="single" w:sz="8" w:space="0" w:color="800080"/>
      </w:pBdr>
      <w:spacing w:before="0" w:after="100"/>
      <w:ind w:left="1814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20start">
    <w:name w:val="Ucinnost_20_start"/>
    <w:pPr>
      <w:pBdr>
        <w:top w:val="single" w:sz="8" w:space="0" w:color="8B0000"/>
      </w:pBdr>
      <w:spacing w:before="0" w:after="100"/>
      <w:ind w:left="1814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20konec">
    <w:name w:val="Ucinnost_20_konec"/>
    <w:pPr>
      <w:pBdr>
        <w:bottom w:val="single" w:sz="8" w:space="0" w:color="8B0000"/>
      </w:pBdr>
      <w:spacing w:before="0" w:after="100"/>
      <w:ind w:left="1814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20start">
    <w:name w:val="Pripominky_20_start"/>
    <w:pPr>
      <w:pBdr>
        <w:top w:val="single" w:sz="8" w:space="0" w:color="87CEFA"/>
      </w:pBdr>
      <w:spacing w:before="0" w:after="100"/>
      <w:ind w:left="1814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21">
    <w:name w:val="21"/>
    <w:pPr>
      <w:overflowPunct/>
      <w:spacing w:before="28" w:after="28"/>
      <w:ind w:left="1814" w:right="0" w:hanging="34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21start">
    <w:name w:val="Varianta_21_start"/>
    <w:pPr>
      <w:pBdr>
        <w:top w:val="single" w:sz="8" w:space="0" w:color="800080"/>
      </w:pBdr>
      <w:spacing w:before="0" w:after="100"/>
      <w:ind w:left="1814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21konec">
    <w:name w:val="Varianta_21_konec"/>
    <w:pPr>
      <w:pBdr>
        <w:bottom w:val="single" w:sz="8" w:space="0" w:color="800080"/>
      </w:pBdr>
      <w:spacing w:before="0" w:after="100"/>
      <w:ind w:left="1814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21start">
    <w:name w:val="Ucinnost_21_start"/>
    <w:pPr>
      <w:pBdr>
        <w:top w:val="single" w:sz="8" w:space="0" w:color="8B0000"/>
      </w:pBdr>
      <w:spacing w:before="0" w:after="100"/>
      <w:ind w:left="1814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21konec">
    <w:name w:val="Ucinnost_21_konec"/>
    <w:pPr>
      <w:pBdr>
        <w:bottom w:val="single" w:sz="8" w:space="0" w:color="8B0000"/>
      </w:pBdr>
      <w:spacing w:before="0" w:after="100"/>
      <w:ind w:left="1814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21start">
    <w:name w:val="Pripominky_21_start"/>
    <w:pPr>
      <w:pBdr>
        <w:top w:val="single" w:sz="8" w:space="0" w:color="87CEFA"/>
      </w:pBdr>
      <w:spacing w:before="0" w:after="100"/>
      <w:ind w:left="1814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22">
    <w:name w:val="22"/>
    <w:pPr>
      <w:overflowPunct/>
      <w:spacing w:before="28" w:after="113"/>
      <w:ind w:left="1814" w:right="0" w:hanging="34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22start">
    <w:name w:val="Varianta_22_start"/>
    <w:pPr>
      <w:pBdr>
        <w:top w:val="single" w:sz="8" w:space="0" w:color="800080"/>
      </w:pBdr>
      <w:spacing w:before="0" w:after="100"/>
      <w:ind w:left="1814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22konec">
    <w:name w:val="Varianta_22_konec"/>
    <w:pPr>
      <w:pBdr>
        <w:bottom w:val="single" w:sz="8" w:space="0" w:color="800080"/>
      </w:pBdr>
      <w:spacing w:before="0" w:after="100"/>
      <w:ind w:left="1814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22start">
    <w:name w:val="Ucinnost_22_start"/>
    <w:pPr>
      <w:pBdr>
        <w:top w:val="single" w:sz="8" w:space="0" w:color="8B0000"/>
      </w:pBdr>
      <w:spacing w:before="0" w:after="100"/>
      <w:ind w:left="1814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22konec">
    <w:name w:val="Ucinnost_22_konec"/>
    <w:pPr>
      <w:pBdr>
        <w:bottom w:val="single" w:sz="8" w:space="0" w:color="8B0000"/>
      </w:pBdr>
      <w:spacing w:before="0" w:after="100"/>
      <w:ind w:left="1814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22start">
    <w:name w:val="Pripominky_22_start"/>
    <w:pPr>
      <w:pBdr>
        <w:top w:val="single" w:sz="8" w:space="0" w:color="87CEFA"/>
      </w:pBdr>
      <w:spacing w:before="0" w:after="100"/>
      <w:ind w:left="1814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23">
    <w:name w:val="23"/>
    <w:pPr>
      <w:overflowPunct/>
      <w:spacing w:before="57" w:after="57"/>
      <w:ind w:left="1190" w:right="0" w:hanging="34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23start">
    <w:name w:val="Varianta_23_start"/>
    <w:pPr>
      <w:pBdr>
        <w:top w:val="single" w:sz="8" w:space="0" w:color="80008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23konec">
    <w:name w:val="Varianta_23_konec"/>
    <w:pPr>
      <w:pBdr>
        <w:bottom w:val="single" w:sz="8" w:space="0" w:color="80008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23start">
    <w:name w:val="Ucinnost_23_start"/>
    <w:pPr>
      <w:pBdr>
        <w:top w:val="single" w:sz="8" w:space="0" w:color="8B000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23konec">
    <w:name w:val="Ucinnost_23_konec"/>
    <w:pPr>
      <w:pBdr>
        <w:bottom w:val="single" w:sz="8" w:space="0" w:color="8B000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23start">
    <w:name w:val="Pripominky_23_start"/>
    <w:pPr>
      <w:pBdr>
        <w:top w:val="single" w:sz="8" w:space="0" w:color="87CEFA"/>
      </w:pBdr>
      <w:spacing w:before="0" w:after="100"/>
      <w:ind w:left="119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24">
    <w:name w:val="24"/>
    <w:pPr>
      <w:overflowPunct/>
      <w:spacing w:before="0" w:after="113"/>
      <w:ind w:left="510" w:right="0" w:hanging="51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24start">
    <w:name w:val="Varianta_24_start"/>
    <w:pPr>
      <w:pBdr>
        <w:top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24konec">
    <w:name w:val="Varianta_24_konec"/>
    <w:pPr>
      <w:pBdr>
        <w:bottom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24start">
    <w:name w:val="Ucinnost_24_start"/>
    <w:pPr>
      <w:pBdr>
        <w:top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24konec">
    <w:name w:val="Ucinnost_24_konec"/>
    <w:pPr>
      <w:pBdr>
        <w:bottom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24start">
    <w:name w:val="Pripominky_24_start"/>
    <w:pPr>
      <w:pBdr>
        <w:top w:val="single" w:sz="8" w:space="0" w:color="87CEFA"/>
      </w:pBdr>
      <w:spacing w:before="0" w:after="100"/>
      <w:ind w:left="51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25">
    <w:name w:val="25"/>
    <w:pPr>
      <w:overflowPunct/>
      <w:spacing w:before="113" w:after="113"/>
      <w:ind w:left="510" w:right="0" w:hanging="51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25start">
    <w:name w:val="Varianta_25_start"/>
    <w:pPr>
      <w:pBdr>
        <w:top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25konec">
    <w:name w:val="Varianta_25_konec"/>
    <w:pPr>
      <w:pBdr>
        <w:bottom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25start">
    <w:name w:val="Ucinnost_25_start"/>
    <w:pPr>
      <w:pBdr>
        <w:top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25konec">
    <w:name w:val="Ucinnost_25_konec"/>
    <w:pPr>
      <w:pBdr>
        <w:bottom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25start">
    <w:name w:val="Pripominky_25_start"/>
    <w:pPr>
      <w:pBdr>
        <w:top w:val="single" w:sz="8" w:space="0" w:color="87CEFA"/>
      </w:pBdr>
      <w:spacing w:before="0" w:after="100"/>
      <w:ind w:left="51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26">
    <w:name w:val="26"/>
    <w:pPr>
      <w:overflowPunct/>
      <w:spacing w:before="113" w:after="57"/>
      <w:ind w:left="510" w:right="0" w:hanging="51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26start">
    <w:name w:val="Varianta_26_start"/>
    <w:pPr>
      <w:pBdr>
        <w:top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26konec">
    <w:name w:val="Varianta_26_konec"/>
    <w:pPr>
      <w:pBdr>
        <w:bottom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26start">
    <w:name w:val="Ucinnost_26_start"/>
    <w:pPr>
      <w:pBdr>
        <w:top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26konec">
    <w:name w:val="Ucinnost_26_konec"/>
    <w:pPr>
      <w:pBdr>
        <w:bottom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26start">
    <w:name w:val="Pripominky_26_start"/>
    <w:pPr>
      <w:pBdr>
        <w:top w:val="single" w:sz="8" w:space="0" w:color="87CEFA"/>
      </w:pBdr>
      <w:spacing w:before="0" w:after="100"/>
      <w:ind w:left="51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27">
    <w:name w:val="27"/>
    <w:pPr>
      <w:overflowPunct/>
      <w:spacing w:before="0" w:after="227"/>
      <w:ind w:left="680" w:right="0" w:hanging="34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27start">
    <w:name w:val="Varianta_27_start"/>
    <w:pPr>
      <w:pBdr>
        <w:top w:val="single" w:sz="8" w:space="0" w:color="800080"/>
      </w:pBdr>
      <w:spacing w:before="0" w:after="100"/>
      <w:ind w:left="68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27konec">
    <w:name w:val="Varianta_27_konec"/>
    <w:pPr>
      <w:pBdr>
        <w:bottom w:val="single" w:sz="8" w:space="0" w:color="800080"/>
      </w:pBdr>
      <w:spacing w:before="0" w:after="100"/>
      <w:ind w:left="68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27start">
    <w:name w:val="Ucinnost_27_start"/>
    <w:pPr>
      <w:pBdr>
        <w:top w:val="single" w:sz="8" w:space="0" w:color="8B0000"/>
      </w:pBdr>
      <w:spacing w:before="0" w:after="100"/>
      <w:ind w:left="68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27konec">
    <w:name w:val="Ucinnost_27_konec"/>
    <w:pPr>
      <w:pBdr>
        <w:bottom w:val="single" w:sz="8" w:space="0" w:color="8B0000"/>
      </w:pBdr>
      <w:spacing w:before="0" w:after="100"/>
      <w:ind w:left="68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27start">
    <w:name w:val="Pripominky_27_start"/>
    <w:pPr>
      <w:pBdr>
        <w:top w:val="single" w:sz="8" w:space="0" w:color="87CEFA"/>
      </w:pBdr>
      <w:spacing w:before="0" w:after="100"/>
      <w:ind w:left="68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28">
    <w:name w:val="28"/>
    <w:pPr>
      <w:overflowPunct/>
      <w:spacing w:before="0" w:after="28"/>
      <w:ind w:left="1304" w:right="0" w:hanging="34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28start">
    <w:name w:val="Varianta_28_start"/>
    <w:pPr>
      <w:pBdr>
        <w:top w:val="single" w:sz="8" w:space="0" w:color="800080"/>
      </w:pBdr>
      <w:spacing w:before="0" w:after="100"/>
      <w:ind w:left="1304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28konec">
    <w:name w:val="Varianta_28_konec"/>
    <w:pPr>
      <w:pBdr>
        <w:bottom w:val="single" w:sz="8" w:space="0" w:color="800080"/>
      </w:pBdr>
      <w:spacing w:before="0" w:after="100"/>
      <w:ind w:left="1304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28start">
    <w:name w:val="Ucinnost_28_start"/>
    <w:pPr>
      <w:pBdr>
        <w:top w:val="single" w:sz="8" w:space="0" w:color="8B0000"/>
      </w:pBdr>
      <w:spacing w:before="0" w:after="100"/>
      <w:ind w:left="1304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28konec">
    <w:name w:val="Ucinnost_28_konec"/>
    <w:pPr>
      <w:pBdr>
        <w:bottom w:val="single" w:sz="8" w:space="0" w:color="8B0000"/>
      </w:pBdr>
      <w:spacing w:before="0" w:after="100"/>
      <w:ind w:left="1304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28start">
    <w:name w:val="Pripominky_28_start"/>
    <w:pPr>
      <w:pBdr>
        <w:top w:val="single" w:sz="8" w:space="0" w:color="87CEFA"/>
      </w:pBdr>
      <w:spacing w:before="0" w:after="100"/>
      <w:ind w:left="1304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29">
    <w:name w:val="29"/>
    <w:pPr>
      <w:overflowPunct/>
      <w:spacing w:before="28" w:after="113"/>
      <w:ind w:left="1304" w:right="0" w:hanging="34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29start">
    <w:name w:val="Varianta_29_start"/>
    <w:pPr>
      <w:pBdr>
        <w:top w:val="single" w:sz="8" w:space="0" w:color="800080"/>
      </w:pBdr>
      <w:spacing w:before="0" w:after="100"/>
      <w:ind w:left="1304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29konec">
    <w:name w:val="Varianta_29_konec"/>
    <w:pPr>
      <w:pBdr>
        <w:bottom w:val="single" w:sz="8" w:space="0" w:color="800080"/>
      </w:pBdr>
      <w:spacing w:before="0" w:after="100"/>
      <w:ind w:left="1304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29start">
    <w:name w:val="Ucinnost_29_start"/>
    <w:pPr>
      <w:pBdr>
        <w:top w:val="single" w:sz="8" w:space="0" w:color="8B0000"/>
      </w:pBdr>
      <w:spacing w:before="0" w:after="100"/>
      <w:ind w:left="1304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29konec">
    <w:name w:val="Ucinnost_29_konec"/>
    <w:pPr>
      <w:pBdr>
        <w:bottom w:val="single" w:sz="8" w:space="0" w:color="8B0000"/>
      </w:pBdr>
      <w:spacing w:before="0" w:after="100"/>
      <w:ind w:left="1304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29start">
    <w:name w:val="Pripominky_29_start"/>
    <w:pPr>
      <w:pBdr>
        <w:top w:val="single" w:sz="8" w:space="0" w:color="87CEFA"/>
      </w:pBdr>
      <w:spacing w:before="0" w:after="100"/>
      <w:ind w:left="1304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30">
    <w:name w:val="30"/>
    <w:pPr>
      <w:overflowPunct/>
      <w:spacing w:before="28" w:after="28"/>
      <w:ind w:left="1304" w:right="0" w:hanging="34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30start">
    <w:name w:val="Varianta_30_start"/>
    <w:pPr>
      <w:pBdr>
        <w:top w:val="single" w:sz="8" w:space="0" w:color="800080"/>
      </w:pBdr>
      <w:spacing w:before="0" w:after="100"/>
      <w:ind w:left="1304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30konec">
    <w:name w:val="Varianta_30_konec"/>
    <w:pPr>
      <w:pBdr>
        <w:bottom w:val="single" w:sz="8" w:space="0" w:color="800080"/>
      </w:pBdr>
      <w:spacing w:before="0" w:after="100"/>
      <w:ind w:left="1304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30start">
    <w:name w:val="Ucinnost_30_start"/>
    <w:pPr>
      <w:pBdr>
        <w:top w:val="single" w:sz="8" w:space="0" w:color="8B0000"/>
      </w:pBdr>
      <w:spacing w:before="0" w:after="100"/>
      <w:ind w:left="1304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30konec">
    <w:name w:val="Ucinnost_30_konec"/>
    <w:pPr>
      <w:pBdr>
        <w:bottom w:val="single" w:sz="8" w:space="0" w:color="8B0000"/>
      </w:pBdr>
      <w:spacing w:before="0" w:after="100"/>
      <w:ind w:left="1304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30start">
    <w:name w:val="Pripominky_30_start"/>
    <w:pPr>
      <w:pBdr>
        <w:top w:val="single" w:sz="8" w:space="0" w:color="87CEFA"/>
      </w:pBdr>
      <w:spacing w:before="0" w:after="100"/>
      <w:ind w:left="1304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31">
    <w:name w:val="31"/>
    <w:pPr>
      <w:spacing w:before="57" w:after="57"/>
      <w:ind w:right="0"/>
      <w:jc w:val="center"/>
    </w:pPr>
    <w:rPr>
      <w:rFonts w:ascii="Times New Roman" w:eastAsia="Times New Roman" w:hAnsi="Times New Roman" w:cs="Times New Roman"/>
      <w:sz w:val="24"/>
    </w:rPr>
  </w:style>
  <w:style w:type="paragraph" w:customStyle="1" w:styleId="32">
    <w:name w:val="32"/>
    <w:pPr>
      <w:spacing w:before="57" w:after="0"/>
      <w:ind w:right="0"/>
      <w:jc w:val="center"/>
    </w:pPr>
    <w:rPr>
      <w:rFonts w:ascii="Times New Roman" w:eastAsia="Times New Roman" w:hAnsi="Times New Roman" w:cs="Times New Roman"/>
      <w:sz w:val="24"/>
    </w:rPr>
  </w:style>
  <w:style w:type="paragraph" w:customStyle="1" w:styleId="33">
    <w:name w:val="33"/>
    <w:pPr>
      <w:overflowPunct/>
      <w:spacing w:before="737" w:after="57"/>
      <w:ind w:left="0" w:right="0" w:firstLine="0"/>
      <w:jc w:val="right"/>
    </w:pPr>
    <w:rPr>
      <w:rFonts w:ascii="Times New Roman" w:eastAsia="Times New Roman" w:hAnsi="Times New Roman" w:cs="Times New Roman"/>
      <w:b/>
      <w:sz w:val="26"/>
    </w:rPr>
  </w:style>
  <w:style w:type="paragraph" w:customStyle="1" w:styleId="34">
    <w:name w:val="34"/>
    <w:pPr>
      <w:spacing w:before="0" w:after="113"/>
      <w:ind w:left="850" w:right="850"/>
      <w:jc w:val="center"/>
    </w:pPr>
    <w:rPr>
      <w:rFonts w:ascii="Times New Roman" w:eastAsia="Times New Roman" w:hAnsi="Times New Roman" w:cs="Times New Roman"/>
      <w:b/>
      <w:sz w:val="28"/>
    </w:rPr>
  </w:style>
  <w:style w:type="table" w:customStyle="1" w:styleId="data-tisk-na-sirkuPouzeNaPrvniStranezahlavi">
    <w:name w:val="data-tisk-na-sirku PouzeNaPrvniStrane_zahlavi"/>
    <w:basedOn w:val="TableNormal"/>
    <w:tblPr/>
  </w:style>
  <w:style w:type="paragraph" w:customStyle="1" w:styleId="35">
    <w:name w:val="35"/>
    <w:pPr>
      <w:spacing w:before="0" w:after="113"/>
      <w:ind w:right="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36">
    <w:name w:val="36"/>
    <w:pPr>
      <w:spacing w:before="113" w:after="57"/>
      <w:ind w:right="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37">
    <w:name w:val="37"/>
    <w:pPr>
      <w:spacing w:before="0" w:after="57"/>
      <w:ind w:left="0" w:right="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38">
    <w:name w:val="38"/>
    <w:pPr>
      <w:pBdr>
        <w:top w:val="single" w:sz="11" w:space="0" w:color="000000"/>
      </w:pBdr>
      <w:spacing w:before="510" w:after="57"/>
      <w:ind w:right="6236"/>
      <w:jc w:val="left"/>
    </w:pPr>
    <w:rPr>
      <w:rFonts w:ascii="Times New Roman" w:eastAsia="Times New Roman" w:hAnsi="Times New Roman" w:cs="Times New Roman"/>
      <w:sz w:val="18"/>
    </w:rPr>
  </w:style>
  <w:style w:type="paragraph" w:customStyle="1" w:styleId="39">
    <w:name w:val="39"/>
    <w:pPr>
      <w:overflowPunct/>
      <w:spacing w:before="57" w:after="170"/>
      <w:ind w:left="227" w:right="0" w:hanging="227"/>
      <w:jc w:val="left"/>
    </w:pPr>
    <w:rPr>
      <w:rFonts w:ascii="Times New Roman" w:eastAsia="Times New Roman" w:hAnsi="Times New Roman" w:cs="Times New Roman"/>
      <w:sz w:val="20"/>
    </w:rPr>
  </w:style>
  <w:style w:type="paragraph" w:customStyle="1" w:styleId="Varianta39start">
    <w:name w:val="Varianta_39_start"/>
    <w:pPr>
      <w:pBdr>
        <w:top w:val="single" w:sz="8" w:space="0" w:color="800080"/>
      </w:pBdr>
      <w:spacing w:before="0" w:after="100"/>
      <w:ind w:left="227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39konec">
    <w:name w:val="Varianta_39_konec"/>
    <w:pPr>
      <w:pBdr>
        <w:bottom w:val="single" w:sz="8" w:space="0" w:color="800080"/>
      </w:pBdr>
      <w:spacing w:before="0" w:after="100"/>
      <w:ind w:left="227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39start">
    <w:name w:val="Ucinnost_39_start"/>
    <w:pPr>
      <w:pBdr>
        <w:top w:val="single" w:sz="8" w:space="0" w:color="8B0000"/>
      </w:pBdr>
      <w:spacing w:before="0" w:after="100"/>
      <w:ind w:left="227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39konec">
    <w:name w:val="Ucinnost_39_konec"/>
    <w:pPr>
      <w:pBdr>
        <w:bottom w:val="single" w:sz="8" w:space="0" w:color="8B0000"/>
      </w:pBdr>
      <w:spacing w:before="0" w:after="100"/>
      <w:ind w:left="227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39start">
    <w:name w:val="Pripominky_39_start"/>
    <w:pPr>
      <w:pBdr>
        <w:top w:val="single" w:sz="8" w:space="0" w:color="87CEFA"/>
      </w:pBdr>
      <w:spacing w:before="0" w:after="100"/>
      <w:ind w:left="227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header" Target="header3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