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5108AB" w14:textId="77777777" w:rsidR="003604DB" w:rsidRDefault="00000000">
      <w:pPr>
        <w:spacing w:after="40"/>
      </w:pPr>
      <w:r>
        <w:rPr>
          <w:rFonts w:ascii="Helvetica" w:eastAsia="Helvetica" w:hAnsi="Helvetica" w:cs="Helvetica"/>
          <w:b/>
          <w:bCs/>
          <w:color w:val="C9A227"/>
          <w:sz w:val="19"/>
          <w:szCs w:val="19"/>
        </w:rPr>
        <w:t>RATGEBER</w:t>
      </w:r>
    </w:p>
    <w:p w14:paraId="25C645F0" w14:textId="77777777" w:rsidR="003604DB" w:rsidRDefault="00000000">
      <w:pPr>
        <w:spacing w:after="200"/>
      </w:pPr>
      <w:r>
        <w:rPr>
          <w:rFonts w:ascii="Helvetica" w:eastAsia="Helvetica" w:hAnsi="Helvetica" w:cs="Helvetica"/>
          <w:b/>
          <w:bCs/>
          <w:color w:val="12203D"/>
          <w:sz w:val="28"/>
          <w:szCs w:val="28"/>
        </w:rPr>
        <w:t>Stockwerkeigentum (STWEG) – häufige Fragen</w:t>
      </w:r>
    </w:p>
    <w:p w14:paraId="4275DC68" w14:textId="77777777" w:rsidR="003604DB" w:rsidRDefault="00000000">
      <w:pPr>
        <w:spacing w:after="220" w:line="300" w:lineRule="auto"/>
        <w:jc w:val="both"/>
      </w:pPr>
      <w:r>
        <w:rPr>
          <w:rFonts w:ascii="Helvetica" w:eastAsia="Helvetica" w:hAnsi="Helvetica" w:cs="Helvetica"/>
          <w:color w:val="33363D"/>
        </w:rPr>
        <w:t>Stockwerkeigentum ist in der Schweiz eine besondere Form des Miteigentums an einem Grundstück, die den Eigentümerinnen und Eigentümern das ausschliessliche Recht einräumt, bestimmte Teile eines Gebäudes (Stockwerkeinheiten) selbständig zu nutzen und innen auszubauen. Gleichzeitig bleiben viele Entscheidungen der Gemeinschaft vorbehalten. Die folgenden Antworten auf häufige Fragen schaffen Klarheit über Rechte, Pflichten und Abläufe innerhalb einer Stockwerkeigentümergemeinschaft.</w:t>
      </w:r>
    </w:p>
    <w:tbl>
      <w:tblP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8"/>
      </w:tblGrid>
      <w:tr w:rsidR="003604DB" w14:paraId="63799E87" w14:textId="77777777">
        <w:tblPrEx>
          <w:tblCellMar>
            <w:top w:w="0" w:type="dxa"/>
            <w:bottom w:w="0" w:type="dxa"/>
          </w:tblCellMar>
        </w:tblPrEx>
        <w:tc>
          <w:tcPr>
            <w:tcW w:w="8958" w:type="dxa"/>
            <w:tcBorders>
              <w:top w:val="single" w:sz="8" w:space="0" w:color="C9A227"/>
              <w:left w:val="single" w:sz="8" w:space="0" w:color="C9A227"/>
              <w:bottom w:val="single" w:sz="8" w:space="0" w:color="C9A227"/>
              <w:right w:val="single" w:sz="8" w:space="0" w:color="C9A227"/>
            </w:tcBorders>
            <w:shd w:val="clear" w:color="auto" w:fill="F7F1DE"/>
            <w:tcMar>
              <w:top w:w="140" w:type="dxa"/>
              <w:left w:w="180" w:type="dxa"/>
              <w:bottom w:w="140" w:type="dxa"/>
              <w:right w:w="180" w:type="dxa"/>
            </w:tcMar>
          </w:tcPr>
          <w:p w14:paraId="3E9561EA" w14:textId="77777777" w:rsidR="003604DB" w:rsidRDefault="00000000">
            <w:pPr>
              <w:spacing w:after="60"/>
            </w:pPr>
            <w:r>
              <w:rPr>
                <w:rFonts w:ascii="Helvetica" w:eastAsia="Helvetica" w:hAnsi="Helvetica" w:cs="Helvetica"/>
                <w:b/>
                <w:bCs/>
                <w:color w:val="12203D"/>
              </w:rPr>
              <w:t>§ Art. 712a ZGB – Begriff des Stockwerkeigentums</w:t>
            </w:r>
          </w:p>
          <w:p w14:paraId="03DA2993" w14:textId="77777777" w:rsidR="003604DB" w:rsidRDefault="00000000">
            <w:pPr>
              <w:spacing w:line="290" w:lineRule="auto"/>
              <w:jc w:val="both"/>
            </w:pPr>
            <w:r>
              <w:rPr>
                <w:rFonts w:ascii="Helvetica" w:eastAsia="Helvetica" w:hAnsi="Helvetica" w:cs="Helvetica"/>
                <w:color w:val="33363D"/>
                <w:sz w:val="19"/>
                <w:szCs w:val="19"/>
              </w:rPr>
              <w:t>Stockwerkeigentum ist der Miteigentumsanteil an einem Grundstück, der dem Miteigentümer das ausschliessliche Recht gibt, bestimmte Teile eines Gebäudes allein zu benützen und innen auszubauen. Der Stockwerkeigentümer kann über sein Recht verfügen, es verpfänden und rechtlich damit verfahren wie ein Alleineigentümer, soweit das Gesetz keine Ausnahme vorsieht.</w:t>
            </w:r>
          </w:p>
        </w:tc>
      </w:tr>
    </w:tbl>
    <w:p w14:paraId="4BC38EBD" w14:textId="77777777" w:rsidR="003604DB" w:rsidRDefault="003604DB">
      <w:pPr>
        <w:spacing w:after="200"/>
      </w:pPr>
    </w:p>
    <w:p w14:paraId="2847BF81" w14:textId="77777777" w:rsidR="003604DB" w:rsidRDefault="00000000">
      <w:pPr>
        <w:keepNext/>
        <w:spacing w:before="260" w:after="120"/>
      </w:pPr>
      <w:r>
        <w:rPr>
          <w:rFonts w:ascii="Helvetica" w:eastAsia="Helvetica" w:hAnsi="Helvetica" w:cs="Helvetica"/>
          <w:b/>
          <w:bCs/>
          <w:color w:val="12203D"/>
          <w:sz w:val="23"/>
          <w:szCs w:val="23"/>
        </w:rPr>
        <w:t>Rechte und Pflichten der Stockwerkeigentümer</w:t>
      </w:r>
    </w:p>
    <w:p w14:paraId="638A7F58" w14:textId="77777777" w:rsidR="003604DB" w:rsidRDefault="00000000">
      <w:pPr>
        <w:pStyle w:val="Listenabsatz"/>
        <w:numPr>
          <w:ilvl w:val="0"/>
          <w:numId w:val="2"/>
        </w:numPr>
        <w:spacing w:after="80" w:line="292" w:lineRule="auto"/>
      </w:pPr>
      <w:r>
        <w:rPr>
          <w:rFonts w:ascii="Helvetica" w:eastAsia="Helvetica" w:hAnsi="Helvetica" w:cs="Helvetica"/>
          <w:color w:val="33363D"/>
        </w:rPr>
        <w:t>Ausschliessliche Nutzung der eigenen Einheit (Sonderrecht) sowie Mitgebrauch der gemeinschaftlichen Teile wie Treppenhaus, Dach oder Umschwung.</w:t>
      </w:r>
    </w:p>
    <w:p w14:paraId="534437BF" w14:textId="77777777" w:rsidR="003604DB" w:rsidRDefault="00000000">
      <w:pPr>
        <w:pStyle w:val="Listenabsatz"/>
        <w:numPr>
          <w:ilvl w:val="0"/>
          <w:numId w:val="2"/>
        </w:numPr>
        <w:spacing w:after="80" w:line="292" w:lineRule="auto"/>
      </w:pPr>
      <w:r>
        <w:rPr>
          <w:rFonts w:ascii="Helvetica" w:eastAsia="Helvetica" w:hAnsi="Helvetica" w:cs="Helvetica"/>
          <w:color w:val="33363D"/>
        </w:rPr>
        <w:t>Pflicht zur ordnungsgemässen Instandhaltung der eigenen Einheit, damit keine Schäden an gemeinschaftlichen Teilen entstehen.</w:t>
      </w:r>
    </w:p>
    <w:p w14:paraId="7B1B7FFC" w14:textId="77777777" w:rsidR="003604DB" w:rsidRDefault="00000000">
      <w:pPr>
        <w:pStyle w:val="Listenabsatz"/>
        <w:numPr>
          <w:ilvl w:val="0"/>
          <w:numId w:val="2"/>
        </w:numPr>
        <w:spacing w:after="80" w:line="292" w:lineRule="auto"/>
      </w:pPr>
      <w:r>
        <w:rPr>
          <w:rFonts w:ascii="Helvetica" w:eastAsia="Helvetica" w:hAnsi="Helvetica" w:cs="Helvetica"/>
          <w:color w:val="33363D"/>
        </w:rPr>
        <w:t>Beitragspflicht an die gemeinsamen Kosten im Verhältnis der Wertquoten.</w:t>
      </w:r>
    </w:p>
    <w:p w14:paraId="6909F270" w14:textId="77777777" w:rsidR="003604DB" w:rsidRDefault="00000000">
      <w:pPr>
        <w:pStyle w:val="Listenabsatz"/>
        <w:numPr>
          <w:ilvl w:val="0"/>
          <w:numId w:val="2"/>
        </w:numPr>
        <w:spacing w:after="80" w:line="292" w:lineRule="auto"/>
      </w:pPr>
      <w:r>
        <w:rPr>
          <w:rFonts w:ascii="Helvetica" w:eastAsia="Helvetica" w:hAnsi="Helvetica" w:cs="Helvetica"/>
          <w:color w:val="33363D"/>
        </w:rPr>
        <w:t>Teilnahme- und Stimmrecht an der Stockwerkeigentümerversammlung.</w:t>
      </w:r>
    </w:p>
    <w:tbl>
      <w:tblP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8"/>
      </w:tblGrid>
      <w:tr w:rsidR="003604DB" w14:paraId="40AC06DF" w14:textId="77777777">
        <w:tblPrEx>
          <w:tblCellMar>
            <w:top w:w="0" w:type="dxa"/>
            <w:bottom w:w="0" w:type="dxa"/>
          </w:tblCellMar>
        </w:tblPrEx>
        <w:tc>
          <w:tcPr>
            <w:tcW w:w="8958" w:type="dxa"/>
            <w:tcBorders>
              <w:top w:val="single" w:sz="8" w:space="0" w:color="C9A227"/>
              <w:left w:val="single" w:sz="8" w:space="0" w:color="C9A227"/>
              <w:bottom w:val="single" w:sz="8" w:space="0" w:color="C9A227"/>
              <w:right w:val="single" w:sz="8" w:space="0" w:color="C9A227"/>
            </w:tcBorders>
            <w:shd w:val="clear" w:color="auto" w:fill="F7F1DE"/>
            <w:tcMar>
              <w:top w:w="140" w:type="dxa"/>
              <w:left w:w="180" w:type="dxa"/>
              <w:bottom w:w="140" w:type="dxa"/>
              <w:right w:w="180" w:type="dxa"/>
            </w:tcMar>
          </w:tcPr>
          <w:p w14:paraId="3DA69153" w14:textId="77777777" w:rsidR="003604DB" w:rsidRDefault="00000000">
            <w:pPr>
              <w:spacing w:after="60"/>
            </w:pPr>
            <w:r>
              <w:rPr>
                <w:rFonts w:ascii="Helvetica" w:eastAsia="Helvetica" w:hAnsi="Helvetica" w:cs="Helvetica"/>
                <w:b/>
                <w:bCs/>
                <w:color w:val="12203D"/>
              </w:rPr>
              <w:t>§ Art. 712h ZGB – Kosten und Lasten des gemeinschaftlichen Eigentums</w:t>
            </w:r>
          </w:p>
          <w:p w14:paraId="3A21E070" w14:textId="77777777" w:rsidR="003604DB" w:rsidRDefault="00000000">
            <w:pPr>
              <w:spacing w:line="290" w:lineRule="auto"/>
              <w:jc w:val="both"/>
            </w:pPr>
            <w:r>
              <w:rPr>
                <w:rFonts w:ascii="Helvetica" w:eastAsia="Helvetica" w:hAnsi="Helvetica" w:cs="Helvetica"/>
                <w:color w:val="33363D"/>
                <w:sz w:val="19"/>
                <w:szCs w:val="19"/>
              </w:rPr>
              <w:t>Die Stockwerkeigentümer tragen die Lasten des gemeinschaftlichen Eigentums und die Kosten der gemeinsamen Verwaltung im Verhältnis des Wertes ihrer Anteile, soweit nicht durch das Reglement etwas anderes bestimmt wird. Dazu gehören insbesondere Unterhalt, Reparaturen, Erneuerungen sowie die Beiträge an den Erneuerungsfonds.</w:t>
            </w:r>
          </w:p>
        </w:tc>
      </w:tr>
    </w:tbl>
    <w:p w14:paraId="22907F37" w14:textId="77777777" w:rsidR="003604DB" w:rsidRDefault="003604DB">
      <w:pPr>
        <w:spacing w:after="200"/>
      </w:pPr>
    </w:p>
    <w:p w14:paraId="1C6D3188" w14:textId="77777777" w:rsidR="003604DB" w:rsidRDefault="00000000">
      <w:pPr>
        <w:keepNext/>
        <w:spacing w:before="260" w:after="120"/>
      </w:pPr>
      <w:r>
        <w:rPr>
          <w:rFonts w:ascii="Helvetica" w:eastAsia="Helvetica" w:hAnsi="Helvetica" w:cs="Helvetica"/>
          <w:b/>
          <w:bCs/>
          <w:color w:val="12203D"/>
          <w:sz w:val="23"/>
          <w:szCs w:val="23"/>
        </w:rPr>
        <w:t>Versammlung und Verwaltung</w:t>
      </w:r>
    </w:p>
    <w:tbl>
      <w:tblP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8"/>
      </w:tblGrid>
      <w:tr w:rsidR="003604DB" w14:paraId="7462988E" w14:textId="77777777">
        <w:tblPrEx>
          <w:tblCellMar>
            <w:top w:w="0" w:type="dxa"/>
            <w:bottom w:w="0" w:type="dxa"/>
          </w:tblCellMar>
        </w:tblPrEx>
        <w:tc>
          <w:tcPr>
            <w:tcW w:w="8958" w:type="dxa"/>
            <w:tcBorders>
              <w:top w:val="single" w:sz="8" w:space="0" w:color="C9A227"/>
              <w:left w:val="single" w:sz="8" w:space="0" w:color="C9A227"/>
              <w:bottom w:val="single" w:sz="8" w:space="0" w:color="C9A227"/>
              <w:right w:val="single" w:sz="8" w:space="0" w:color="C9A227"/>
            </w:tcBorders>
            <w:shd w:val="clear" w:color="auto" w:fill="F7F1DE"/>
            <w:tcMar>
              <w:top w:w="140" w:type="dxa"/>
              <w:left w:w="180" w:type="dxa"/>
              <w:bottom w:w="140" w:type="dxa"/>
              <w:right w:w="180" w:type="dxa"/>
            </w:tcMar>
          </w:tcPr>
          <w:p w14:paraId="2411EC00" w14:textId="77777777" w:rsidR="003604DB" w:rsidRDefault="00000000">
            <w:pPr>
              <w:spacing w:after="60"/>
            </w:pPr>
            <w:r>
              <w:rPr>
                <w:rFonts w:ascii="Helvetica" w:eastAsia="Helvetica" w:hAnsi="Helvetica" w:cs="Helvetica"/>
                <w:b/>
                <w:bCs/>
                <w:color w:val="12203D"/>
              </w:rPr>
              <w:t>§ Art. 712m ZGB – Befugnisse der Versammlung</w:t>
            </w:r>
          </w:p>
          <w:p w14:paraId="5E977B50" w14:textId="77777777" w:rsidR="003604DB" w:rsidRDefault="00000000">
            <w:pPr>
              <w:spacing w:line="290" w:lineRule="auto"/>
              <w:jc w:val="both"/>
            </w:pPr>
            <w:r>
              <w:rPr>
                <w:rFonts w:ascii="Helvetica" w:eastAsia="Helvetica" w:hAnsi="Helvetica" w:cs="Helvetica"/>
                <w:color w:val="33363D"/>
                <w:sz w:val="19"/>
                <w:szCs w:val="19"/>
              </w:rPr>
              <w:t>Die Versammlung der Stockwerkeigentümer entscheidet insbesondere über Wahl und Abberufung des Verwalters, Genehmigung von Budget und Jahresrechnung, Festsetzung der Beiträge sowie über bauliche Massnahmen. Jeder Stockwerkeigentümer kann verlangen, dass die Versammlung mindestens einmal jährlich einberufen wird.</w:t>
            </w:r>
          </w:p>
        </w:tc>
      </w:tr>
    </w:tbl>
    <w:p w14:paraId="05838064" w14:textId="77777777" w:rsidR="003604DB" w:rsidRDefault="003604DB">
      <w:pPr>
        <w:spacing w:after="200"/>
      </w:pPr>
    </w:p>
    <w:p w14:paraId="20E13919" w14:textId="77777777" w:rsidR="003604DB" w:rsidRDefault="00000000">
      <w:pPr>
        <w:pStyle w:val="Listenabsatz"/>
        <w:numPr>
          <w:ilvl w:val="0"/>
          <w:numId w:val="2"/>
        </w:numPr>
        <w:spacing w:after="80" w:line="292" w:lineRule="auto"/>
      </w:pPr>
      <w:r>
        <w:rPr>
          <w:rFonts w:ascii="Helvetica" w:eastAsia="Helvetica" w:hAnsi="Helvetica" w:cs="Helvetica"/>
          <w:color w:val="33363D"/>
        </w:rPr>
        <w:t>Der Verwalter führt die laufenden Geschäfte, verwaltet den Erneuerungsfonds und vertritt die Gemeinschaft nach aussen.</w:t>
      </w:r>
    </w:p>
    <w:p w14:paraId="7B583378" w14:textId="77777777" w:rsidR="003604DB" w:rsidRDefault="00000000">
      <w:pPr>
        <w:pStyle w:val="Listenabsatz"/>
        <w:numPr>
          <w:ilvl w:val="0"/>
          <w:numId w:val="2"/>
        </w:numPr>
        <w:spacing w:after="80" w:line="292" w:lineRule="auto"/>
      </w:pPr>
      <w:r>
        <w:rPr>
          <w:rFonts w:ascii="Helvetica" w:eastAsia="Helvetica" w:hAnsi="Helvetica" w:cs="Helvetica"/>
          <w:color w:val="33363D"/>
        </w:rPr>
        <w:t>Beschlüsse werden grundsätzlich nach Kopf- und Wertquoten gefasst; für wichtige Entscheide gelten qualifizierte Mehrheiten.</w:t>
      </w:r>
    </w:p>
    <w:p w14:paraId="01BB7610" w14:textId="77777777" w:rsidR="003604DB" w:rsidRDefault="00000000">
      <w:pPr>
        <w:pStyle w:val="Listenabsatz"/>
        <w:numPr>
          <w:ilvl w:val="0"/>
          <w:numId w:val="2"/>
        </w:numPr>
        <w:spacing w:after="80" w:line="292" w:lineRule="auto"/>
      </w:pPr>
      <w:r>
        <w:rPr>
          <w:rFonts w:ascii="Helvetica" w:eastAsia="Helvetica" w:hAnsi="Helvetica" w:cs="Helvetica"/>
          <w:color w:val="33363D"/>
        </w:rPr>
        <w:lastRenderedPageBreak/>
        <w:t>Ein Reglement kann Nutzung, Kostenverteilung und Hausordnung detailliert regeln.</w:t>
      </w:r>
    </w:p>
    <w:p w14:paraId="0FACF3D8" w14:textId="77777777" w:rsidR="003604DB" w:rsidRDefault="00000000">
      <w:pPr>
        <w:keepNext/>
        <w:spacing w:before="260" w:after="120"/>
      </w:pPr>
      <w:r>
        <w:rPr>
          <w:rFonts w:ascii="Helvetica" w:eastAsia="Helvetica" w:hAnsi="Helvetica" w:cs="Helvetica"/>
          <w:b/>
          <w:bCs/>
          <w:color w:val="12203D"/>
          <w:sz w:val="23"/>
          <w:szCs w:val="23"/>
        </w:rPr>
        <w:t>Bauliche Massnahmen: notwendig, nützlich oder luxuriös</w:t>
      </w:r>
    </w:p>
    <w:tbl>
      <w:tblP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8"/>
      </w:tblGrid>
      <w:tr w:rsidR="003604DB" w14:paraId="7B79EF03" w14:textId="77777777">
        <w:tblPrEx>
          <w:tblCellMar>
            <w:top w:w="0" w:type="dxa"/>
            <w:bottom w:w="0" w:type="dxa"/>
          </w:tblCellMar>
        </w:tblPrEx>
        <w:tc>
          <w:tcPr>
            <w:tcW w:w="8958" w:type="dxa"/>
            <w:tcBorders>
              <w:top w:val="single" w:sz="8" w:space="0" w:color="C9A227"/>
              <w:left w:val="single" w:sz="8" w:space="0" w:color="C9A227"/>
              <w:bottom w:val="single" w:sz="8" w:space="0" w:color="C9A227"/>
              <w:right w:val="single" w:sz="8" w:space="0" w:color="C9A227"/>
            </w:tcBorders>
            <w:shd w:val="clear" w:color="auto" w:fill="F7F1DE"/>
            <w:tcMar>
              <w:top w:w="140" w:type="dxa"/>
              <w:left w:w="180" w:type="dxa"/>
              <w:bottom w:w="140" w:type="dxa"/>
              <w:right w:w="180" w:type="dxa"/>
            </w:tcMar>
          </w:tcPr>
          <w:p w14:paraId="79136981" w14:textId="77777777" w:rsidR="003604DB" w:rsidRDefault="00000000">
            <w:pPr>
              <w:spacing w:after="60"/>
            </w:pPr>
            <w:r>
              <w:rPr>
                <w:rFonts w:ascii="Helvetica" w:eastAsia="Helvetica" w:hAnsi="Helvetica" w:cs="Helvetica"/>
                <w:b/>
                <w:bCs/>
                <w:color w:val="12203D"/>
              </w:rPr>
              <w:t>§ Art. 647d / 647e ZGB – Nützliche und luxuriöse Massnahmen</w:t>
            </w:r>
          </w:p>
          <w:p w14:paraId="78C36801" w14:textId="77777777" w:rsidR="003604DB" w:rsidRDefault="00000000">
            <w:pPr>
              <w:spacing w:line="290" w:lineRule="auto"/>
              <w:jc w:val="both"/>
            </w:pPr>
            <w:r>
              <w:rPr>
                <w:rFonts w:ascii="Helvetica" w:eastAsia="Helvetica" w:hAnsi="Helvetica" w:cs="Helvetica"/>
                <w:color w:val="33363D"/>
                <w:sz w:val="19"/>
                <w:szCs w:val="19"/>
              </w:rPr>
              <w:t>Notwendige Massnahmen (Unterhalt, Reparaturen) können durch die Mehrheit beschlossen werden. Nützliche bauliche Massnahmen bedürfen der Zustimmung der Mehrheit aller Miteigentümer, die zugleich den grösseren Teil der Sache vertritt. Luxuriöse Massnahmen, die weder der Werterhaltung noch der Zweckmässigkeit dienen, bedürfen der Zustimmung aller Miteigentümer.</w:t>
            </w:r>
          </w:p>
        </w:tc>
      </w:tr>
    </w:tbl>
    <w:p w14:paraId="0FD341A6" w14:textId="77777777" w:rsidR="003604DB" w:rsidRDefault="003604DB">
      <w:pPr>
        <w:spacing w:after="200"/>
      </w:pPr>
    </w:p>
    <w:tbl>
      <w:tblP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58"/>
        <w:gridCol w:w="2300"/>
      </w:tblGrid>
      <w:tr w:rsidR="003604DB" w14:paraId="6C510653" w14:textId="77777777">
        <w:tblPrEx>
          <w:tblCellMar>
            <w:top w:w="0" w:type="dxa"/>
            <w:bottom w:w="0" w:type="dxa"/>
          </w:tblCellMar>
        </w:tblPrEx>
        <w:trPr>
          <w:tblHeader/>
        </w:trPr>
        <w:tc>
          <w:tcPr>
            <w:tcW w:w="2400" w:type="dxa"/>
            <w:shd w:val="clear" w:color="auto" w:fill="12203D"/>
            <w:tcMar>
              <w:top w:w="90" w:type="dxa"/>
              <w:left w:w="110" w:type="dxa"/>
              <w:bottom w:w="90" w:type="dxa"/>
              <w:right w:w="110" w:type="dxa"/>
            </w:tcMar>
            <w:vAlign w:val="center"/>
          </w:tcPr>
          <w:p w14:paraId="368A4503" w14:textId="77777777" w:rsidR="003604DB" w:rsidRDefault="00000000">
            <w:r>
              <w:rPr>
                <w:rFonts w:ascii="Helvetica" w:eastAsia="Helvetica" w:hAnsi="Helvetica" w:cs="Helvetica"/>
                <w:b/>
                <w:bCs/>
                <w:color w:val="FFFFFF"/>
                <w:sz w:val="18"/>
                <w:szCs w:val="18"/>
              </w:rPr>
              <w:t>Art der Massnahme</w:t>
            </w:r>
          </w:p>
        </w:tc>
        <w:tc>
          <w:tcPr>
            <w:tcW w:w="4258" w:type="dxa"/>
            <w:shd w:val="clear" w:color="auto" w:fill="12203D"/>
            <w:tcMar>
              <w:top w:w="90" w:type="dxa"/>
              <w:left w:w="110" w:type="dxa"/>
              <w:bottom w:w="90" w:type="dxa"/>
              <w:right w:w="110" w:type="dxa"/>
            </w:tcMar>
            <w:vAlign w:val="center"/>
          </w:tcPr>
          <w:p w14:paraId="71865768" w14:textId="77777777" w:rsidR="003604DB" w:rsidRDefault="00000000">
            <w:r>
              <w:rPr>
                <w:rFonts w:ascii="Helvetica" w:eastAsia="Helvetica" w:hAnsi="Helvetica" w:cs="Helvetica"/>
                <w:b/>
                <w:bCs/>
                <w:color w:val="FFFFFF"/>
                <w:sz w:val="18"/>
                <w:szCs w:val="18"/>
              </w:rPr>
              <w:t>Beispiel</w:t>
            </w:r>
          </w:p>
        </w:tc>
        <w:tc>
          <w:tcPr>
            <w:tcW w:w="2300" w:type="dxa"/>
            <w:shd w:val="clear" w:color="auto" w:fill="12203D"/>
            <w:tcMar>
              <w:top w:w="90" w:type="dxa"/>
              <w:left w:w="110" w:type="dxa"/>
              <w:bottom w:w="90" w:type="dxa"/>
              <w:right w:w="110" w:type="dxa"/>
            </w:tcMar>
            <w:vAlign w:val="center"/>
          </w:tcPr>
          <w:p w14:paraId="49D43062" w14:textId="77777777" w:rsidR="003604DB" w:rsidRDefault="00000000">
            <w:r>
              <w:rPr>
                <w:rFonts w:ascii="Helvetica" w:eastAsia="Helvetica" w:hAnsi="Helvetica" w:cs="Helvetica"/>
                <w:b/>
                <w:bCs/>
                <w:color w:val="FFFFFF"/>
                <w:sz w:val="18"/>
                <w:szCs w:val="18"/>
              </w:rPr>
              <w:t>Erforderliches Quorum</w:t>
            </w:r>
          </w:p>
        </w:tc>
      </w:tr>
      <w:tr w:rsidR="003604DB" w14:paraId="157FFE4B" w14:textId="77777777">
        <w:tblPrEx>
          <w:tblCellMar>
            <w:top w:w="0" w:type="dxa"/>
            <w:bottom w:w="0" w:type="dxa"/>
          </w:tblCellMar>
        </w:tblPrEx>
        <w:tc>
          <w:tcPr>
            <w:tcW w:w="2400" w:type="dxa"/>
            <w:tcBorders>
              <w:bottom w:val="single" w:sz="4" w:space="0" w:color="D8D2C2"/>
            </w:tcBorders>
            <w:shd w:val="clear" w:color="auto" w:fill="FFFFFF"/>
            <w:tcMar>
              <w:top w:w="80" w:type="dxa"/>
              <w:left w:w="110" w:type="dxa"/>
              <w:bottom w:w="80" w:type="dxa"/>
              <w:right w:w="110" w:type="dxa"/>
            </w:tcMar>
            <w:vAlign w:val="center"/>
          </w:tcPr>
          <w:p w14:paraId="7B6C9F7A" w14:textId="77777777" w:rsidR="003604DB" w:rsidRDefault="00000000">
            <w:r>
              <w:rPr>
                <w:rFonts w:ascii="Helvetica" w:eastAsia="Helvetica" w:hAnsi="Helvetica" w:cs="Helvetica"/>
                <w:color w:val="33363D"/>
                <w:sz w:val="18"/>
                <w:szCs w:val="18"/>
              </w:rPr>
              <w:t>Notwendig</w:t>
            </w:r>
          </w:p>
        </w:tc>
        <w:tc>
          <w:tcPr>
            <w:tcW w:w="4258" w:type="dxa"/>
            <w:tcBorders>
              <w:bottom w:val="single" w:sz="4" w:space="0" w:color="D8D2C2"/>
            </w:tcBorders>
            <w:shd w:val="clear" w:color="auto" w:fill="FFFFFF"/>
            <w:tcMar>
              <w:top w:w="80" w:type="dxa"/>
              <w:left w:w="110" w:type="dxa"/>
              <w:bottom w:w="80" w:type="dxa"/>
              <w:right w:w="110" w:type="dxa"/>
            </w:tcMar>
            <w:vAlign w:val="center"/>
          </w:tcPr>
          <w:p w14:paraId="112EF8CB" w14:textId="77777777" w:rsidR="003604DB" w:rsidRDefault="00000000">
            <w:r>
              <w:rPr>
                <w:rFonts w:ascii="Helvetica" w:eastAsia="Helvetica" w:hAnsi="Helvetica" w:cs="Helvetica"/>
                <w:color w:val="33363D"/>
                <w:sz w:val="18"/>
                <w:szCs w:val="18"/>
              </w:rPr>
              <w:t>Dachreparatur, Heizungsersatz</w:t>
            </w:r>
          </w:p>
        </w:tc>
        <w:tc>
          <w:tcPr>
            <w:tcW w:w="2300" w:type="dxa"/>
            <w:tcBorders>
              <w:bottom w:val="single" w:sz="4" w:space="0" w:color="D8D2C2"/>
            </w:tcBorders>
            <w:shd w:val="clear" w:color="auto" w:fill="FFFFFF"/>
            <w:tcMar>
              <w:top w:w="80" w:type="dxa"/>
              <w:left w:w="110" w:type="dxa"/>
              <w:bottom w:w="80" w:type="dxa"/>
              <w:right w:w="110" w:type="dxa"/>
            </w:tcMar>
            <w:vAlign w:val="center"/>
          </w:tcPr>
          <w:p w14:paraId="520B45C2" w14:textId="77777777" w:rsidR="003604DB" w:rsidRDefault="00000000">
            <w:r>
              <w:rPr>
                <w:rFonts w:ascii="Helvetica" w:eastAsia="Helvetica" w:hAnsi="Helvetica" w:cs="Helvetica"/>
                <w:color w:val="33363D"/>
                <w:sz w:val="18"/>
                <w:szCs w:val="18"/>
              </w:rPr>
              <w:t>Mehrheitsbeschluss</w:t>
            </w:r>
          </w:p>
        </w:tc>
      </w:tr>
      <w:tr w:rsidR="003604DB" w14:paraId="6D88A49F" w14:textId="77777777">
        <w:tblPrEx>
          <w:tblCellMar>
            <w:top w:w="0" w:type="dxa"/>
            <w:bottom w:w="0" w:type="dxa"/>
          </w:tblCellMar>
        </w:tblPrEx>
        <w:tc>
          <w:tcPr>
            <w:tcW w:w="2400" w:type="dxa"/>
            <w:tcBorders>
              <w:bottom w:val="single" w:sz="4" w:space="0" w:color="D8D2C2"/>
            </w:tcBorders>
            <w:shd w:val="clear" w:color="auto" w:fill="F5F3EC"/>
            <w:tcMar>
              <w:top w:w="80" w:type="dxa"/>
              <w:left w:w="110" w:type="dxa"/>
              <w:bottom w:w="80" w:type="dxa"/>
              <w:right w:w="110" w:type="dxa"/>
            </w:tcMar>
            <w:vAlign w:val="center"/>
          </w:tcPr>
          <w:p w14:paraId="6A4B3C6A" w14:textId="77777777" w:rsidR="003604DB" w:rsidRDefault="00000000">
            <w:r>
              <w:rPr>
                <w:rFonts w:ascii="Helvetica" w:eastAsia="Helvetica" w:hAnsi="Helvetica" w:cs="Helvetica"/>
                <w:color w:val="33363D"/>
                <w:sz w:val="18"/>
                <w:szCs w:val="18"/>
              </w:rPr>
              <w:t>Nützlich</w:t>
            </w:r>
          </w:p>
        </w:tc>
        <w:tc>
          <w:tcPr>
            <w:tcW w:w="4258" w:type="dxa"/>
            <w:tcBorders>
              <w:bottom w:val="single" w:sz="4" w:space="0" w:color="D8D2C2"/>
            </w:tcBorders>
            <w:shd w:val="clear" w:color="auto" w:fill="F5F3EC"/>
            <w:tcMar>
              <w:top w:w="80" w:type="dxa"/>
              <w:left w:w="110" w:type="dxa"/>
              <w:bottom w:w="80" w:type="dxa"/>
              <w:right w:w="110" w:type="dxa"/>
            </w:tcMar>
            <w:vAlign w:val="center"/>
          </w:tcPr>
          <w:p w14:paraId="63599F0C" w14:textId="77777777" w:rsidR="003604DB" w:rsidRDefault="00000000">
            <w:r>
              <w:rPr>
                <w:rFonts w:ascii="Helvetica" w:eastAsia="Helvetica" w:hAnsi="Helvetica" w:cs="Helvetica"/>
                <w:color w:val="33363D"/>
                <w:sz w:val="18"/>
                <w:szCs w:val="18"/>
              </w:rPr>
              <w:t>Neue Fassadendämmung, Liftmodernisierung</w:t>
            </w:r>
          </w:p>
        </w:tc>
        <w:tc>
          <w:tcPr>
            <w:tcW w:w="2300" w:type="dxa"/>
            <w:tcBorders>
              <w:bottom w:val="single" w:sz="4" w:space="0" w:color="D8D2C2"/>
            </w:tcBorders>
            <w:shd w:val="clear" w:color="auto" w:fill="F5F3EC"/>
            <w:tcMar>
              <w:top w:w="80" w:type="dxa"/>
              <w:left w:w="110" w:type="dxa"/>
              <w:bottom w:w="80" w:type="dxa"/>
              <w:right w:w="110" w:type="dxa"/>
            </w:tcMar>
            <w:vAlign w:val="center"/>
          </w:tcPr>
          <w:p w14:paraId="003788D3" w14:textId="77777777" w:rsidR="003604DB" w:rsidRDefault="00000000">
            <w:proofErr w:type="spellStart"/>
            <w:r>
              <w:rPr>
                <w:rFonts w:ascii="Helvetica" w:eastAsia="Helvetica" w:hAnsi="Helvetica" w:cs="Helvetica"/>
                <w:color w:val="33363D"/>
                <w:sz w:val="18"/>
                <w:szCs w:val="18"/>
              </w:rPr>
              <w:t>qual</w:t>
            </w:r>
            <w:proofErr w:type="spellEnd"/>
            <w:r>
              <w:rPr>
                <w:rFonts w:ascii="Helvetica" w:eastAsia="Helvetica" w:hAnsi="Helvetica" w:cs="Helvetica"/>
                <w:color w:val="33363D"/>
                <w:sz w:val="18"/>
                <w:szCs w:val="18"/>
              </w:rPr>
              <w:t>. Mehrheit</w:t>
            </w:r>
          </w:p>
        </w:tc>
      </w:tr>
      <w:tr w:rsidR="003604DB" w14:paraId="54AF18DA" w14:textId="77777777">
        <w:tblPrEx>
          <w:tblCellMar>
            <w:top w:w="0" w:type="dxa"/>
            <w:bottom w:w="0" w:type="dxa"/>
          </w:tblCellMar>
        </w:tblPrEx>
        <w:tc>
          <w:tcPr>
            <w:tcW w:w="2400" w:type="dxa"/>
            <w:tcBorders>
              <w:bottom w:val="single" w:sz="4" w:space="0" w:color="D8D2C2"/>
            </w:tcBorders>
            <w:shd w:val="clear" w:color="auto" w:fill="FFFFFF"/>
            <w:tcMar>
              <w:top w:w="80" w:type="dxa"/>
              <w:left w:w="110" w:type="dxa"/>
              <w:bottom w:w="80" w:type="dxa"/>
              <w:right w:w="110" w:type="dxa"/>
            </w:tcMar>
            <w:vAlign w:val="center"/>
          </w:tcPr>
          <w:p w14:paraId="2E205AC8" w14:textId="77777777" w:rsidR="003604DB" w:rsidRDefault="00000000">
            <w:r>
              <w:rPr>
                <w:rFonts w:ascii="Helvetica" w:eastAsia="Helvetica" w:hAnsi="Helvetica" w:cs="Helvetica"/>
                <w:color w:val="33363D"/>
                <w:sz w:val="18"/>
                <w:szCs w:val="18"/>
              </w:rPr>
              <w:t>Luxuriös</w:t>
            </w:r>
          </w:p>
        </w:tc>
        <w:tc>
          <w:tcPr>
            <w:tcW w:w="4258" w:type="dxa"/>
            <w:tcBorders>
              <w:bottom w:val="single" w:sz="4" w:space="0" w:color="D8D2C2"/>
            </w:tcBorders>
            <w:shd w:val="clear" w:color="auto" w:fill="FFFFFF"/>
            <w:tcMar>
              <w:top w:w="80" w:type="dxa"/>
              <w:left w:w="110" w:type="dxa"/>
              <w:bottom w:w="80" w:type="dxa"/>
              <w:right w:w="110" w:type="dxa"/>
            </w:tcMar>
            <w:vAlign w:val="center"/>
          </w:tcPr>
          <w:p w14:paraId="2A47657A" w14:textId="77777777" w:rsidR="003604DB" w:rsidRDefault="00000000">
            <w:r>
              <w:rPr>
                <w:rFonts w:ascii="Helvetica" w:eastAsia="Helvetica" w:hAnsi="Helvetica" w:cs="Helvetica"/>
                <w:color w:val="33363D"/>
                <w:sz w:val="18"/>
                <w:szCs w:val="18"/>
              </w:rPr>
              <w:t>Pool, Sauna, aufwendige Umgebungsgestaltung</w:t>
            </w:r>
          </w:p>
        </w:tc>
        <w:tc>
          <w:tcPr>
            <w:tcW w:w="2300" w:type="dxa"/>
            <w:tcBorders>
              <w:bottom w:val="single" w:sz="4" w:space="0" w:color="D8D2C2"/>
            </w:tcBorders>
            <w:shd w:val="clear" w:color="auto" w:fill="FFFFFF"/>
            <w:tcMar>
              <w:top w:w="80" w:type="dxa"/>
              <w:left w:w="110" w:type="dxa"/>
              <w:bottom w:w="80" w:type="dxa"/>
              <w:right w:w="110" w:type="dxa"/>
            </w:tcMar>
            <w:vAlign w:val="center"/>
          </w:tcPr>
          <w:p w14:paraId="100CC35A" w14:textId="77777777" w:rsidR="003604DB" w:rsidRDefault="00000000">
            <w:r>
              <w:rPr>
                <w:rFonts w:ascii="Helvetica" w:eastAsia="Helvetica" w:hAnsi="Helvetica" w:cs="Helvetica"/>
                <w:color w:val="33363D"/>
                <w:sz w:val="18"/>
                <w:szCs w:val="18"/>
              </w:rPr>
              <w:t>Einstimmigkeit</w:t>
            </w:r>
          </w:p>
        </w:tc>
      </w:tr>
    </w:tbl>
    <w:p w14:paraId="5C595622" w14:textId="77777777" w:rsidR="003604DB" w:rsidRDefault="003604DB">
      <w:pPr>
        <w:spacing w:after="160"/>
      </w:pPr>
    </w:p>
    <w:p w14:paraId="6A4A489D" w14:textId="77777777" w:rsidR="003604DB" w:rsidRDefault="00000000">
      <w:pPr>
        <w:keepNext/>
        <w:spacing w:before="260" w:after="120"/>
      </w:pPr>
      <w:r>
        <w:rPr>
          <w:rFonts w:ascii="Helvetica" w:eastAsia="Helvetica" w:hAnsi="Helvetica" w:cs="Helvetica"/>
          <w:b/>
          <w:bCs/>
          <w:color w:val="12203D"/>
          <w:sz w:val="23"/>
          <w:szCs w:val="23"/>
        </w:rPr>
        <w:t>Häufig gestellte Fragen</w:t>
      </w:r>
    </w:p>
    <w:p w14:paraId="3ED0AF50" w14:textId="77777777" w:rsidR="003604DB" w:rsidRDefault="00000000">
      <w:pPr>
        <w:keepNext/>
        <w:spacing w:before="200" w:after="60"/>
      </w:pPr>
      <w:r>
        <w:rPr>
          <w:rFonts w:ascii="Helvetica" w:eastAsia="Helvetica" w:hAnsi="Helvetica" w:cs="Helvetica"/>
          <w:b/>
          <w:bCs/>
          <w:color w:val="12203D"/>
          <w:sz w:val="22"/>
          <w:szCs w:val="22"/>
        </w:rPr>
        <w:t>F: Muss ich dem Erneuerungsfonds beitreten?</w:t>
      </w:r>
    </w:p>
    <w:p w14:paraId="66E268B3" w14:textId="77777777" w:rsidR="003604DB" w:rsidRDefault="00000000">
      <w:pPr>
        <w:spacing w:after="40" w:line="300" w:lineRule="auto"/>
        <w:jc w:val="both"/>
      </w:pPr>
      <w:r>
        <w:rPr>
          <w:rFonts w:ascii="Helvetica" w:eastAsia="Helvetica" w:hAnsi="Helvetica" w:cs="Helvetica"/>
          <w:color w:val="33363D"/>
        </w:rPr>
        <w:t>A: Ja. Der Erneuerungsfonds dient der Finanzierung künftiger Sanierungen und ist in der Regel im Reglement vorgeschrieben. Die Beiträge richten sich nach der Wertquote.</w:t>
      </w:r>
    </w:p>
    <w:p w14:paraId="16D796A9" w14:textId="77777777" w:rsidR="003604DB" w:rsidRDefault="00000000">
      <w:pPr>
        <w:keepNext/>
        <w:spacing w:before="200" w:after="60"/>
      </w:pPr>
      <w:r>
        <w:rPr>
          <w:rFonts w:ascii="Helvetica" w:eastAsia="Helvetica" w:hAnsi="Helvetica" w:cs="Helvetica"/>
          <w:b/>
          <w:bCs/>
          <w:color w:val="12203D"/>
          <w:sz w:val="22"/>
          <w:szCs w:val="22"/>
        </w:rPr>
        <w:t>F: Kann ich meine Einheit vermieten?</w:t>
      </w:r>
    </w:p>
    <w:p w14:paraId="67BB9FFE" w14:textId="77777777" w:rsidR="003604DB" w:rsidRDefault="00000000">
      <w:pPr>
        <w:spacing w:after="40" w:line="300" w:lineRule="auto"/>
        <w:jc w:val="both"/>
      </w:pPr>
      <w:r>
        <w:rPr>
          <w:rFonts w:ascii="Helvetica" w:eastAsia="Helvetica" w:hAnsi="Helvetica" w:cs="Helvetica"/>
          <w:color w:val="33363D"/>
        </w:rPr>
        <w:t>A: Grundsätzlich ja, sofern das Reglement keine Einschränkungen vorsieht. Der Stockwerkeigentümer bleibt gegenüber der Gemeinschaft für die Einhaltung von Reglement und Hausordnung verantwortlich.</w:t>
      </w:r>
    </w:p>
    <w:p w14:paraId="23F5C1DF" w14:textId="77777777" w:rsidR="003604DB" w:rsidRDefault="00000000">
      <w:pPr>
        <w:keepNext/>
        <w:spacing w:before="200" w:after="60"/>
      </w:pPr>
      <w:r>
        <w:rPr>
          <w:rFonts w:ascii="Helvetica" w:eastAsia="Helvetica" w:hAnsi="Helvetica" w:cs="Helvetica"/>
          <w:b/>
          <w:bCs/>
          <w:color w:val="12203D"/>
          <w:sz w:val="22"/>
          <w:szCs w:val="22"/>
        </w:rPr>
        <w:t>F: Was passiert, wenn ein Eigentümer seine Beiträge nicht zahlt?</w:t>
      </w:r>
    </w:p>
    <w:p w14:paraId="261B3F63" w14:textId="77777777" w:rsidR="003604DB" w:rsidRDefault="00000000">
      <w:pPr>
        <w:spacing w:after="40" w:line="300" w:lineRule="auto"/>
        <w:jc w:val="both"/>
      </w:pPr>
      <w:r>
        <w:rPr>
          <w:rFonts w:ascii="Helvetica" w:eastAsia="Helvetica" w:hAnsi="Helvetica" w:cs="Helvetica"/>
          <w:color w:val="33363D"/>
        </w:rPr>
        <w:t>A: Die Gemeinschaft kann die Forderung betreiben; zur Sicherung besteht unter bestimmten Voraussetzungen ein gesetzliches Pfandrecht am Stockwerkeigentumsanteil.</w:t>
      </w:r>
    </w:p>
    <w:p w14:paraId="7E5B755B" w14:textId="77777777" w:rsidR="003604DB" w:rsidRDefault="00000000">
      <w:pPr>
        <w:keepNext/>
        <w:spacing w:before="200" w:after="60"/>
      </w:pPr>
      <w:r>
        <w:rPr>
          <w:rFonts w:ascii="Helvetica" w:eastAsia="Helvetica" w:hAnsi="Helvetica" w:cs="Helvetica"/>
          <w:b/>
          <w:bCs/>
          <w:color w:val="12203D"/>
          <w:sz w:val="22"/>
          <w:szCs w:val="22"/>
        </w:rPr>
        <w:t>F: Wer entscheidet über bauliche Veränderungen an der eigenen Einheit?</w:t>
      </w:r>
    </w:p>
    <w:p w14:paraId="15B20D56" w14:textId="77777777" w:rsidR="003604DB" w:rsidRDefault="00000000">
      <w:pPr>
        <w:spacing w:after="40" w:line="300" w:lineRule="auto"/>
        <w:jc w:val="both"/>
      </w:pPr>
      <w:r>
        <w:rPr>
          <w:rFonts w:ascii="Helvetica" w:eastAsia="Helvetica" w:hAnsi="Helvetica" w:cs="Helvetica"/>
          <w:color w:val="33363D"/>
        </w:rPr>
        <w:t>A: Innerhalb der eigenen vier Wände ist der Stockwerkeigentümer weitgehend frei, solange keine gemeinschaftlichen Bauteile, die Statik oder das äussere Erscheinungsbild betroffen sind.</w:t>
      </w:r>
    </w:p>
    <w:tbl>
      <w:tblP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8"/>
      </w:tblGrid>
      <w:tr w:rsidR="003604DB" w14:paraId="0C45BFC4" w14:textId="77777777">
        <w:tblPrEx>
          <w:tblCellMar>
            <w:top w:w="0" w:type="dxa"/>
            <w:bottom w:w="0" w:type="dxa"/>
          </w:tblCellMar>
        </w:tblPrEx>
        <w:tc>
          <w:tcPr>
            <w:tcW w:w="8958" w:type="dxa"/>
            <w:tcBorders>
              <w:top w:val="single" w:sz="16" w:space="0" w:color="C9A227"/>
              <w:left w:val="none" w:sz="0" w:space="0" w:color="12203D"/>
              <w:bottom w:val="none" w:sz="0" w:space="0" w:color="12203D"/>
              <w:right w:val="none" w:sz="0" w:space="0" w:color="12203D"/>
            </w:tcBorders>
            <w:shd w:val="clear" w:color="auto" w:fill="12203D"/>
            <w:tcMar>
              <w:top w:w="200" w:type="dxa"/>
              <w:left w:w="220" w:type="dxa"/>
              <w:bottom w:w="200" w:type="dxa"/>
              <w:right w:w="220" w:type="dxa"/>
            </w:tcMar>
          </w:tcPr>
          <w:p w14:paraId="6AB657A8" w14:textId="77777777" w:rsidR="003604DB" w:rsidRDefault="00000000">
            <w:pPr>
              <w:keepNext/>
              <w:keepLines/>
              <w:spacing w:after="60"/>
            </w:pPr>
            <w:r>
              <w:rPr>
                <w:rFonts w:ascii="Helvetica" w:eastAsia="Helvetica" w:hAnsi="Helvetica" w:cs="Helvetica"/>
                <w:b/>
                <w:bCs/>
                <w:color w:val="FFFFFF"/>
                <w:sz w:val="21"/>
                <w:szCs w:val="21"/>
              </w:rPr>
              <w:t>Vera Home Immobilien</w:t>
            </w:r>
          </w:p>
          <w:p w14:paraId="704DC9CE" w14:textId="77777777" w:rsidR="003604DB" w:rsidRDefault="00000000">
            <w:pPr>
              <w:keepNext/>
              <w:keepLines/>
              <w:spacing w:after="60" w:line="280" w:lineRule="auto"/>
            </w:pPr>
            <w:r>
              <w:rPr>
                <w:rFonts w:ascii="Helvetica" w:eastAsia="Helvetica" w:hAnsi="Helvetica" w:cs="Helvetica"/>
                <w:color w:val="FFFFFF"/>
                <w:sz w:val="19"/>
                <w:szCs w:val="19"/>
              </w:rPr>
              <w:t>Wir beraten Stockwerkeigentümerinnen und -eigentümer sowie Gemeinschaften rund um Verwaltung, Reglemente und bauliche Vorhaben.</w:t>
            </w:r>
          </w:p>
          <w:p w14:paraId="7343D4C0" w14:textId="453A345C" w:rsidR="003604DB" w:rsidRDefault="00000000">
            <w:pPr>
              <w:keepNext/>
              <w:keepLines/>
            </w:pPr>
            <w:r>
              <w:rPr>
                <w:rFonts w:ascii="Helvetica" w:eastAsia="Helvetica" w:hAnsi="Helvetica" w:cs="Helvetica"/>
                <w:color w:val="FFFFFF"/>
                <w:sz w:val="19"/>
                <w:szCs w:val="19"/>
              </w:rPr>
              <w:t xml:space="preserve">Hauptstrasse 39, 5070 </w:t>
            </w:r>
            <w:proofErr w:type="gramStart"/>
            <w:r>
              <w:rPr>
                <w:rFonts w:ascii="Helvetica" w:eastAsia="Helvetica" w:hAnsi="Helvetica" w:cs="Helvetica"/>
                <w:color w:val="FFFFFF"/>
                <w:sz w:val="19"/>
                <w:szCs w:val="19"/>
              </w:rPr>
              <w:t>Frick  |</w:t>
            </w:r>
            <w:proofErr w:type="gramEnd"/>
            <w:r>
              <w:rPr>
                <w:rFonts w:ascii="Helvetica" w:eastAsia="Helvetica" w:hAnsi="Helvetica" w:cs="Helvetica"/>
                <w:color w:val="FFFFFF"/>
                <w:sz w:val="19"/>
                <w:szCs w:val="19"/>
              </w:rPr>
              <w:t xml:space="preserve">  Tel. +41 76 336 84 </w:t>
            </w:r>
            <w:proofErr w:type="gramStart"/>
            <w:r>
              <w:rPr>
                <w:rFonts w:ascii="Helvetica" w:eastAsia="Helvetica" w:hAnsi="Helvetica" w:cs="Helvetica"/>
                <w:color w:val="FFFFFF"/>
                <w:sz w:val="19"/>
                <w:szCs w:val="19"/>
              </w:rPr>
              <w:t>38  |</w:t>
            </w:r>
            <w:proofErr w:type="gramEnd"/>
            <w:r>
              <w:rPr>
                <w:rFonts w:ascii="Helvetica" w:eastAsia="Helvetica" w:hAnsi="Helvetica" w:cs="Helvetica"/>
                <w:color w:val="FFFFFF"/>
                <w:sz w:val="19"/>
                <w:szCs w:val="19"/>
              </w:rPr>
              <w:t xml:space="preserve">  </w:t>
            </w:r>
            <w:r w:rsidR="00CC2359">
              <w:rPr>
                <w:rFonts w:ascii="Helvetica" w:eastAsia="Helvetica" w:hAnsi="Helvetica" w:cs="Helvetica"/>
                <w:color w:val="FFFFFF"/>
                <w:sz w:val="19"/>
                <w:szCs w:val="19"/>
              </w:rPr>
              <w:t>welcome@verahome.ch</w:t>
            </w:r>
          </w:p>
        </w:tc>
      </w:tr>
    </w:tbl>
    <w:p w14:paraId="6ADA78F9" w14:textId="77777777" w:rsidR="003604DB" w:rsidRDefault="00000000">
      <w:pPr>
        <w:keepLines/>
        <w:spacing w:before="120"/>
      </w:pPr>
      <w:r>
        <w:rPr>
          <w:rFonts w:ascii="Helvetica" w:eastAsia="Helvetica" w:hAnsi="Helvetica" w:cs="Helvetica"/>
          <w:i/>
          <w:iCs/>
          <w:color w:val="6B6E76"/>
          <w:sz w:val="16"/>
          <w:szCs w:val="16"/>
        </w:rPr>
        <w:t>Dieses Dokument dient der allgemeinen Information und ersetzt keine rechtliche Beratung im Einzelfall. Massgebend sind die Bestimmungen des Schweizerischen Zivilgesetzbuches (ZGB).</w:t>
      </w:r>
    </w:p>
    <w:sectPr w:rsidR="003604DB">
      <w:headerReference w:type="default" r:id="rId7"/>
      <w:footerReference w:type="default" r:id="rId8"/>
      <w:pgSz w:w="11906" w:h="16838"/>
      <w:pgMar w:top="1610" w:right="1474" w:bottom="1474" w:left="147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2C7045" w14:textId="77777777" w:rsidR="005E33E6" w:rsidRDefault="005E33E6">
      <w:r>
        <w:separator/>
      </w:r>
    </w:p>
  </w:endnote>
  <w:endnote w:type="continuationSeparator" w:id="0">
    <w:p w14:paraId="12141B34" w14:textId="77777777" w:rsidR="005E33E6" w:rsidRDefault="005E3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A90C2A" w14:textId="77777777" w:rsidR="003604DB" w:rsidRDefault="00000000">
    <w:pPr>
      <w:pBdr>
        <w:top w:val="single" w:sz="4" w:space="6" w:color="D8D2C2"/>
      </w:pBdr>
      <w:tabs>
        <w:tab w:val="right" w:pos="9026"/>
      </w:tabs>
    </w:pPr>
    <w:r>
      <w:rPr>
        <w:rFonts w:ascii="Helvetica" w:eastAsia="Helvetica" w:hAnsi="Helvetica" w:cs="Helvetica"/>
        <w:color w:val="6B6E76"/>
        <w:sz w:val="15"/>
        <w:szCs w:val="15"/>
      </w:rPr>
      <w:t>Vera Home Immobilien – Hauptstrasse 39, 5070 Frick</w:t>
    </w:r>
    <w:r>
      <w:rPr>
        <w:rFonts w:ascii="Helvetica" w:eastAsia="Helvetica" w:hAnsi="Helvetica" w:cs="Helvetica"/>
        <w:color w:val="6B6E76"/>
        <w:sz w:val="15"/>
        <w:szCs w:val="15"/>
      </w:rPr>
      <w:tab/>
      <w:t xml:space="preserve">Seite </w:t>
    </w:r>
    <w:r>
      <w:rPr>
        <w:rFonts w:ascii="Helvetica" w:eastAsia="Helvetica" w:hAnsi="Helvetica" w:cs="Helvetica"/>
        <w:color w:val="6B6E76"/>
        <w:sz w:val="15"/>
        <w:szCs w:val="15"/>
      </w:rPr>
      <w:fldChar w:fldCharType="begin"/>
    </w:r>
    <w:r>
      <w:rPr>
        <w:rFonts w:ascii="Helvetica" w:eastAsia="Helvetica" w:hAnsi="Helvetica" w:cs="Helvetica"/>
        <w:color w:val="6B6E76"/>
        <w:sz w:val="15"/>
        <w:szCs w:val="15"/>
      </w:rPr>
      <w:instrText>PAGE</w:instrText>
    </w:r>
    <w:r>
      <w:rPr>
        <w:rFonts w:ascii="Helvetica" w:eastAsia="Helvetica" w:hAnsi="Helvetica" w:cs="Helvetica"/>
        <w:color w:val="6B6E76"/>
        <w:sz w:val="15"/>
        <w:szCs w:val="15"/>
      </w:rPr>
      <w:fldChar w:fldCharType="separate"/>
    </w:r>
    <w:r w:rsidR="00CC2359">
      <w:rPr>
        <w:rFonts w:ascii="Helvetica" w:eastAsia="Helvetica" w:hAnsi="Helvetica" w:cs="Helvetica"/>
        <w:noProof/>
        <w:color w:val="6B6E76"/>
        <w:sz w:val="15"/>
        <w:szCs w:val="15"/>
      </w:rPr>
      <w:t>1</w:t>
    </w:r>
    <w:r>
      <w:rPr>
        <w:rFonts w:ascii="Helvetica" w:eastAsia="Helvetica" w:hAnsi="Helvetica" w:cs="Helvetica"/>
        <w:color w:val="6B6E7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FF741D" w14:textId="77777777" w:rsidR="005E33E6" w:rsidRDefault="005E33E6">
      <w:r>
        <w:separator/>
      </w:r>
    </w:p>
  </w:footnote>
  <w:footnote w:type="continuationSeparator" w:id="0">
    <w:p w14:paraId="28B51850" w14:textId="77777777" w:rsidR="005E33E6" w:rsidRDefault="005E33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895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00"/>
      <w:gridCol w:w="4658"/>
      <w:gridCol w:w="3000"/>
    </w:tblGrid>
    <w:tr w:rsidR="003604DB" w14:paraId="4B308DDA" w14:textId="77777777">
      <w:tblPrEx>
        <w:tblCellMar>
          <w:top w:w="0" w:type="dxa"/>
          <w:bottom w:w="0" w:type="dxa"/>
        </w:tblCellMar>
      </w:tblPrEx>
      <w:tc>
        <w:tcPr>
          <w:tcW w:w="1300" w:type="dxa"/>
          <w:tcMar>
            <w:top w:w="0" w:type="dxa"/>
            <w:left w:w="0" w:type="dxa"/>
            <w:bottom w:w="0" w:type="dxa"/>
            <w:right w:w="80" w:type="dxa"/>
          </w:tcMar>
          <w:vAlign w:val="center"/>
        </w:tcPr>
        <w:p w14:paraId="0C15057A" w14:textId="77777777" w:rsidR="003604DB" w:rsidRDefault="00000000">
          <w:r>
            <w:rPr>
              <w:noProof/>
            </w:rPr>
            <w:drawing>
              <wp:inline distT="0" distB="0" distL="0" distR="0" wp14:anchorId="3D62B389" wp14:editId="0E8E70B4">
                <wp:extent cx="438150" cy="4381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38150" cy="438150"/>
                        </a:xfrm>
                        <a:prstGeom prst="rect">
                          <a:avLst/>
                        </a:prstGeom>
                      </pic:spPr>
                    </pic:pic>
                  </a:graphicData>
                </a:graphic>
              </wp:inline>
            </w:drawing>
          </w:r>
        </w:p>
      </w:tc>
      <w:tc>
        <w:tcPr>
          <w:tcW w:w="4658" w:type="dxa"/>
          <w:tcMar>
            <w:top w:w="0" w:type="dxa"/>
            <w:left w:w="0" w:type="dxa"/>
            <w:bottom w:w="0" w:type="dxa"/>
            <w:right w:w="0" w:type="dxa"/>
          </w:tcMar>
          <w:vAlign w:val="center"/>
        </w:tcPr>
        <w:p w14:paraId="1D7FD976" w14:textId="77777777" w:rsidR="003604DB" w:rsidRPr="00CC2359" w:rsidRDefault="00000000">
          <w:pPr>
            <w:spacing w:after="10"/>
            <w:rPr>
              <w:lang w:val="it-CH"/>
            </w:rPr>
          </w:pPr>
          <w:r w:rsidRPr="00CC2359">
            <w:rPr>
              <w:rFonts w:ascii="Helvetica" w:eastAsia="Helvetica" w:hAnsi="Helvetica" w:cs="Helvetica"/>
              <w:b/>
              <w:bCs/>
              <w:color w:val="12203D"/>
              <w:sz w:val="22"/>
              <w:szCs w:val="22"/>
              <w:lang w:val="it-CH"/>
            </w:rPr>
            <w:t>Vera Home Immobilien</w:t>
          </w:r>
        </w:p>
        <w:p w14:paraId="4CC649ED" w14:textId="77777777" w:rsidR="003604DB" w:rsidRPr="00CC2359" w:rsidRDefault="00000000">
          <w:pPr>
            <w:rPr>
              <w:lang w:val="it-CH"/>
            </w:rPr>
          </w:pPr>
          <w:r w:rsidRPr="00CC2359">
            <w:rPr>
              <w:rFonts w:ascii="Helvetica" w:eastAsia="Helvetica" w:hAnsi="Helvetica" w:cs="Helvetica"/>
              <w:color w:val="C9A227"/>
              <w:sz w:val="14"/>
              <w:szCs w:val="14"/>
              <w:lang w:val="it-CH"/>
            </w:rPr>
            <w:t>I M M O B I L I E N  –  FRICK</w:t>
          </w:r>
        </w:p>
      </w:tc>
      <w:tc>
        <w:tcPr>
          <w:tcW w:w="3000" w:type="dxa"/>
          <w:vAlign w:val="center"/>
        </w:tcPr>
        <w:p w14:paraId="6E0EDC91" w14:textId="77777777" w:rsidR="003604DB" w:rsidRDefault="00000000">
          <w:pPr>
            <w:jc w:val="right"/>
          </w:pPr>
          <w:r>
            <w:rPr>
              <w:rFonts w:ascii="Helvetica" w:eastAsia="Helvetica" w:hAnsi="Helvetica" w:cs="Helvetica"/>
              <w:b/>
              <w:bCs/>
              <w:color w:val="33363D"/>
              <w:sz w:val="16"/>
              <w:szCs w:val="16"/>
            </w:rPr>
            <w:t>STWEG – häufige Fragen</w:t>
          </w:r>
        </w:p>
      </w:tc>
    </w:tr>
  </w:tbl>
  <w:p w14:paraId="20BEC2AF" w14:textId="77777777" w:rsidR="003604DB" w:rsidRDefault="003604DB">
    <w:pPr>
      <w:pBdr>
        <w:bottom w:val="single" w:sz="10" w:space="6" w:color="C9A227"/>
      </w:pBdr>
      <w:spacing w:before="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427C81"/>
    <w:multiLevelType w:val="hybridMultilevel"/>
    <w:tmpl w:val="801AED46"/>
    <w:lvl w:ilvl="0" w:tplc="484610A2">
      <w:start w:val="1"/>
      <w:numFmt w:val="bullet"/>
      <w:lvlText w:val="●"/>
      <w:lvlJc w:val="left"/>
      <w:pPr>
        <w:ind w:left="720" w:hanging="360"/>
      </w:pPr>
    </w:lvl>
    <w:lvl w:ilvl="1" w:tplc="739249D8">
      <w:start w:val="1"/>
      <w:numFmt w:val="bullet"/>
      <w:lvlText w:val="○"/>
      <w:lvlJc w:val="left"/>
      <w:pPr>
        <w:ind w:left="1440" w:hanging="360"/>
      </w:pPr>
    </w:lvl>
    <w:lvl w:ilvl="2" w:tplc="3DA20452">
      <w:start w:val="1"/>
      <w:numFmt w:val="bullet"/>
      <w:lvlText w:val="■"/>
      <w:lvlJc w:val="left"/>
      <w:pPr>
        <w:ind w:left="2160" w:hanging="360"/>
      </w:pPr>
    </w:lvl>
    <w:lvl w:ilvl="3" w:tplc="3A84349E">
      <w:start w:val="1"/>
      <w:numFmt w:val="bullet"/>
      <w:lvlText w:val="●"/>
      <w:lvlJc w:val="left"/>
      <w:pPr>
        <w:ind w:left="2880" w:hanging="360"/>
      </w:pPr>
    </w:lvl>
    <w:lvl w:ilvl="4" w:tplc="21145AFC">
      <w:start w:val="1"/>
      <w:numFmt w:val="bullet"/>
      <w:lvlText w:val="○"/>
      <w:lvlJc w:val="left"/>
      <w:pPr>
        <w:ind w:left="3600" w:hanging="360"/>
      </w:pPr>
    </w:lvl>
    <w:lvl w:ilvl="5" w:tplc="06B2365C">
      <w:start w:val="1"/>
      <w:numFmt w:val="bullet"/>
      <w:lvlText w:val="■"/>
      <w:lvlJc w:val="left"/>
      <w:pPr>
        <w:ind w:left="4320" w:hanging="360"/>
      </w:pPr>
    </w:lvl>
    <w:lvl w:ilvl="6" w:tplc="C53C2CDA">
      <w:start w:val="1"/>
      <w:numFmt w:val="bullet"/>
      <w:lvlText w:val="●"/>
      <w:lvlJc w:val="left"/>
      <w:pPr>
        <w:ind w:left="5040" w:hanging="360"/>
      </w:pPr>
    </w:lvl>
    <w:lvl w:ilvl="7" w:tplc="F38C093A">
      <w:start w:val="1"/>
      <w:numFmt w:val="bullet"/>
      <w:lvlText w:val="●"/>
      <w:lvlJc w:val="left"/>
      <w:pPr>
        <w:ind w:left="5760" w:hanging="360"/>
      </w:pPr>
    </w:lvl>
    <w:lvl w:ilvl="8" w:tplc="62AA8B74">
      <w:start w:val="1"/>
      <w:numFmt w:val="bullet"/>
      <w:lvlText w:val="●"/>
      <w:lvlJc w:val="left"/>
      <w:pPr>
        <w:ind w:left="6480" w:hanging="360"/>
      </w:pPr>
    </w:lvl>
  </w:abstractNum>
  <w:abstractNum w:abstractNumId="1" w15:restartNumberingAfterBreak="0">
    <w:nsid w:val="351D5D8C"/>
    <w:multiLevelType w:val="hybridMultilevel"/>
    <w:tmpl w:val="3DDA3FAC"/>
    <w:lvl w:ilvl="0" w:tplc="39CA839E">
      <w:start w:val="1"/>
      <w:numFmt w:val="bullet"/>
      <w:lvlText w:val="•"/>
      <w:lvlJc w:val="left"/>
      <w:pPr>
        <w:ind w:left="340" w:hanging="200"/>
      </w:pPr>
      <w:rPr>
        <w:rFonts w:ascii="Helvetica" w:eastAsia="Helvetica" w:hAnsi="Helvetica" w:cs="Helvetica"/>
        <w:color w:val="C9A227"/>
      </w:rPr>
    </w:lvl>
    <w:lvl w:ilvl="1" w:tplc="A2D652E2">
      <w:numFmt w:val="decimal"/>
      <w:lvlText w:val=""/>
      <w:lvlJc w:val="left"/>
    </w:lvl>
    <w:lvl w:ilvl="2" w:tplc="305A57E6">
      <w:numFmt w:val="decimal"/>
      <w:lvlText w:val=""/>
      <w:lvlJc w:val="left"/>
    </w:lvl>
    <w:lvl w:ilvl="3" w:tplc="A4E8C3E2">
      <w:numFmt w:val="decimal"/>
      <w:lvlText w:val=""/>
      <w:lvlJc w:val="left"/>
    </w:lvl>
    <w:lvl w:ilvl="4" w:tplc="49B03788">
      <w:numFmt w:val="decimal"/>
      <w:lvlText w:val=""/>
      <w:lvlJc w:val="left"/>
    </w:lvl>
    <w:lvl w:ilvl="5" w:tplc="D846A562">
      <w:numFmt w:val="decimal"/>
      <w:lvlText w:val=""/>
      <w:lvlJc w:val="left"/>
    </w:lvl>
    <w:lvl w:ilvl="6" w:tplc="521A0B02">
      <w:numFmt w:val="decimal"/>
      <w:lvlText w:val=""/>
      <w:lvlJc w:val="left"/>
    </w:lvl>
    <w:lvl w:ilvl="7" w:tplc="8F2E70C4">
      <w:numFmt w:val="decimal"/>
      <w:lvlText w:val=""/>
      <w:lvlJc w:val="left"/>
    </w:lvl>
    <w:lvl w:ilvl="8" w:tplc="8B2CBD0A">
      <w:numFmt w:val="decimal"/>
      <w:lvlText w:val=""/>
      <w:lvlJc w:val="left"/>
    </w:lvl>
  </w:abstractNum>
  <w:num w:numId="1" w16cid:durableId="1987737266">
    <w:abstractNumId w:val="0"/>
    <w:lvlOverride w:ilvl="0">
      <w:startOverride w:val="1"/>
    </w:lvlOverride>
  </w:num>
  <w:num w:numId="2" w16cid:durableId="65372666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4DB"/>
    <w:rsid w:val="003604DB"/>
    <w:rsid w:val="005E33E6"/>
    <w:rsid w:val="00834708"/>
    <w:rsid w:val="00CC235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04F8878E"/>
  <w15:docId w15:val="{C578D8FB-E294-7F49-9172-871749B5F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de-CH"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629</Words>
  <Characters>3966</Characters>
  <Application>Microsoft Office Word</Application>
  <DocSecurity>0</DocSecurity>
  <Lines>33</Lines>
  <Paragraphs>9</Paragraphs>
  <ScaleCrop>false</ScaleCrop>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Marcel Spahr</cp:lastModifiedBy>
  <cp:revision>2</cp:revision>
  <dcterms:created xsi:type="dcterms:W3CDTF">2026-07-03T18:21:00Z</dcterms:created>
  <dcterms:modified xsi:type="dcterms:W3CDTF">2026-07-03T18:21:00Z</dcterms:modified>
</cp:coreProperties>
</file>