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73FF1" w14:textId="77777777" w:rsidR="008B59AA" w:rsidRDefault="00000000">
      <w:pPr>
        <w:spacing w:after="40"/>
      </w:pPr>
      <w:r>
        <w:rPr>
          <w:rFonts w:ascii="Helvetica" w:eastAsia="Helvetica" w:hAnsi="Helvetica" w:cs="Helvetica"/>
          <w:b/>
          <w:bCs/>
          <w:color w:val="C9A227"/>
          <w:sz w:val="19"/>
          <w:szCs w:val="19"/>
        </w:rPr>
        <w:t>RATGEBER</w:t>
      </w:r>
    </w:p>
    <w:p w14:paraId="332CDEF6" w14:textId="77777777" w:rsidR="008B59AA" w:rsidRDefault="00000000">
      <w:pPr>
        <w:spacing w:after="200"/>
      </w:pPr>
      <w:r>
        <w:rPr>
          <w:rFonts w:ascii="Helvetica" w:eastAsia="Helvetica" w:hAnsi="Helvetica" w:cs="Helvetica"/>
          <w:b/>
          <w:bCs/>
          <w:color w:val="12203D"/>
          <w:sz w:val="28"/>
          <w:szCs w:val="28"/>
        </w:rPr>
        <w:t>Tipps für Eigentümer und Vermieter</w:t>
      </w:r>
    </w:p>
    <w:p w14:paraId="5B72581C" w14:textId="77777777" w:rsidR="008B59AA" w:rsidRDefault="00000000">
      <w:pPr>
        <w:spacing w:after="220" w:line="300" w:lineRule="auto"/>
        <w:jc w:val="both"/>
      </w:pPr>
      <w:r>
        <w:rPr>
          <w:rFonts w:ascii="Helvetica" w:eastAsia="Helvetica" w:hAnsi="Helvetica" w:cs="Helvetica"/>
          <w:color w:val="33363D"/>
        </w:rPr>
        <w:t xml:space="preserve">Eine Liegenschaft erfolgreich zu </w:t>
      </w:r>
      <w:proofErr w:type="gramStart"/>
      <w:r>
        <w:rPr>
          <w:rFonts w:ascii="Helvetica" w:eastAsia="Helvetica" w:hAnsi="Helvetica" w:cs="Helvetica"/>
          <w:color w:val="33363D"/>
        </w:rPr>
        <w:t>vermieten</w:t>
      </w:r>
      <w:proofErr w:type="gramEnd"/>
      <w:r>
        <w:rPr>
          <w:rFonts w:ascii="Helvetica" w:eastAsia="Helvetica" w:hAnsi="Helvetica" w:cs="Helvetica"/>
          <w:color w:val="33363D"/>
        </w:rPr>
        <w:t xml:space="preserve"> bedeutet mehr, als nur ein Inserat zu schalten. Wer die rechtlichen Rahmenbedingungen kennt und die Wohnung professionell vorbereitet, findet schneller passende Mieterinnen und Mieter, vermeidet Leerstand und reduziert das Risiko späterer Streitigkeiten. Die folgenden Hinweise fassen die wichtigsten Punkte für Eigentümerinnen und Eigentümer zusammen.</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8"/>
      </w:tblGrid>
      <w:tr w:rsidR="008B59AA" w14:paraId="66A427D8" w14:textId="77777777">
        <w:tc>
          <w:tcPr>
            <w:tcW w:w="8958" w:type="dxa"/>
            <w:tcBorders>
              <w:top w:val="single" w:sz="8" w:space="0" w:color="C9A227"/>
              <w:left w:val="single" w:sz="8" w:space="0" w:color="C9A227"/>
              <w:bottom w:val="single" w:sz="8" w:space="0" w:color="C9A227"/>
              <w:right w:val="single" w:sz="8" w:space="0" w:color="C9A227"/>
            </w:tcBorders>
            <w:shd w:val="clear" w:color="auto" w:fill="F7F1DE"/>
            <w:tcMar>
              <w:top w:w="140" w:type="dxa"/>
              <w:left w:w="180" w:type="dxa"/>
              <w:bottom w:w="140" w:type="dxa"/>
              <w:right w:w="180" w:type="dxa"/>
            </w:tcMar>
          </w:tcPr>
          <w:p w14:paraId="4CAB14B8" w14:textId="77777777" w:rsidR="008B59AA" w:rsidRDefault="00000000">
            <w:pPr>
              <w:spacing w:after="60"/>
            </w:pPr>
            <w:r>
              <w:rPr>
                <w:rFonts w:ascii="Helvetica" w:eastAsia="Helvetica" w:hAnsi="Helvetica" w:cs="Helvetica"/>
                <w:b/>
                <w:bCs/>
                <w:color w:val="12203D"/>
              </w:rPr>
              <w:t xml:space="preserve">§ Art. 256 OR – Pflichten der </w:t>
            </w:r>
            <w:proofErr w:type="spellStart"/>
            <w:r>
              <w:rPr>
                <w:rFonts w:ascii="Helvetica" w:eastAsia="Helvetica" w:hAnsi="Helvetica" w:cs="Helvetica"/>
                <w:b/>
                <w:bCs/>
                <w:color w:val="12203D"/>
              </w:rPr>
              <w:t>Vermieterschaft</w:t>
            </w:r>
            <w:proofErr w:type="spellEnd"/>
          </w:p>
          <w:p w14:paraId="5A46BBEC" w14:textId="77777777" w:rsidR="008B59AA" w:rsidRDefault="00000000">
            <w:pPr>
              <w:spacing w:line="290" w:lineRule="auto"/>
              <w:jc w:val="both"/>
            </w:pPr>
            <w:r>
              <w:rPr>
                <w:rFonts w:ascii="Helvetica" w:eastAsia="Helvetica" w:hAnsi="Helvetica" w:cs="Helvetica"/>
                <w:color w:val="33363D"/>
                <w:sz w:val="19"/>
                <w:szCs w:val="19"/>
              </w:rPr>
              <w:t>Der Vermieter ist verpflichtet, die Sache zum vereinbarten Zeitpunkt in einem zum vorausgesetzten Gebrauch tauglichen Zustand zu übergeben und sie während der Mietzeit in diesem Zustand zu erhalten. Mängel, die der taugliche Gebrauch beeinträchtigen, muss der Vermieter beheben.</w:t>
            </w:r>
          </w:p>
        </w:tc>
      </w:tr>
    </w:tbl>
    <w:p w14:paraId="429984E0" w14:textId="77777777" w:rsidR="008B59AA" w:rsidRDefault="008B59AA">
      <w:pPr>
        <w:spacing w:after="200"/>
      </w:pPr>
    </w:p>
    <w:p w14:paraId="168B6570" w14:textId="77777777" w:rsidR="008B59AA" w:rsidRDefault="00000000">
      <w:pPr>
        <w:keepNext/>
        <w:spacing w:before="260" w:after="120"/>
      </w:pPr>
      <w:r>
        <w:rPr>
          <w:rFonts w:ascii="Helvetica" w:eastAsia="Helvetica" w:hAnsi="Helvetica" w:cs="Helvetica"/>
          <w:b/>
          <w:bCs/>
          <w:color w:val="12203D"/>
          <w:sz w:val="23"/>
          <w:szCs w:val="23"/>
        </w:rPr>
        <w:t>Die Wohnung vermietungsbereit machen</w:t>
      </w:r>
    </w:p>
    <w:p w14:paraId="7CBF27EA" w14:textId="77777777" w:rsidR="008B59AA" w:rsidRDefault="00000000">
      <w:pPr>
        <w:pStyle w:val="Listenabsatz"/>
        <w:numPr>
          <w:ilvl w:val="0"/>
          <w:numId w:val="2"/>
        </w:numPr>
        <w:spacing w:after="80" w:line="292" w:lineRule="auto"/>
      </w:pPr>
      <w:r>
        <w:rPr>
          <w:rFonts w:ascii="Helvetica" w:eastAsia="Helvetica" w:hAnsi="Helvetica" w:cs="Helvetica"/>
          <w:color w:val="33363D"/>
        </w:rPr>
        <w:t>Wohnung gründlich reinigen und kleinere Schönheitsreparaturen vor der Besichtigung erledigen.</w:t>
      </w:r>
    </w:p>
    <w:p w14:paraId="4C6B3EFB" w14:textId="77777777" w:rsidR="008B59AA" w:rsidRDefault="00000000">
      <w:pPr>
        <w:pStyle w:val="Listenabsatz"/>
        <w:numPr>
          <w:ilvl w:val="0"/>
          <w:numId w:val="2"/>
        </w:numPr>
        <w:spacing w:after="80" w:line="292" w:lineRule="auto"/>
      </w:pPr>
      <w:r>
        <w:rPr>
          <w:rFonts w:ascii="Helvetica" w:eastAsia="Helvetica" w:hAnsi="Helvetica" w:cs="Helvetica"/>
          <w:color w:val="33363D"/>
        </w:rPr>
        <w:t>Aussagekräftige Fotos bei guter Tageslichtbeleuchtung erstellen.</w:t>
      </w:r>
    </w:p>
    <w:p w14:paraId="495C1081" w14:textId="77777777" w:rsidR="008B59AA" w:rsidRDefault="00000000">
      <w:pPr>
        <w:pStyle w:val="Listenabsatz"/>
        <w:numPr>
          <w:ilvl w:val="0"/>
          <w:numId w:val="2"/>
        </w:numPr>
        <w:spacing w:after="80" w:line="292" w:lineRule="auto"/>
      </w:pPr>
      <w:r>
        <w:rPr>
          <w:rFonts w:ascii="Helvetica" w:eastAsia="Helvetica" w:hAnsi="Helvetica" w:cs="Helvetica"/>
          <w:color w:val="33363D"/>
        </w:rPr>
        <w:t>Grundrisse, Wohnfläche und Nebenkosten transparent im Inserat angeben.</w:t>
      </w:r>
    </w:p>
    <w:p w14:paraId="6BF1FF39" w14:textId="77777777" w:rsidR="008B59AA" w:rsidRDefault="00000000">
      <w:pPr>
        <w:pStyle w:val="Listenabsatz"/>
        <w:numPr>
          <w:ilvl w:val="0"/>
          <w:numId w:val="2"/>
        </w:numPr>
        <w:spacing w:after="80" w:line="292" w:lineRule="auto"/>
      </w:pPr>
      <w:r>
        <w:rPr>
          <w:rFonts w:ascii="Helvetica" w:eastAsia="Helvetica" w:hAnsi="Helvetica" w:cs="Helvetica"/>
          <w:color w:val="33363D"/>
        </w:rPr>
        <w:t>Funktionstüchtigkeit von Heizung, Sanitär und Elektroinstallationen vorab prüfen.</w:t>
      </w:r>
    </w:p>
    <w:p w14:paraId="3DD93028" w14:textId="77777777" w:rsidR="008B59AA" w:rsidRDefault="00000000">
      <w:pPr>
        <w:pStyle w:val="Listenabsatz"/>
        <w:numPr>
          <w:ilvl w:val="0"/>
          <w:numId w:val="2"/>
        </w:numPr>
        <w:spacing w:after="80" w:line="292" w:lineRule="auto"/>
      </w:pPr>
      <w:r>
        <w:rPr>
          <w:rFonts w:ascii="Helvetica" w:eastAsia="Helvetica" w:hAnsi="Helvetica" w:cs="Helvetica"/>
          <w:color w:val="33363D"/>
        </w:rPr>
        <w:t>Hausordnung und wichtige Informationen zur Liegenschaft bereithalten.</w:t>
      </w:r>
    </w:p>
    <w:p w14:paraId="50195183" w14:textId="77777777" w:rsidR="008B59AA" w:rsidRDefault="00000000">
      <w:pPr>
        <w:keepNext/>
        <w:spacing w:before="260" w:after="120"/>
      </w:pPr>
      <w:r>
        <w:rPr>
          <w:rFonts w:ascii="Helvetica" w:eastAsia="Helvetica" w:hAnsi="Helvetica" w:cs="Helvetica"/>
          <w:b/>
          <w:bCs/>
          <w:color w:val="12203D"/>
          <w:sz w:val="23"/>
          <w:szCs w:val="23"/>
        </w:rPr>
        <w:t>Mietzins und Nebenkosten richtig gestalten</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8"/>
      </w:tblGrid>
      <w:tr w:rsidR="008B59AA" w14:paraId="53E11644" w14:textId="77777777">
        <w:tc>
          <w:tcPr>
            <w:tcW w:w="8958" w:type="dxa"/>
            <w:tcBorders>
              <w:top w:val="single" w:sz="8" w:space="0" w:color="C9A227"/>
              <w:left w:val="single" w:sz="8" w:space="0" w:color="C9A227"/>
              <w:bottom w:val="single" w:sz="8" w:space="0" w:color="C9A227"/>
              <w:right w:val="single" w:sz="8" w:space="0" w:color="C9A227"/>
            </w:tcBorders>
            <w:shd w:val="clear" w:color="auto" w:fill="F7F1DE"/>
            <w:tcMar>
              <w:top w:w="140" w:type="dxa"/>
              <w:left w:w="180" w:type="dxa"/>
              <w:bottom w:w="140" w:type="dxa"/>
              <w:right w:w="180" w:type="dxa"/>
            </w:tcMar>
          </w:tcPr>
          <w:p w14:paraId="7658E667" w14:textId="77777777" w:rsidR="008B59AA" w:rsidRDefault="00000000">
            <w:pPr>
              <w:spacing w:after="60"/>
            </w:pPr>
            <w:r>
              <w:rPr>
                <w:rFonts w:ascii="Helvetica" w:eastAsia="Helvetica" w:hAnsi="Helvetica" w:cs="Helvetica"/>
                <w:b/>
                <w:bCs/>
                <w:color w:val="12203D"/>
              </w:rPr>
              <w:t>§ Art. 269 / 269a OR – Missbräuchliche Mietzinse</w:t>
            </w:r>
          </w:p>
          <w:p w14:paraId="4B8BF920" w14:textId="77777777" w:rsidR="008B59AA" w:rsidRDefault="00000000">
            <w:pPr>
              <w:spacing w:line="290" w:lineRule="auto"/>
              <w:jc w:val="both"/>
            </w:pPr>
            <w:r>
              <w:rPr>
                <w:rFonts w:ascii="Helvetica" w:eastAsia="Helvetica" w:hAnsi="Helvetica" w:cs="Helvetica"/>
                <w:color w:val="33363D"/>
                <w:sz w:val="19"/>
                <w:szCs w:val="19"/>
              </w:rPr>
              <w:t>Mietzinse sind missbräuchlich, wenn damit ein übersetzter Ertrag aus der Mietsache erzielt wird. In der Regel nicht missbräuchlich sind Mietzinse, die im Rahmen der orts- und quartierüblichen Ansätze liegen oder durch Kostensteigerungen (Hypothekarzins, Unterhalt, Teuerung) begründet sind.</w:t>
            </w:r>
          </w:p>
        </w:tc>
      </w:tr>
    </w:tbl>
    <w:p w14:paraId="7D202024" w14:textId="77777777" w:rsidR="008B59AA" w:rsidRDefault="008B59AA">
      <w:pPr>
        <w:spacing w:after="200"/>
      </w:pPr>
    </w:p>
    <w:p w14:paraId="547E056E" w14:textId="77777777" w:rsidR="008B59AA" w:rsidRDefault="00000000">
      <w:pPr>
        <w:pStyle w:val="Listenabsatz"/>
        <w:numPr>
          <w:ilvl w:val="0"/>
          <w:numId w:val="2"/>
        </w:numPr>
        <w:spacing w:after="80" w:line="292" w:lineRule="auto"/>
      </w:pPr>
      <w:r>
        <w:rPr>
          <w:rFonts w:ascii="Helvetica" w:eastAsia="Helvetica" w:hAnsi="Helvetica" w:cs="Helvetica"/>
          <w:color w:val="33363D"/>
        </w:rPr>
        <w:t>Anfangsmietzins realistisch anhand vergleichbarer Objekte in der Region festlegen.</w:t>
      </w:r>
    </w:p>
    <w:p w14:paraId="01A32CA6" w14:textId="77777777" w:rsidR="008B59AA" w:rsidRDefault="00000000">
      <w:pPr>
        <w:pStyle w:val="Listenabsatz"/>
        <w:numPr>
          <w:ilvl w:val="0"/>
          <w:numId w:val="2"/>
        </w:numPr>
        <w:spacing w:after="80" w:line="292" w:lineRule="auto"/>
      </w:pPr>
      <w:r>
        <w:rPr>
          <w:rFonts w:ascii="Helvetica" w:eastAsia="Helvetica" w:hAnsi="Helvetica" w:cs="Helvetica"/>
          <w:color w:val="33363D"/>
        </w:rPr>
        <w:t>Nebenkosten klar auflisten und im Vertrag als Akonto- oder Pauschalzahlung definieren.</w:t>
      </w:r>
    </w:p>
    <w:p w14:paraId="6BF48E0E" w14:textId="77777777" w:rsidR="008B59AA" w:rsidRDefault="00000000">
      <w:pPr>
        <w:pStyle w:val="Listenabsatz"/>
        <w:numPr>
          <w:ilvl w:val="0"/>
          <w:numId w:val="2"/>
        </w:numPr>
        <w:spacing w:after="80" w:line="292" w:lineRule="auto"/>
      </w:pPr>
      <w:r>
        <w:rPr>
          <w:rFonts w:ascii="Helvetica" w:eastAsia="Helvetica" w:hAnsi="Helvetica" w:cs="Helvetica"/>
          <w:color w:val="33363D"/>
        </w:rPr>
        <w:t>Bei Mietzinserhöhungen das amtliche Formular verwenden und Fristen beachten.</w:t>
      </w:r>
    </w:p>
    <w:p w14:paraId="1FFAA04E" w14:textId="77777777" w:rsidR="008B59AA" w:rsidRDefault="00000000">
      <w:pPr>
        <w:keepNext/>
        <w:spacing w:before="260" w:after="120"/>
      </w:pPr>
      <w:r>
        <w:rPr>
          <w:rFonts w:ascii="Helvetica" w:eastAsia="Helvetica" w:hAnsi="Helvetica" w:cs="Helvetica"/>
          <w:b/>
          <w:bCs/>
          <w:color w:val="12203D"/>
          <w:sz w:val="23"/>
          <w:szCs w:val="23"/>
        </w:rPr>
        <w:t>Mietvertrag und Kündigungsfristen</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8"/>
      </w:tblGrid>
      <w:tr w:rsidR="008B59AA" w14:paraId="157918C4" w14:textId="77777777">
        <w:tc>
          <w:tcPr>
            <w:tcW w:w="8958" w:type="dxa"/>
            <w:tcBorders>
              <w:top w:val="single" w:sz="8" w:space="0" w:color="C9A227"/>
              <w:left w:val="single" w:sz="8" w:space="0" w:color="C9A227"/>
              <w:bottom w:val="single" w:sz="8" w:space="0" w:color="C9A227"/>
              <w:right w:val="single" w:sz="8" w:space="0" w:color="C9A227"/>
            </w:tcBorders>
            <w:shd w:val="clear" w:color="auto" w:fill="F7F1DE"/>
            <w:tcMar>
              <w:top w:w="140" w:type="dxa"/>
              <w:left w:w="180" w:type="dxa"/>
              <w:bottom w:w="140" w:type="dxa"/>
              <w:right w:w="180" w:type="dxa"/>
            </w:tcMar>
          </w:tcPr>
          <w:p w14:paraId="6CE4A0E2" w14:textId="77777777" w:rsidR="008B59AA" w:rsidRDefault="00000000">
            <w:pPr>
              <w:spacing w:after="60"/>
            </w:pPr>
            <w:r>
              <w:rPr>
                <w:rFonts w:ascii="Helvetica" w:eastAsia="Helvetica" w:hAnsi="Helvetica" w:cs="Helvetica"/>
                <w:b/>
                <w:bCs/>
                <w:color w:val="12203D"/>
              </w:rPr>
              <w:t>§ Art. 266c OR – Kündigung von Wohnräumen</w:t>
            </w:r>
          </w:p>
          <w:p w14:paraId="19FCE20F" w14:textId="77777777" w:rsidR="008B59AA" w:rsidRDefault="00000000">
            <w:pPr>
              <w:spacing w:line="290" w:lineRule="auto"/>
              <w:jc w:val="both"/>
            </w:pPr>
            <w:r>
              <w:rPr>
                <w:rFonts w:ascii="Helvetica" w:eastAsia="Helvetica" w:hAnsi="Helvetica" w:cs="Helvetica"/>
                <w:color w:val="33363D"/>
                <w:sz w:val="19"/>
                <w:szCs w:val="19"/>
              </w:rPr>
              <w:t>Bei der Miete von Wohnräumen kann jede Partei das Mietverhältnis mit der gesetzlichen Frist von drei Monaten auf einen ortsüblichen Termin oder, wenn kein solcher besteht, auf Ende einer dreimonatigen Mietdauer kündigen, sofern Vertrag oder Vereinbarung nichts anderes vorsehen.</w:t>
            </w:r>
          </w:p>
        </w:tc>
      </w:tr>
    </w:tbl>
    <w:p w14:paraId="61B7DD56" w14:textId="77777777" w:rsidR="008B59AA" w:rsidRDefault="008B59AA">
      <w:pPr>
        <w:spacing w:after="200"/>
      </w:pPr>
    </w:p>
    <w:p w14:paraId="65B306AE" w14:textId="77777777" w:rsidR="008B59AA" w:rsidRDefault="00000000">
      <w:pPr>
        <w:pStyle w:val="Listenabsatz"/>
        <w:numPr>
          <w:ilvl w:val="0"/>
          <w:numId w:val="2"/>
        </w:numPr>
        <w:spacing w:after="80" w:line="292" w:lineRule="auto"/>
      </w:pPr>
      <w:r>
        <w:rPr>
          <w:rFonts w:ascii="Helvetica" w:eastAsia="Helvetica" w:hAnsi="Helvetica" w:cs="Helvetica"/>
          <w:color w:val="33363D"/>
        </w:rPr>
        <w:lastRenderedPageBreak/>
        <w:t>Kündigungen sind formfrei gültig, werden aber aus Beweisgründen schriftlich und eingeschrieben versandt.</w:t>
      </w:r>
    </w:p>
    <w:p w14:paraId="20142445" w14:textId="77777777" w:rsidR="008B59AA" w:rsidRDefault="00000000">
      <w:pPr>
        <w:pStyle w:val="Listenabsatz"/>
        <w:numPr>
          <w:ilvl w:val="0"/>
          <w:numId w:val="2"/>
        </w:numPr>
        <w:spacing w:after="80" w:line="292" w:lineRule="auto"/>
      </w:pPr>
      <w:r>
        <w:rPr>
          <w:rFonts w:ascii="Helvetica" w:eastAsia="Helvetica" w:hAnsi="Helvetica" w:cs="Helvetica"/>
          <w:color w:val="33363D"/>
        </w:rPr>
        <w:t>Bei Ehepaaren oder eingetragenen Partnerschaften muss die Kündigung an beide Partner separat zugestellt werden.</w:t>
      </w:r>
    </w:p>
    <w:p w14:paraId="3FC0237D" w14:textId="77777777" w:rsidR="008B59AA" w:rsidRDefault="00000000">
      <w:pPr>
        <w:pStyle w:val="Listenabsatz"/>
        <w:numPr>
          <w:ilvl w:val="0"/>
          <w:numId w:val="2"/>
        </w:numPr>
        <w:spacing w:after="80" w:line="292" w:lineRule="auto"/>
      </w:pPr>
      <w:r>
        <w:rPr>
          <w:rFonts w:ascii="Helvetica" w:eastAsia="Helvetica" w:hAnsi="Helvetica" w:cs="Helvetica"/>
          <w:color w:val="33363D"/>
        </w:rPr>
        <w:t>Amtliches Kündigungsformular verwenden, wenn der Vermieter kündigt (Art. 266l OR).</w:t>
      </w:r>
    </w:p>
    <w:p w14:paraId="491E43A2" w14:textId="77777777" w:rsidR="008B59AA" w:rsidRDefault="00000000">
      <w:pPr>
        <w:keepNext/>
        <w:spacing w:before="260" w:after="120"/>
      </w:pPr>
      <w:r>
        <w:rPr>
          <w:rFonts w:ascii="Helvetica" w:eastAsia="Helvetica" w:hAnsi="Helvetica" w:cs="Helvetica"/>
          <w:b/>
          <w:bCs/>
          <w:color w:val="12203D"/>
          <w:sz w:val="23"/>
          <w:szCs w:val="23"/>
        </w:rPr>
        <w:t>Nebenkostenabrechnung im Überblick</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58"/>
        <w:gridCol w:w="2300"/>
      </w:tblGrid>
      <w:tr w:rsidR="008B59AA" w14:paraId="307D8F84" w14:textId="77777777">
        <w:trPr>
          <w:tblHeader/>
        </w:trPr>
        <w:tc>
          <w:tcPr>
            <w:tcW w:w="2600" w:type="dxa"/>
            <w:shd w:val="clear" w:color="auto" w:fill="12203D"/>
            <w:tcMar>
              <w:top w:w="90" w:type="dxa"/>
              <w:left w:w="110" w:type="dxa"/>
              <w:bottom w:w="90" w:type="dxa"/>
              <w:right w:w="110" w:type="dxa"/>
            </w:tcMar>
            <w:vAlign w:val="center"/>
          </w:tcPr>
          <w:p w14:paraId="291573CC" w14:textId="77777777" w:rsidR="008B59AA" w:rsidRDefault="00000000">
            <w:r>
              <w:rPr>
                <w:rFonts w:ascii="Helvetica" w:eastAsia="Helvetica" w:hAnsi="Helvetica" w:cs="Helvetica"/>
                <w:b/>
                <w:bCs/>
                <w:color w:val="FFFFFF"/>
                <w:sz w:val="18"/>
                <w:szCs w:val="18"/>
              </w:rPr>
              <w:t>Kostenart</w:t>
            </w:r>
          </w:p>
        </w:tc>
        <w:tc>
          <w:tcPr>
            <w:tcW w:w="4058" w:type="dxa"/>
            <w:shd w:val="clear" w:color="auto" w:fill="12203D"/>
            <w:tcMar>
              <w:top w:w="90" w:type="dxa"/>
              <w:left w:w="110" w:type="dxa"/>
              <w:bottom w:w="90" w:type="dxa"/>
              <w:right w:w="110" w:type="dxa"/>
            </w:tcMar>
            <w:vAlign w:val="center"/>
          </w:tcPr>
          <w:p w14:paraId="370819B3" w14:textId="77777777" w:rsidR="008B59AA" w:rsidRDefault="00000000">
            <w:r>
              <w:rPr>
                <w:rFonts w:ascii="Helvetica" w:eastAsia="Helvetica" w:hAnsi="Helvetica" w:cs="Helvetica"/>
                <w:b/>
                <w:bCs/>
                <w:color w:val="FFFFFF"/>
                <w:sz w:val="18"/>
                <w:szCs w:val="18"/>
              </w:rPr>
              <w:t>Beispiel</w:t>
            </w:r>
          </w:p>
        </w:tc>
        <w:tc>
          <w:tcPr>
            <w:tcW w:w="2300" w:type="dxa"/>
            <w:shd w:val="clear" w:color="auto" w:fill="12203D"/>
            <w:tcMar>
              <w:top w:w="90" w:type="dxa"/>
              <w:left w:w="110" w:type="dxa"/>
              <w:bottom w:w="90" w:type="dxa"/>
              <w:right w:w="110" w:type="dxa"/>
            </w:tcMar>
            <w:vAlign w:val="center"/>
          </w:tcPr>
          <w:p w14:paraId="4CCEB188" w14:textId="77777777" w:rsidR="008B59AA" w:rsidRDefault="00000000">
            <w:r>
              <w:rPr>
                <w:rFonts w:ascii="Helvetica" w:eastAsia="Helvetica" w:hAnsi="Helvetica" w:cs="Helvetica"/>
                <w:b/>
                <w:bCs/>
                <w:color w:val="FFFFFF"/>
                <w:sz w:val="18"/>
                <w:szCs w:val="18"/>
              </w:rPr>
              <w:t>Abrechnung</w:t>
            </w:r>
          </w:p>
        </w:tc>
      </w:tr>
      <w:tr w:rsidR="008B59AA" w14:paraId="4AF37DEC" w14:textId="77777777">
        <w:tc>
          <w:tcPr>
            <w:tcW w:w="2600" w:type="dxa"/>
            <w:tcBorders>
              <w:bottom w:val="single" w:sz="4" w:space="0" w:color="D8D2C2"/>
            </w:tcBorders>
            <w:shd w:val="clear" w:color="auto" w:fill="FFFFFF"/>
            <w:tcMar>
              <w:top w:w="80" w:type="dxa"/>
              <w:left w:w="110" w:type="dxa"/>
              <w:bottom w:w="80" w:type="dxa"/>
              <w:right w:w="110" w:type="dxa"/>
            </w:tcMar>
            <w:vAlign w:val="center"/>
          </w:tcPr>
          <w:p w14:paraId="5BF77E03" w14:textId="77777777" w:rsidR="008B59AA" w:rsidRDefault="00000000">
            <w:r>
              <w:rPr>
                <w:rFonts w:ascii="Helvetica" w:eastAsia="Helvetica" w:hAnsi="Helvetica" w:cs="Helvetica"/>
                <w:color w:val="33363D"/>
                <w:sz w:val="18"/>
                <w:szCs w:val="18"/>
              </w:rPr>
              <w:t>Heizung &amp; Warmwasser</w:t>
            </w:r>
          </w:p>
        </w:tc>
        <w:tc>
          <w:tcPr>
            <w:tcW w:w="4058" w:type="dxa"/>
            <w:tcBorders>
              <w:bottom w:val="single" w:sz="4" w:space="0" w:color="D8D2C2"/>
            </w:tcBorders>
            <w:shd w:val="clear" w:color="auto" w:fill="FFFFFF"/>
            <w:tcMar>
              <w:top w:w="80" w:type="dxa"/>
              <w:left w:w="110" w:type="dxa"/>
              <w:bottom w:w="80" w:type="dxa"/>
              <w:right w:w="110" w:type="dxa"/>
            </w:tcMar>
            <w:vAlign w:val="center"/>
          </w:tcPr>
          <w:p w14:paraId="40AA28BC" w14:textId="77777777" w:rsidR="008B59AA" w:rsidRDefault="00000000">
            <w:r>
              <w:rPr>
                <w:rFonts w:ascii="Helvetica" w:eastAsia="Helvetica" w:hAnsi="Helvetica" w:cs="Helvetica"/>
                <w:color w:val="33363D"/>
                <w:sz w:val="18"/>
                <w:szCs w:val="18"/>
              </w:rPr>
              <w:t>Öl, Gas, Fernwärme</w:t>
            </w:r>
          </w:p>
        </w:tc>
        <w:tc>
          <w:tcPr>
            <w:tcW w:w="2300" w:type="dxa"/>
            <w:tcBorders>
              <w:bottom w:val="single" w:sz="4" w:space="0" w:color="D8D2C2"/>
            </w:tcBorders>
            <w:shd w:val="clear" w:color="auto" w:fill="FFFFFF"/>
            <w:tcMar>
              <w:top w:w="80" w:type="dxa"/>
              <w:left w:w="110" w:type="dxa"/>
              <w:bottom w:w="80" w:type="dxa"/>
              <w:right w:w="110" w:type="dxa"/>
            </w:tcMar>
            <w:vAlign w:val="center"/>
          </w:tcPr>
          <w:p w14:paraId="5AE9807F" w14:textId="77777777" w:rsidR="008B59AA" w:rsidRDefault="00000000">
            <w:r>
              <w:rPr>
                <w:rFonts w:ascii="Helvetica" w:eastAsia="Helvetica" w:hAnsi="Helvetica" w:cs="Helvetica"/>
                <w:color w:val="33363D"/>
                <w:sz w:val="18"/>
                <w:szCs w:val="18"/>
              </w:rPr>
              <w:t>nach Verbrauch/Akonto</w:t>
            </w:r>
          </w:p>
        </w:tc>
      </w:tr>
      <w:tr w:rsidR="008B59AA" w14:paraId="120CAE70" w14:textId="77777777">
        <w:tc>
          <w:tcPr>
            <w:tcW w:w="2600" w:type="dxa"/>
            <w:tcBorders>
              <w:bottom w:val="single" w:sz="4" w:space="0" w:color="D8D2C2"/>
            </w:tcBorders>
            <w:shd w:val="clear" w:color="auto" w:fill="F5F3EC"/>
            <w:tcMar>
              <w:top w:w="80" w:type="dxa"/>
              <w:left w:w="110" w:type="dxa"/>
              <w:bottom w:w="80" w:type="dxa"/>
              <w:right w:w="110" w:type="dxa"/>
            </w:tcMar>
            <w:vAlign w:val="center"/>
          </w:tcPr>
          <w:p w14:paraId="7A32B540" w14:textId="77777777" w:rsidR="008B59AA" w:rsidRDefault="00000000">
            <w:r>
              <w:rPr>
                <w:rFonts w:ascii="Helvetica" w:eastAsia="Helvetica" w:hAnsi="Helvetica" w:cs="Helvetica"/>
                <w:color w:val="33363D"/>
                <w:sz w:val="18"/>
                <w:szCs w:val="18"/>
              </w:rPr>
              <w:t>Allgemeinstrom</w:t>
            </w:r>
          </w:p>
        </w:tc>
        <w:tc>
          <w:tcPr>
            <w:tcW w:w="4058" w:type="dxa"/>
            <w:tcBorders>
              <w:bottom w:val="single" w:sz="4" w:space="0" w:color="D8D2C2"/>
            </w:tcBorders>
            <w:shd w:val="clear" w:color="auto" w:fill="F5F3EC"/>
            <w:tcMar>
              <w:top w:w="80" w:type="dxa"/>
              <w:left w:w="110" w:type="dxa"/>
              <w:bottom w:w="80" w:type="dxa"/>
              <w:right w:w="110" w:type="dxa"/>
            </w:tcMar>
            <w:vAlign w:val="center"/>
          </w:tcPr>
          <w:p w14:paraId="06605562" w14:textId="77777777" w:rsidR="008B59AA" w:rsidRDefault="00000000">
            <w:r>
              <w:rPr>
                <w:rFonts w:ascii="Helvetica" w:eastAsia="Helvetica" w:hAnsi="Helvetica" w:cs="Helvetica"/>
                <w:color w:val="33363D"/>
                <w:sz w:val="18"/>
                <w:szCs w:val="18"/>
              </w:rPr>
              <w:t>Treppenhaus, Aussenbeleuchtung</w:t>
            </w:r>
          </w:p>
        </w:tc>
        <w:tc>
          <w:tcPr>
            <w:tcW w:w="2300" w:type="dxa"/>
            <w:tcBorders>
              <w:bottom w:val="single" w:sz="4" w:space="0" w:color="D8D2C2"/>
            </w:tcBorders>
            <w:shd w:val="clear" w:color="auto" w:fill="F5F3EC"/>
            <w:tcMar>
              <w:top w:w="80" w:type="dxa"/>
              <w:left w:w="110" w:type="dxa"/>
              <w:bottom w:w="80" w:type="dxa"/>
              <w:right w:w="110" w:type="dxa"/>
            </w:tcMar>
            <w:vAlign w:val="center"/>
          </w:tcPr>
          <w:p w14:paraId="38B8511E" w14:textId="77777777" w:rsidR="008B59AA" w:rsidRDefault="00000000">
            <w:r>
              <w:rPr>
                <w:rFonts w:ascii="Helvetica" w:eastAsia="Helvetica" w:hAnsi="Helvetica" w:cs="Helvetica"/>
                <w:color w:val="33363D"/>
                <w:sz w:val="18"/>
                <w:szCs w:val="18"/>
              </w:rPr>
              <w:t>nach Anteil</w:t>
            </w:r>
          </w:p>
        </w:tc>
      </w:tr>
      <w:tr w:rsidR="008B59AA" w14:paraId="410B253E" w14:textId="77777777">
        <w:tc>
          <w:tcPr>
            <w:tcW w:w="2600" w:type="dxa"/>
            <w:tcBorders>
              <w:bottom w:val="single" w:sz="4" w:space="0" w:color="D8D2C2"/>
            </w:tcBorders>
            <w:shd w:val="clear" w:color="auto" w:fill="FFFFFF"/>
            <w:tcMar>
              <w:top w:w="80" w:type="dxa"/>
              <w:left w:w="110" w:type="dxa"/>
              <w:bottom w:w="80" w:type="dxa"/>
              <w:right w:w="110" w:type="dxa"/>
            </w:tcMar>
            <w:vAlign w:val="center"/>
          </w:tcPr>
          <w:p w14:paraId="0B8CBD8E" w14:textId="77777777" w:rsidR="008B59AA" w:rsidRDefault="00000000">
            <w:r>
              <w:rPr>
                <w:rFonts w:ascii="Helvetica" w:eastAsia="Helvetica" w:hAnsi="Helvetica" w:cs="Helvetica"/>
                <w:color w:val="33363D"/>
                <w:sz w:val="18"/>
                <w:szCs w:val="18"/>
              </w:rPr>
              <w:t>Hauswartung</w:t>
            </w:r>
          </w:p>
        </w:tc>
        <w:tc>
          <w:tcPr>
            <w:tcW w:w="4058" w:type="dxa"/>
            <w:tcBorders>
              <w:bottom w:val="single" w:sz="4" w:space="0" w:color="D8D2C2"/>
            </w:tcBorders>
            <w:shd w:val="clear" w:color="auto" w:fill="FFFFFF"/>
            <w:tcMar>
              <w:top w:w="80" w:type="dxa"/>
              <w:left w:w="110" w:type="dxa"/>
              <w:bottom w:w="80" w:type="dxa"/>
              <w:right w:w="110" w:type="dxa"/>
            </w:tcMar>
            <w:vAlign w:val="center"/>
          </w:tcPr>
          <w:p w14:paraId="3150B346" w14:textId="77777777" w:rsidR="008B59AA" w:rsidRDefault="00000000">
            <w:r>
              <w:rPr>
                <w:rFonts w:ascii="Helvetica" w:eastAsia="Helvetica" w:hAnsi="Helvetica" w:cs="Helvetica"/>
                <w:color w:val="33363D"/>
                <w:sz w:val="18"/>
                <w:szCs w:val="18"/>
              </w:rPr>
              <w:t>Reinigung, Gartenpflege</w:t>
            </w:r>
          </w:p>
        </w:tc>
        <w:tc>
          <w:tcPr>
            <w:tcW w:w="2300" w:type="dxa"/>
            <w:tcBorders>
              <w:bottom w:val="single" w:sz="4" w:space="0" w:color="D8D2C2"/>
            </w:tcBorders>
            <w:shd w:val="clear" w:color="auto" w:fill="FFFFFF"/>
            <w:tcMar>
              <w:top w:w="80" w:type="dxa"/>
              <w:left w:w="110" w:type="dxa"/>
              <w:bottom w:w="80" w:type="dxa"/>
              <w:right w:w="110" w:type="dxa"/>
            </w:tcMar>
            <w:vAlign w:val="center"/>
          </w:tcPr>
          <w:p w14:paraId="7FFA513A" w14:textId="77777777" w:rsidR="008B59AA" w:rsidRDefault="00000000">
            <w:r>
              <w:rPr>
                <w:rFonts w:ascii="Helvetica" w:eastAsia="Helvetica" w:hAnsi="Helvetica" w:cs="Helvetica"/>
                <w:color w:val="33363D"/>
                <w:sz w:val="18"/>
                <w:szCs w:val="18"/>
              </w:rPr>
              <w:t>Pauschale</w:t>
            </w:r>
          </w:p>
        </w:tc>
      </w:tr>
      <w:tr w:rsidR="008B59AA" w14:paraId="17C46D2A" w14:textId="77777777">
        <w:tc>
          <w:tcPr>
            <w:tcW w:w="2600" w:type="dxa"/>
            <w:tcBorders>
              <w:bottom w:val="single" w:sz="4" w:space="0" w:color="D8D2C2"/>
            </w:tcBorders>
            <w:shd w:val="clear" w:color="auto" w:fill="F5F3EC"/>
            <w:tcMar>
              <w:top w:w="80" w:type="dxa"/>
              <w:left w:w="110" w:type="dxa"/>
              <w:bottom w:w="80" w:type="dxa"/>
              <w:right w:w="110" w:type="dxa"/>
            </w:tcMar>
            <w:vAlign w:val="center"/>
          </w:tcPr>
          <w:p w14:paraId="63A08913" w14:textId="77777777" w:rsidR="008B59AA" w:rsidRDefault="00000000">
            <w:r>
              <w:rPr>
                <w:rFonts w:ascii="Helvetica" w:eastAsia="Helvetica" w:hAnsi="Helvetica" w:cs="Helvetica"/>
                <w:color w:val="33363D"/>
                <w:sz w:val="18"/>
                <w:szCs w:val="18"/>
              </w:rPr>
              <w:t>Kabel- / Internetanschluss</w:t>
            </w:r>
          </w:p>
        </w:tc>
        <w:tc>
          <w:tcPr>
            <w:tcW w:w="4058" w:type="dxa"/>
            <w:tcBorders>
              <w:bottom w:val="single" w:sz="4" w:space="0" w:color="D8D2C2"/>
            </w:tcBorders>
            <w:shd w:val="clear" w:color="auto" w:fill="F5F3EC"/>
            <w:tcMar>
              <w:top w:w="80" w:type="dxa"/>
              <w:left w:w="110" w:type="dxa"/>
              <w:bottom w:w="80" w:type="dxa"/>
              <w:right w:w="110" w:type="dxa"/>
            </w:tcMar>
            <w:vAlign w:val="center"/>
          </w:tcPr>
          <w:p w14:paraId="20B777AB" w14:textId="77777777" w:rsidR="008B59AA" w:rsidRDefault="00000000">
            <w:r>
              <w:rPr>
                <w:rFonts w:ascii="Helvetica" w:eastAsia="Helvetica" w:hAnsi="Helvetica" w:cs="Helvetica"/>
                <w:color w:val="33363D"/>
                <w:sz w:val="18"/>
                <w:szCs w:val="18"/>
              </w:rPr>
              <w:t>Grundgebühren Gemeinschaftsanlage</w:t>
            </w:r>
          </w:p>
        </w:tc>
        <w:tc>
          <w:tcPr>
            <w:tcW w:w="2300" w:type="dxa"/>
            <w:tcBorders>
              <w:bottom w:val="single" w:sz="4" w:space="0" w:color="D8D2C2"/>
            </w:tcBorders>
            <w:shd w:val="clear" w:color="auto" w:fill="F5F3EC"/>
            <w:tcMar>
              <w:top w:w="80" w:type="dxa"/>
              <w:left w:w="110" w:type="dxa"/>
              <w:bottom w:w="80" w:type="dxa"/>
              <w:right w:w="110" w:type="dxa"/>
            </w:tcMar>
            <w:vAlign w:val="center"/>
          </w:tcPr>
          <w:p w14:paraId="3976A5D3" w14:textId="77777777" w:rsidR="008B59AA" w:rsidRDefault="00000000">
            <w:r>
              <w:rPr>
                <w:rFonts w:ascii="Helvetica" w:eastAsia="Helvetica" w:hAnsi="Helvetica" w:cs="Helvetica"/>
                <w:color w:val="33363D"/>
                <w:sz w:val="18"/>
                <w:szCs w:val="18"/>
              </w:rPr>
              <w:t>Pauschale</w:t>
            </w:r>
          </w:p>
        </w:tc>
      </w:tr>
      <w:tr w:rsidR="008B59AA" w14:paraId="11A959A6" w14:textId="77777777">
        <w:tc>
          <w:tcPr>
            <w:tcW w:w="2600" w:type="dxa"/>
            <w:tcBorders>
              <w:bottom w:val="single" w:sz="4" w:space="0" w:color="D8D2C2"/>
            </w:tcBorders>
            <w:shd w:val="clear" w:color="auto" w:fill="FFFFFF"/>
            <w:tcMar>
              <w:top w:w="80" w:type="dxa"/>
              <w:left w:w="110" w:type="dxa"/>
              <w:bottom w:w="80" w:type="dxa"/>
              <w:right w:w="110" w:type="dxa"/>
            </w:tcMar>
            <w:vAlign w:val="center"/>
          </w:tcPr>
          <w:p w14:paraId="659CB21B" w14:textId="77777777" w:rsidR="008B59AA" w:rsidRDefault="00000000">
            <w:r>
              <w:rPr>
                <w:rFonts w:ascii="Helvetica" w:eastAsia="Helvetica" w:hAnsi="Helvetica" w:cs="Helvetica"/>
                <w:color w:val="33363D"/>
                <w:sz w:val="18"/>
                <w:szCs w:val="18"/>
              </w:rPr>
              <w:t>Verwaltungskosten</w:t>
            </w:r>
          </w:p>
        </w:tc>
        <w:tc>
          <w:tcPr>
            <w:tcW w:w="4058" w:type="dxa"/>
            <w:tcBorders>
              <w:bottom w:val="single" w:sz="4" w:space="0" w:color="D8D2C2"/>
            </w:tcBorders>
            <w:shd w:val="clear" w:color="auto" w:fill="FFFFFF"/>
            <w:tcMar>
              <w:top w:w="80" w:type="dxa"/>
              <w:left w:w="110" w:type="dxa"/>
              <w:bottom w:w="80" w:type="dxa"/>
              <w:right w:w="110" w:type="dxa"/>
            </w:tcMar>
            <w:vAlign w:val="center"/>
          </w:tcPr>
          <w:p w14:paraId="4769AB72" w14:textId="77777777" w:rsidR="008B59AA" w:rsidRDefault="00000000">
            <w:r>
              <w:rPr>
                <w:rFonts w:ascii="Helvetica" w:eastAsia="Helvetica" w:hAnsi="Helvetica" w:cs="Helvetica"/>
                <w:color w:val="33363D"/>
                <w:sz w:val="18"/>
                <w:szCs w:val="18"/>
              </w:rPr>
              <w:t>Verwaltungspauschale</w:t>
            </w:r>
          </w:p>
        </w:tc>
        <w:tc>
          <w:tcPr>
            <w:tcW w:w="2300" w:type="dxa"/>
            <w:tcBorders>
              <w:bottom w:val="single" w:sz="4" w:space="0" w:color="D8D2C2"/>
            </w:tcBorders>
            <w:shd w:val="clear" w:color="auto" w:fill="FFFFFF"/>
            <w:tcMar>
              <w:top w:w="80" w:type="dxa"/>
              <w:left w:w="110" w:type="dxa"/>
              <w:bottom w:w="80" w:type="dxa"/>
              <w:right w:w="110" w:type="dxa"/>
            </w:tcMar>
            <w:vAlign w:val="center"/>
          </w:tcPr>
          <w:p w14:paraId="3BE314FF" w14:textId="77777777" w:rsidR="008B59AA" w:rsidRDefault="00000000">
            <w:r>
              <w:rPr>
                <w:rFonts w:ascii="Helvetica" w:eastAsia="Helvetica" w:hAnsi="Helvetica" w:cs="Helvetica"/>
                <w:color w:val="33363D"/>
                <w:sz w:val="18"/>
                <w:szCs w:val="18"/>
              </w:rPr>
              <w:t>im Mietzins enthalten*</w:t>
            </w:r>
          </w:p>
        </w:tc>
      </w:tr>
    </w:tbl>
    <w:p w14:paraId="28E0F512" w14:textId="77777777" w:rsidR="008B59AA" w:rsidRDefault="008B59AA">
      <w:pPr>
        <w:spacing w:after="160"/>
      </w:pPr>
    </w:p>
    <w:p w14:paraId="59267D1E" w14:textId="77777777" w:rsidR="008B59AA" w:rsidRDefault="00000000">
      <w:pPr>
        <w:spacing w:after="160" w:line="300" w:lineRule="auto"/>
        <w:jc w:val="both"/>
      </w:pPr>
      <w:r>
        <w:rPr>
          <w:rFonts w:ascii="Helvetica" w:eastAsia="Helvetica" w:hAnsi="Helvetica" w:cs="Helvetica"/>
          <w:color w:val="33363D"/>
        </w:rPr>
        <w:t>*Verwaltungskosten dürfen nur dann separat verrechnet werden, wenn dies im Mietvertrag ausdrücklich vereinbart wurde.</w:t>
      </w:r>
    </w:p>
    <w:p w14:paraId="349ACFFA" w14:textId="77777777" w:rsidR="008B59AA" w:rsidRDefault="00000000">
      <w:pPr>
        <w:keepNext/>
        <w:spacing w:before="260" w:after="120"/>
      </w:pPr>
      <w:r>
        <w:rPr>
          <w:rFonts w:ascii="Helvetica" w:eastAsia="Helvetica" w:hAnsi="Helvetica" w:cs="Helvetica"/>
          <w:b/>
          <w:bCs/>
          <w:color w:val="12203D"/>
          <w:sz w:val="23"/>
          <w:szCs w:val="23"/>
        </w:rPr>
        <w:t>Bei einem Mieterwechsel</w:t>
      </w:r>
    </w:p>
    <w:p w14:paraId="322968C3" w14:textId="77777777" w:rsidR="008B59AA" w:rsidRDefault="00000000">
      <w:pPr>
        <w:pStyle w:val="Listenabsatz"/>
        <w:numPr>
          <w:ilvl w:val="0"/>
          <w:numId w:val="2"/>
        </w:numPr>
        <w:spacing w:after="80" w:line="292" w:lineRule="auto"/>
      </w:pPr>
      <w:r>
        <w:rPr>
          <w:rFonts w:ascii="Helvetica" w:eastAsia="Helvetica" w:hAnsi="Helvetica" w:cs="Helvetica"/>
          <w:color w:val="33363D"/>
        </w:rPr>
        <w:t>Frühzeitig Besichtigungstermine mit dem bisherigen Mieter koordinieren.</w:t>
      </w:r>
    </w:p>
    <w:p w14:paraId="79A4CA7E" w14:textId="77777777" w:rsidR="008B59AA" w:rsidRDefault="00000000">
      <w:pPr>
        <w:pStyle w:val="Listenabsatz"/>
        <w:numPr>
          <w:ilvl w:val="0"/>
          <w:numId w:val="2"/>
        </w:numPr>
        <w:spacing w:after="80" w:line="292" w:lineRule="auto"/>
      </w:pPr>
      <w:r>
        <w:rPr>
          <w:rFonts w:ascii="Helvetica" w:eastAsia="Helvetica" w:hAnsi="Helvetica" w:cs="Helvetica"/>
          <w:color w:val="33363D"/>
        </w:rPr>
        <w:t>Übergabeprotokoll und Zustand der Wohnung sorgfältig dokumentieren.</w:t>
      </w:r>
    </w:p>
    <w:p w14:paraId="41F932D1" w14:textId="77777777" w:rsidR="008B59AA" w:rsidRDefault="00000000">
      <w:pPr>
        <w:pStyle w:val="Listenabsatz"/>
        <w:numPr>
          <w:ilvl w:val="0"/>
          <w:numId w:val="2"/>
        </w:numPr>
        <w:spacing w:after="80" w:line="292" w:lineRule="auto"/>
      </w:pPr>
      <w:r>
        <w:rPr>
          <w:rFonts w:ascii="Helvetica" w:eastAsia="Helvetica" w:hAnsi="Helvetica" w:cs="Helvetica"/>
          <w:color w:val="33363D"/>
        </w:rPr>
        <w:t>Kaution des ausziehenden Mieters gemäss gesetzlicher Frist abwickeln.</w:t>
      </w:r>
    </w:p>
    <w:p w14:paraId="101F5D1C" w14:textId="77777777" w:rsidR="008B59AA" w:rsidRDefault="00000000">
      <w:pPr>
        <w:pStyle w:val="Listenabsatz"/>
        <w:numPr>
          <w:ilvl w:val="0"/>
          <w:numId w:val="2"/>
        </w:numPr>
        <w:spacing w:after="80" w:line="292" w:lineRule="auto"/>
      </w:pPr>
      <w:r>
        <w:rPr>
          <w:rFonts w:ascii="Helvetica" w:eastAsia="Helvetica" w:hAnsi="Helvetica" w:cs="Helvetica"/>
          <w:color w:val="33363D"/>
        </w:rPr>
        <w:t>Neuen Mietvertrag inklusive Hausordnung und Nebenkostenregelung vorbereiten.</w:t>
      </w:r>
    </w:p>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8"/>
      </w:tblGrid>
      <w:tr w:rsidR="008B59AA" w14:paraId="697DA1DF" w14:textId="77777777">
        <w:tc>
          <w:tcPr>
            <w:tcW w:w="8958" w:type="dxa"/>
            <w:tcBorders>
              <w:top w:val="single" w:sz="16" w:space="0" w:color="C9A227"/>
              <w:left w:val="none" w:sz="0" w:space="0" w:color="12203D"/>
              <w:bottom w:val="none" w:sz="0" w:space="0" w:color="12203D"/>
              <w:right w:val="none" w:sz="0" w:space="0" w:color="12203D"/>
            </w:tcBorders>
            <w:shd w:val="clear" w:color="auto" w:fill="12203D"/>
            <w:tcMar>
              <w:top w:w="200" w:type="dxa"/>
              <w:left w:w="220" w:type="dxa"/>
              <w:bottom w:w="200" w:type="dxa"/>
              <w:right w:w="220" w:type="dxa"/>
            </w:tcMar>
          </w:tcPr>
          <w:p w14:paraId="1E43C534" w14:textId="77777777" w:rsidR="008B59AA" w:rsidRDefault="00000000">
            <w:pPr>
              <w:keepNext/>
              <w:keepLines/>
              <w:spacing w:after="60"/>
            </w:pPr>
            <w:r>
              <w:rPr>
                <w:rFonts w:ascii="Helvetica" w:eastAsia="Helvetica" w:hAnsi="Helvetica" w:cs="Helvetica"/>
                <w:b/>
                <w:bCs/>
                <w:color w:val="FFFFFF"/>
                <w:sz w:val="21"/>
                <w:szCs w:val="21"/>
              </w:rPr>
              <w:t>Vera Home Immobilien</w:t>
            </w:r>
          </w:p>
          <w:p w14:paraId="28F1210D" w14:textId="77777777" w:rsidR="008B59AA" w:rsidRDefault="00000000">
            <w:pPr>
              <w:keepNext/>
              <w:keepLines/>
              <w:spacing w:after="60" w:line="280" w:lineRule="auto"/>
            </w:pPr>
            <w:r>
              <w:rPr>
                <w:rFonts w:ascii="Helvetica" w:eastAsia="Helvetica" w:hAnsi="Helvetica" w:cs="Helvetica"/>
                <w:color w:val="FFFFFF"/>
                <w:sz w:val="19"/>
                <w:szCs w:val="19"/>
              </w:rPr>
              <w:t>Wir unterstützen Eigentümerinnen und Eigentümer bei Vermietung, Mietzinsgestaltung und laufender Verwaltung ihrer Liegenschaft.</w:t>
            </w:r>
          </w:p>
          <w:p w14:paraId="458DBC4D" w14:textId="5712FE11" w:rsidR="008B59AA" w:rsidRDefault="00000000">
            <w:pPr>
              <w:keepNext/>
              <w:keepLines/>
            </w:pPr>
            <w:r>
              <w:rPr>
                <w:rFonts w:ascii="Helvetica" w:eastAsia="Helvetica" w:hAnsi="Helvetica" w:cs="Helvetica"/>
                <w:color w:val="FFFFFF"/>
                <w:sz w:val="19"/>
                <w:szCs w:val="19"/>
              </w:rPr>
              <w:t xml:space="preserve">Hauptstrasse 39, 5070 </w:t>
            </w:r>
            <w:proofErr w:type="gramStart"/>
            <w:r>
              <w:rPr>
                <w:rFonts w:ascii="Helvetica" w:eastAsia="Helvetica" w:hAnsi="Helvetica" w:cs="Helvetica"/>
                <w:color w:val="FFFFFF"/>
                <w:sz w:val="19"/>
                <w:szCs w:val="19"/>
              </w:rPr>
              <w:t>Frick  |</w:t>
            </w:r>
            <w:proofErr w:type="gramEnd"/>
            <w:r>
              <w:rPr>
                <w:rFonts w:ascii="Helvetica" w:eastAsia="Helvetica" w:hAnsi="Helvetica" w:cs="Helvetica"/>
                <w:color w:val="FFFFFF"/>
                <w:sz w:val="19"/>
                <w:szCs w:val="19"/>
              </w:rPr>
              <w:t xml:space="preserve">  Tel. +41 76 336 84 38  |  </w:t>
            </w:r>
            <w:r w:rsidR="007475A5">
              <w:rPr>
                <w:rFonts w:ascii="Helvetica" w:eastAsia="Helvetica" w:hAnsi="Helvetica" w:cs="Helvetica"/>
                <w:color w:val="FFFFFF"/>
                <w:sz w:val="19"/>
                <w:szCs w:val="19"/>
              </w:rPr>
              <w:t>welcome@verahome.ch</w:t>
            </w:r>
          </w:p>
        </w:tc>
      </w:tr>
    </w:tbl>
    <w:p w14:paraId="13B7E84B" w14:textId="77777777" w:rsidR="008B59AA" w:rsidRDefault="00000000">
      <w:pPr>
        <w:keepLines/>
        <w:spacing w:before="120"/>
      </w:pPr>
      <w:r>
        <w:rPr>
          <w:rFonts w:ascii="Helvetica" w:eastAsia="Helvetica" w:hAnsi="Helvetica" w:cs="Helvetica"/>
          <w:i/>
          <w:iCs/>
          <w:color w:val="6B6E76"/>
          <w:sz w:val="16"/>
          <w:szCs w:val="16"/>
        </w:rPr>
        <w:t xml:space="preserve">Dieses Dokument dient der allgemeinen Information und ersetzt keine rechtliche Beratung im Einzelfall. Massgebend sind die Bestimmungen des </w:t>
      </w:r>
      <w:proofErr w:type="gramStart"/>
      <w:r>
        <w:rPr>
          <w:rFonts w:ascii="Helvetica" w:eastAsia="Helvetica" w:hAnsi="Helvetica" w:cs="Helvetica"/>
          <w:i/>
          <w:iCs/>
          <w:color w:val="6B6E76"/>
          <w:sz w:val="16"/>
          <w:szCs w:val="16"/>
        </w:rPr>
        <w:t>Schweizerischen</w:t>
      </w:r>
      <w:proofErr w:type="gramEnd"/>
      <w:r>
        <w:rPr>
          <w:rFonts w:ascii="Helvetica" w:eastAsia="Helvetica" w:hAnsi="Helvetica" w:cs="Helvetica"/>
          <w:i/>
          <w:iCs/>
          <w:color w:val="6B6E76"/>
          <w:sz w:val="16"/>
          <w:szCs w:val="16"/>
        </w:rPr>
        <w:t xml:space="preserve"> Obligationenrechts (OR).</w:t>
      </w:r>
    </w:p>
    <w:sectPr w:rsidR="008B59AA">
      <w:headerReference w:type="default" r:id="rId7"/>
      <w:footerReference w:type="default" r:id="rId8"/>
      <w:pgSz w:w="11906" w:h="16838"/>
      <w:pgMar w:top="1610" w:right="1474" w:bottom="1474" w:left="147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CCA7ED" w14:textId="77777777" w:rsidR="00717BB6" w:rsidRDefault="00717BB6">
      <w:r>
        <w:separator/>
      </w:r>
    </w:p>
  </w:endnote>
  <w:endnote w:type="continuationSeparator" w:id="0">
    <w:p w14:paraId="13F7EBF3" w14:textId="77777777" w:rsidR="00717BB6" w:rsidRDefault="00717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D9E5D8" w14:textId="77777777" w:rsidR="008B59AA" w:rsidRDefault="00000000">
    <w:pPr>
      <w:pBdr>
        <w:top w:val="single" w:sz="4" w:space="6" w:color="D8D2C2"/>
      </w:pBdr>
      <w:tabs>
        <w:tab w:val="right" w:pos="9026"/>
      </w:tabs>
    </w:pPr>
    <w:r>
      <w:rPr>
        <w:rFonts w:ascii="Helvetica" w:eastAsia="Helvetica" w:hAnsi="Helvetica" w:cs="Helvetica"/>
        <w:color w:val="6B6E76"/>
        <w:sz w:val="15"/>
        <w:szCs w:val="15"/>
      </w:rPr>
      <w:t>Vera Home Immobilien – Hauptstrasse 39, 5070 Frick</w:t>
    </w:r>
    <w:r>
      <w:rPr>
        <w:rFonts w:ascii="Helvetica" w:eastAsia="Helvetica" w:hAnsi="Helvetica" w:cs="Helvetica"/>
        <w:color w:val="6B6E76"/>
        <w:sz w:val="15"/>
        <w:szCs w:val="15"/>
      </w:rPr>
      <w:tab/>
      <w:t xml:space="preserve">Seite </w:t>
    </w:r>
    <w:r>
      <w:rPr>
        <w:rFonts w:ascii="Helvetica" w:eastAsia="Helvetica" w:hAnsi="Helvetica" w:cs="Helvetica"/>
        <w:color w:val="6B6E76"/>
        <w:sz w:val="15"/>
        <w:szCs w:val="15"/>
      </w:rPr>
      <w:fldChar w:fldCharType="begin"/>
    </w:r>
    <w:r>
      <w:rPr>
        <w:rFonts w:ascii="Helvetica" w:eastAsia="Helvetica" w:hAnsi="Helvetica" w:cs="Helvetica"/>
        <w:color w:val="6B6E76"/>
        <w:sz w:val="15"/>
        <w:szCs w:val="15"/>
      </w:rPr>
      <w:instrText>PAGE</w:instrText>
    </w:r>
    <w:r>
      <w:rPr>
        <w:rFonts w:ascii="Helvetica" w:eastAsia="Helvetica" w:hAnsi="Helvetica" w:cs="Helvetica"/>
        <w:color w:val="6B6E76"/>
        <w:sz w:val="15"/>
        <w:szCs w:val="15"/>
      </w:rPr>
      <w:fldChar w:fldCharType="separate"/>
    </w:r>
    <w:r w:rsidR="0055660F">
      <w:rPr>
        <w:rFonts w:ascii="Helvetica" w:eastAsia="Helvetica" w:hAnsi="Helvetica" w:cs="Helvetica"/>
        <w:noProof/>
        <w:color w:val="6B6E76"/>
        <w:sz w:val="15"/>
        <w:szCs w:val="15"/>
      </w:rPr>
      <w:t>1</w:t>
    </w:r>
    <w:r>
      <w:rPr>
        <w:rFonts w:ascii="Helvetica" w:eastAsia="Helvetica" w:hAnsi="Helvetica" w:cs="Helvetica"/>
        <w:color w:val="6B6E7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35FF6" w14:textId="77777777" w:rsidR="00717BB6" w:rsidRDefault="00717BB6">
      <w:r>
        <w:separator/>
      </w:r>
    </w:p>
  </w:footnote>
  <w:footnote w:type="continuationSeparator" w:id="0">
    <w:p w14:paraId="0E946B49" w14:textId="77777777" w:rsidR="00717BB6" w:rsidRDefault="00717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95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39"/>
      <w:gridCol w:w="3946"/>
      <w:gridCol w:w="2573"/>
    </w:tblGrid>
    <w:tr w:rsidR="008B59AA" w14:paraId="54205E86" w14:textId="77777777">
      <w:tc>
        <w:tcPr>
          <w:tcW w:w="1300" w:type="dxa"/>
          <w:tcMar>
            <w:top w:w="0" w:type="dxa"/>
            <w:left w:w="0" w:type="dxa"/>
            <w:bottom w:w="0" w:type="dxa"/>
            <w:right w:w="80" w:type="dxa"/>
          </w:tcMar>
          <w:vAlign w:val="center"/>
        </w:tcPr>
        <w:p w14:paraId="4BA2613D" w14:textId="77777777" w:rsidR="008B59AA" w:rsidRDefault="00000000">
          <w:r>
            <w:rPr>
              <w:noProof/>
            </w:rPr>
            <w:drawing>
              <wp:inline distT="0" distB="0" distL="0" distR="0" wp14:anchorId="7904BD67" wp14:editId="237DBEE1">
                <wp:extent cx="1498060" cy="99870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37052" cy="1024702"/>
                        </a:xfrm>
                        <a:prstGeom prst="rect">
                          <a:avLst/>
                        </a:prstGeom>
                      </pic:spPr>
                    </pic:pic>
                  </a:graphicData>
                </a:graphic>
              </wp:inline>
            </w:drawing>
          </w:r>
        </w:p>
      </w:tc>
      <w:tc>
        <w:tcPr>
          <w:tcW w:w="4658" w:type="dxa"/>
          <w:tcMar>
            <w:top w:w="0" w:type="dxa"/>
            <w:left w:w="0" w:type="dxa"/>
            <w:bottom w:w="0" w:type="dxa"/>
            <w:right w:w="0" w:type="dxa"/>
          </w:tcMar>
          <w:vAlign w:val="center"/>
        </w:tcPr>
        <w:p w14:paraId="2F793395" w14:textId="77777777" w:rsidR="008B59AA" w:rsidRPr="0055660F" w:rsidRDefault="00000000">
          <w:pPr>
            <w:spacing w:after="10"/>
            <w:rPr>
              <w:lang w:val="it-CH"/>
            </w:rPr>
          </w:pPr>
          <w:r w:rsidRPr="0055660F">
            <w:rPr>
              <w:rFonts w:ascii="Helvetica" w:eastAsia="Helvetica" w:hAnsi="Helvetica" w:cs="Helvetica"/>
              <w:b/>
              <w:bCs/>
              <w:color w:val="12203D"/>
              <w:sz w:val="22"/>
              <w:szCs w:val="22"/>
              <w:lang w:val="it-CH"/>
            </w:rPr>
            <w:t>Vera Home Immobilien</w:t>
          </w:r>
        </w:p>
        <w:p w14:paraId="57BCAD79" w14:textId="77777777" w:rsidR="008B59AA" w:rsidRPr="0055660F" w:rsidRDefault="00000000">
          <w:pPr>
            <w:rPr>
              <w:lang w:val="it-CH"/>
            </w:rPr>
          </w:pPr>
          <w:r w:rsidRPr="0055660F">
            <w:rPr>
              <w:rFonts w:ascii="Helvetica" w:eastAsia="Helvetica" w:hAnsi="Helvetica" w:cs="Helvetica"/>
              <w:color w:val="C9A227"/>
              <w:sz w:val="14"/>
              <w:szCs w:val="14"/>
              <w:lang w:val="it-CH"/>
            </w:rPr>
            <w:t>I M M O B I L I E N  –  FRICK</w:t>
          </w:r>
        </w:p>
      </w:tc>
      <w:tc>
        <w:tcPr>
          <w:tcW w:w="3000" w:type="dxa"/>
          <w:vAlign w:val="center"/>
        </w:tcPr>
        <w:p w14:paraId="7C57ECB2" w14:textId="77777777" w:rsidR="008B59AA" w:rsidRDefault="00000000">
          <w:pPr>
            <w:jc w:val="right"/>
          </w:pPr>
          <w:r>
            <w:rPr>
              <w:rFonts w:ascii="Helvetica" w:eastAsia="Helvetica" w:hAnsi="Helvetica" w:cs="Helvetica"/>
              <w:b/>
              <w:bCs/>
              <w:color w:val="33363D"/>
              <w:sz w:val="16"/>
              <w:szCs w:val="16"/>
            </w:rPr>
            <w:t>Tipps für Eigentümer</w:t>
          </w:r>
        </w:p>
      </w:tc>
    </w:tr>
  </w:tbl>
  <w:p w14:paraId="78D7303D" w14:textId="77777777" w:rsidR="008B59AA" w:rsidRDefault="008B59AA">
    <w:pPr>
      <w:pBdr>
        <w:bottom w:val="single" w:sz="10" w:space="6" w:color="C9A227"/>
      </w:pBdr>
      <w:spacing w:before="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C22EAC"/>
    <w:multiLevelType w:val="hybridMultilevel"/>
    <w:tmpl w:val="83BA0F6A"/>
    <w:lvl w:ilvl="0" w:tplc="D8CEE4E2">
      <w:start w:val="1"/>
      <w:numFmt w:val="bullet"/>
      <w:lvlText w:val="•"/>
      <w:lvlJc w:val="left"/>
      <w:pPr>
        <w:ind w:left="340" w:hanging="200"/>
      </w:pPr>
      <w:rPr>
        <w:rFonts w:ascii="Helvetica" w:eastAsia="Helvetica" w:hAnsi="Helvetica" w:cs="Helvetica"/>
        <w:color w:val="C9A227"/>
      </w:rPr>
    </w:lvl>
    <w:lvl w:ilvl="1" w:tplc="4DD427B4">
      <w:numFmt w:val="decimal"/>
      <w:lvlText w:val=""/>
      <w:lvlJc w:val="left"/>
    </w:lvl>
    <w:lvl w:ilvl="2" w:tplc="909E8B94">
      <w:numFmt w:val="decimal"/>
      <w:lvlText w:val=""/>
      <w:lvlJc w:val="left"/>
    </w:lvl>
    <w:lvl w:ilvl="3" w:tplc="34400A68">
      <w:numFmt w:val="decimal"/>
      <w:lvlText w:val=""/>
      <w:lvlJc w:val="left"/>
    </w:lvl>
    <w:lvl w:ilvl="4" w:tplc="AA94A2AA">
      <w:numFmt w:val="decimal"/>
      <w:lvlText w:val=""/>
      <w:lvlJc w:val="left"/>
    </w:lvl>
    <w:lvl w:ilvl="5" w:tplc="E3D4D50E">
      <w:numFmt w:val="decimal"/>
      <w:lvlText w:val=""/>
      <w:lvlJc w:val="left"/>
    </w:lvl>
    <w:lvl w:ilvl="6" w:tplc="0C4078F0">
      <w:numFmt w:val="decimal"/>
      <w:lvlText w:val=""/>
      <w:lvlJc w:val="left"/>
    </w:lvl>
    <w:lvl w:ilvl="7" w:tplc="FA809C5C">
      <w:numFmt w:val="decimal"/>
      <w:lvlText w:val=""/>
      <w:lvlJc w:val="left"/>
    </w:lvl>
    <w:lvl w:ilvl="8" w:tplc="10C24842">
      <w:numFmt w:val="decimal"/>
      <w:lvlText w:val=""/>
      <w:lvlJc w:val="left"/>
    </w:lvl>
  </w:abstractNum>
  <w:abstractNum w:abstractNumId="1" w15:restartNumberingAfterBreak="0">
    <w:nsid w:val="4C21482A"/>
    <w:multiLevelType w:val="hybridMultilevel"/>
    <w:tmpl w:val="8AC4E97E"/>
    <w:lvl w:ilvl="0" w:tplc="33D8733A">
      <w:start w:val="1"/>
      <w:numFmt w:val="bullet"/>
      <w:lvlText w:val="●"/>
      <w:lvlJc w:val="left"/>
      <w:pPr>
        <w:ind w:left="720" w:hanging="360"/>
      </w:pPr>
    </w:lvl>
    <w:lvl w:ilvl="1" w:tplc="EC40ECFE">
      <w:start w:val="1"/>
      <w:numFmt w:val="bullet"/>
      <w:lvlText w:val="○"/>
      <w:lvlJc w:val="left"/>
      <w:pPr>
        <w:ind w:left="1440" w:hanging="360"/>
      </w:pPr>
    </w:lvl>
    <w:lvl w:ilvl="2" w:tplc="4E22F61E">
      <w:start w:val="1"/>
      <w:numFmt w:val="bullet"/>
      <w:lvlText w:val="■"/>
      <w:lvlJc w:val="left"/>
      <w:pPr>
        <w:ind w:left="2160" w:hanging="360"/>
      </w:pPr>
    </w:lvl>
    <w:lvl w:ilvl="3" w:tplc="9D0A1924">
      <w:start w:val="1"/>
      <w:numFmt w:val="bullet"/>
      <w:lvlText w:val="●"/>
      <w:lvlJc w:val="left"/>
      <w:pPr>
        <w:ind w:left="2880" w:hanging="360"/>
      </w:pPr>
    </w:lvl>
    <w:lvl w:ilvl="4" w:tplc="04047DCA">
      <w:start w:val="1"/>
      <w:numFmt w:val="bullet"/>
      <w:lvlText w:val="○"/>
      <w:lvlJc w:val="left"/>
      <w:pPr>
        <w:ind w:left="3600" w:hanging="360"/>
      </w:pPr>
    </w:lvl>
    <w:lvl w:ilvl="5" w:tplc="0C8A4B2E">
      <w:start w:val="1"/>
      <w:numFmt w:val="bullet"/>
      <w:lvlText w:val="■"/>
      <w:lvlJc w:val="left"/>
      <w:pPr>
        <w:ind w:left="4320" w:hanging="360"/>
      </w:pPr>
    </w:lvl>
    <w:lvl w:ilvl="6" w:tplc="9F1EDC70">
      <w:start w:val="1"/>
      <w:numFmt w:val="bullet"/>
      <w:lvlText w:val="●"/>
      <w:lvlJc w:val="left"/>
      <w:pPr>
        <w:ind w:left="5040" w:hanging="360"/>
      </w:pPr>
    </w:lvl>
    <w:lvl w:ilvl="7" w:tplc="619E53D0">
      <w:start w:val="1"/>
      <w:numFmt w:val="bullet"/>
      <w:lvlText w:val="●"/>
      <w:lvlJc w:val="left"/>
      <w:pPr>
        <w:ind w:left="5760" w:hanging="360"/>
      </w:pPr>
    </w:lvl>
    <w:lvl w:ilvl="8" w:tplc="EDEC32EA">
      <w:start w:val="1"/>
      <w:numFmt w:val="bullet"/>
      <w:lvlText w:val="●"/>
      <w:lvlJc w:val="left"/>
      <w:pPr>
        <w:ind w:left="6480" w:hanging="360"/>
      </w:pPr>
    </w:lvl>
  </w:abstractNum>
  <w:num w:numId="1" w16cid:durableId="961957643">
    <w:abstractNumId w:val="1"/>
    <w:lvlOverride w:ilvl="0">
      <w:startOverride w:val="1"/>
    </w:lvlOverride>
  </w:num>
  <w:num w:numId="2" w16cid:durableId="6033488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9AA"/>
    <w:rsid w:val="0055660F"/>
    <w:rsid w:val="00717BB6"/>
    <w:rsid w:val="00720FA3"/>
    <w:rsid w:val="007475A5"/>
    <w:rsid w:val="00834708"/>
    <w:rsid w:val="008B59A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2286482D"/>
  <w15:docId w15:val="{C578D8FB-E294-7F49-9172-871749B5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55660F"/>
    <w:pPr>
      <w:tabs>
        <w:tab w:val="center" w:pos="4536"/>
        <w:tab w:val="right" w:pos="9072"/>
      </w:tabs>
    </w:pPr>
  </w:style>
  <w:style w:type="character" w:customStyle="1" w:styleId="KopfzeileZchn">
    <w:name w:val="Kopfzeile Zchn"/>
    <w:basedOn w:val="Absatz-Standardschriftart"/>
    <w:link w:val="Kopfzeile"/>
    <w:uiPriority w:val="99"/>
    <w:rsid w:val="0055660F"/>
  </w:style>
  <w:style w:type="paragraph" w:styleId="Fuzeile">
    <w:name w:val="footer"/>
    <w:basedOn w:val="Standard"/>
    <w:link w:val="FuzeileZchn"/>
    <w:uiPriority w:val="99"/>
    <w:unhideWhenUsed/>
    <w:rsid w:val="0055660F"/>
    <w:pPr>
      <w:tabs>
        <w:tab w:val="center" w:pos="4536"/>
        <w:tab w:val="right" w:pos="9072"/>
      </w:tabs>
    </w:pPr>
  </w:style>
  <w:style w:type="character" w:customStyle="1" w:styleId="FuzeileZchn">
    <w:name w:val="Fußzeile Zchn"/>
    <w:basedOn w:val="Absatz-Standardschriftart"/>
    <w:link w:val="Fuzeile"/>
    <w:uiPriority w:val="99"/>
    <w:rsid w:val="00556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3180</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 Spahr</cp:lastModifiedBy>
  <cp:revision>2</cp:revision>
  <dcterms:created xsi:type="dcterms:W3CDTF">2026-07-03T18:18:00Z</dcterms:created>
  <dcterms:modified xsi:type="dcterms:W3CDTF">2026-07-03T18:18:00Z</dcterms:modified>
</cp:coreProperties>
</file>