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9AD5F8B" w14:textId="5B9A77CA" w:rsidR="00291F57" w:rsidRPr="005C01C7" w:rsidRDefault="005C01C7">
      <w:pPr>
        <w:jc w:val="center"/>
        <w:rPr>
          <w:rFonts w:ascii="Comic Sans MS" w:eastAsia="Anybody" w:hAnsi="Comic Sans MS" w:cs="Anybody"/>
          <w:b/>
          <w:sz w:val="26"/>
          <w:szCs w:val="26"/>
        </w:rPr>
      </w:pPr>
      <w:r w:rsidRPr="005C01C7">
        <w:rPr>
          <w:rFonts w:ascii="Comic Sans MS" w:eastAsia="Anybody" w:hAnsi="Comic Sans MS" w:cs="Anybody"/>
          <w:b/>
          <w:sz w:val="26"/>
          <w:szCs w:val="26"/>
        </w:rPr>
        <w:t xml:space="preserve">Proyecto integrador </w:t>
      </w:r>
      <w:proofErr w:type="spellStart"/>
      <w:r w:rsidRPr="005C01C7">
        <w:rPr>
          <w:rFonts w:ascii="Comic Sans MS" w:eastAsia="Anybody" w:hAnsi="Comic Sans MS" w:cs="Anybody"/>
          <w:b/>
          <w:sz w:val="26"/>
          <w:szCs w:val="26"/>
        </w:rPr>
        <w:t>Biogenesys</w:t>
      </w:r>
      <w:proofErr w:type="spellEnd"/>
    </w:p>
    <w:p w14:paraId="6B372EC9" w14:textId="77777777" w:rsidR="00291F57" w:rsidRPr="005C01C7" w:rsidRDefault="00291F57">
      <w:pPr>
        <w:jc w:val="both"/>
        <w:rPr>
          <w:rFonts w:ascii="Comic Sans MS" w:eastAsia="Anybody" w:hAnsi="Comic Sans MS" w:cs="Anybody"/>
          <w:b/>
          <w:sz w:val="26"/>
          <w:szCs w:val="26"/>
        </w:rPr>
      </w:pPr>
    </w:p>
    <w:p w14:paraId="3F0AC650" w14:textId="332A6A5C" w:rsidR="00291F57" w:rsidRPr="005C01C7" w:rsidRDefault="00000000">
      <w:pPr>
        <w:jc w:val="both"/>
        <w:rPr>
          <w:rFonts w:ascii="Comic Sans MS" w:eastAsia="Anybody" w:hAnsi="Comic Sans MS" w:cs="Anybody"/>
          <w:b/>
        </w:rPr>
      </w:pPr>
      <w:r w:rsidRPr="005C01C7">
        <w:rPr>
          <w:rFonts w:ascii="Comic Sans MS" w:eastAsia="Anybody" w:hAnsi="Comic Sans MS" w:cs="Anybody"/>
          <w:b/>
        </w:rPr>
        <w:t>Nombre del autor:</w:t>
      </w:r>
      <w:r w:rsidR="00B46691" w:rsidRPr="005C01C7">
        <w:rPr>
          <w:rFonts w:ascii="Comic Sans MS" w:eastAsia="Anybody" w:hAnsi="Comic Sans MS" w:cs="Anybody"/>
          <w:b/>
        </w:rPr>
        <w:t xml:space="preserve"> Marcela </w:t>
      </w:r>
      <w:proofErr w:type="spellStart"/>
      <w:r w:rsidR="00B46691" w:rsidRPr="005C01C7">
        <w:rPr>
          <w:rFonts w:ascii="Comic Sans MS" w:eastAsia="Anybody" w:hAnsi="Comic Sans MS" w:cs="Anybody"/>
          <w:b/>
        </w:rPr>
        <w:t>Camerota</w:t>
      </w:r>
      <w:proofErr w:type="spellEnd"/>
    </w:p>
    <w:p w14:paraId="1B66B71E" w14:textId="43849658" w:rsidR="00291F57" w:rsidRPr="005C01C7" w:rsidRDefault="00000000">
      <w:pPr>
        <w:jc w:val="both"/>
        <w:rPr>
          <w:rFonts w:ascii="Comic Sans MS" w:eastAsia="Anybody" w:hAnsi="Comic Sans MS" w:cs="Anybody"/>
          <w:b/>
        </w:rPr>
      </w:pPr>
      <w:r w:rsidRPr="005C01C7">
        <w:rPr>
          <w:rFonts w:ascii="Comic Sans MS" w:eastAsia="Anybody" w:hAnsi="Comic Sans MS" w:cs="Anybody"/>
          <w:b/>
        </w:rPr>
        <w:t>Email:</w:t>
      </w:r>
      <w:r w:rsidR="00B46691" w:rsidRPr="005C01C7">
        <w:rPr>
          <w:rFonts w:ascii="Comic Sans MS" w:eastAsia="Anybody" w:hAnsi="Comic Sans MS" w:cs="Anybody"/>
          <w:b/>
        </w:rPr>
        <w:t xml:space="preserve"> marcelacamerota@gmail.com</w:t>
      </w:r>
    </w:p>
    <w:p w14:paraId="4E8BBB63" w14:textId="1D8D0B9A" w:rsidR="00291F57" w:rsidRPr="005C01C7" w:rsidRDefault="00000000">
      <w:pPr>
        <w:jc w:val="both"/>
        <w:rPr>
          <w:rFonts w:ascii="Comic Sans MS" w:eastAsia="Anybody" w:hAnsi="Comic Sans MS" w:cs="Anybody"/>
          <w:b/>
        </w:rPr>
      </w:pPr>
      <w:r w:rsidRPr="005C01C7">
        <w:rPr>
          <w:rFonts w:ascii="Comic Sans MS" w:eastAsia="Anybody" w:hAnsi="Comic Sans MS" w:cs="Anybody"/>
          <w:b/>
        </w:rPr>
        <w:t>Cohorte:</w:t>
      </w:r>
      <w:r w:rsidR="00B46691" w:rsidRPr="005C01C7">
        <w:rPr>
          <w:rFonts w:ascii="Comic Sans MS" w:eastAsia="Anybody" w:hAnsi="Comic Sans MS" w:cs="Anybody"/>
          <w:b/>
        </w:rPr>
        <w:t xml:space="preserve"> DA_PT03</w:t>
      </w:r>
    </w:p>
    <w:p w14:paraId="61A0955C" w14:textId="0C1FDC91" w:rsidR="00291F57" w:rsidRPr="005C01C7" w:rsidRDefault="00000000">
      <w:pPr>
        <w:jc w:val="both"/>
        <w:rPr>
          <w:rFonts w:ascii="Comic Sans MS" w:eastAsia="Anybody" w:hAnsi="Comic Sans MS" w:cs="Anybody"/>
        </w:rPr>
      </w:pPr>
      <w:r w:rsidRPr="005C01C7">
        <w:rPr>
          <w:rFonts w:ascii="Comic Sans MS" w:eastAsia="Anybody" w:hAnsi="Comic Sans MS" w:cs="Anybody"/>
          <w:b/>
        </w:rPr>
        <w:t>Fecha de entrega:</w:t>
      </w:r>
      <w:r w:rsidR="00B46691" w:rsidRPr="005C01C7">
        <w:rPr>
          <w:rFonts w:ascii="Comic Sans MS" w:eastAsia="Anybody" w:hAnsi="Comic Sans MS" w:cs="Anybody"/>
          <w:b/>
        </w:rPr>
        <w:t xml:space="preserve"> 04/11/2024 </w:t>
      </w:r>
    </w:p>
    <w:p w14:paraId="4D393464" w14:textId="3D5D5E6C" w:rsidR="00291F57" w:rsidRPr="002447B6" w:rsidRDefault="002447B6">
      <w:pPr>
        <w:jc w:val="both"/>
        <w:rPr>
          <w:rFonts w:ascii="Comic Sans MS" w:eastAsia="Anybody" w:hAnsi="Comic Sans MS" w:cs="Anybody"/>
          <w:b/>
        </w:rPr>
      </w:pPr>
      <w:r w:rsidRPr="005C01C7">
        <w:rPr>
          <w:rFonts w:ascii="Comic Sans MS" w:eastAsia="Anybody" w:hAnsi="Comic Sans MS" w:cs="Anybody"/>
          <w:b/>
          <w:noProof/>
        </w:rPr>
        <w:drawing>
          <wp:anchor distT="0" distB="0" distL="114300" distR="114300" simplePos="0" relativeHeight="251658240" behindDoc="1" locked="0" layoutInCell="1" allowOverlap="1" wp14:anchorId="73783089" wp14:editId="0A3D6C13">
            <wp:simplePos x="0" y="0"/>
            <wp:positionH relativeFrom="column">
              <wp:posOffset>729615</wp:posOffset>
            </wp:positionH>
            <wp:positionV relativeFrom="paragraph">
              <wp:posOffset>55245</wp:posOffset>
            </wp:positionV>
            <wp:extent cx="1276350" cy="1276350"/>
            <wp:effectExtent l="0" t="0" r="0" b="0"/>
            <wp:wrapNone/>
            <wp:docPr id="62344806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448060" name="Imagen 623448060"/>
                    <pic:cNvPicPr/>
                  </pic:nvPicPr>
                  <pic:blipFill>
                    <a:blip r:embed="rId8">
                      <a:extLst>
                        <a:ext uri="{28A0092B-C50C-407E-A947-70E740481C1C}">
                          <a14:useLocalDpi xmlns:a14="http://schemas.microsoft.com/office/drawing/2010/main" val="0"/>
                        </a:ext>
                      </a:extLst>
                    </a:blip>
                    <a:stretch>
                      <a:fillRect/>
                    </a:stretch>
                  </pic:blipFill>
                  <pic:spPr>
                    <a:xfrm>
                      <a:off x="0" y="0"/>
                      <a:ext cx="1276350" cy="1276350"/>
                    </a:xfrm>
                    <a:prstGeom prst="rect">
                      <a:avLst/>
                    </a:prstGeom>
                  </pic:spPr>
                </pic:pic>
              </a:graphicData>
            </a:graphic>
          </wp:anchor>
        </w:drawing>
      </w:r>
      <w:r w:rsidR="00000000" w:rsidRPr="002447B6">
        <w:rPr>
          <w:rFonts w:ascii="Comic Sans MS" w:eastAsia="Anybody" w:hAnsi="Comic Sans MS" w:cs="Anybody"/>
          <w:b/>
        </w:rPr>
        <w:t xml:space="preserve">Institución: </w:t>
      </w:r>
    </w:p>
    <w:p w14:paraId="016F3E9E" w14:textId="18A35980" w:rsidR="00B46691" w:rsidRDefault="00B46691">
      <w:pPr>
        <w:jc w:val="both"/>
        <w:rPr>
          <w:rFonts w:ascii="Anybody" w:eastAsia="Anybody" w:hAnsi="Anybody" w:cs="Anybody"/>
          <w:b/>
        </w:rPr>
      </w:pPr>
    </w:p>
    <w:p w14:paraId="5DFFA326" w14:textId="77777777" w:rsidR="00B46691" w:rsidRDefault="00B46691">
      <w:pPr>
        <w:jc w:val="both"/>
        <w:rPr>
          <w:rFonts w:ascii="Anybody" w:eastAsia="Anybody" w:hAnsi="Anybody" w:cs="Anybody"/>
          <w:b/>
        </w:rPr>
      </w:pPr>
    </w:p>
    <w:p w14:paraId="590D748B" w14:textId="77777777" w:rsidR="00B46691" w:rsidRDefault="00B46691">
      <w:pPr>
        <w:jc w:val="both"/>
        <w:rPr>
          <w:rFonts w:ascii="Anybody" w:eastAsia="Anybody" w:hAnsi="Anybody" w:cs="Anybody"/>
          <w:b/>
        </w:rPr>
      </w:pPr>
    </w:p>
    <w:p w14:paraId="5B444B96" w14:textId="77777777" w:rsidR="00B46691" w:rsidRDefault="00B46691">
      <w:pPr>
        <w:jc w:val="both"/>
        <w:rPr>
          <w:rFonts w:ascii="Anybody" w:eastAsia="Anybody" w:hAnsi="Anybody" w:cs="Anybody"/>
          <w:b/>
        </w:rPr>
      </w:pPr>
    </w:p>
    <w:p w14:paraId="415BD369" w14:textId="77777777" w:rsidR="00B46691" w:rsidRDefault="00B46691">
      <w:pPr>
        <w:jc w:val="both"/>
        <w:rPr>
          <w:rFonts w:ascii="Anybody" w:eastAsia="Anybody" w:hAnsi="Anybody" w:cs="Anybody"/>
          <w:b/>
        </w:rPr>
      </w:pPr>
    </w:p>
    <w:p w14:paraId="269BCC14" w14:textId="77777777" w:rsidR="00291F57" w:rsidRPr="005C01C7" w:rsidRDefault="00000000">
      <w:pPr>
        <w:pStyle w:val="Ttulo1"/>
        <w:jc w:val="both"/>
        <w:rPr>
          <w:rFonts w:ascii="Comic Sans MS" w:hAnsi="Comic Sans MS"/>
        </w:rPr>
      </w:pPr>
      <w:bookmarkStart w:id="0" w:name="_heading=h.3jg4of673q00" w:colFirst="0" w:colLast="0"/>
      <w:bookmarkEnd w:id="0"/>
      <w:r w:rsidRPr="005C01C7">
        <w:rPr>
          <w:rFonts w:ascii="Comic Sans MS" w:hAnsi="Comic Sans MS"/>
        </w:rPr>
        <w:t>Introducción</w:t>
      </w:r>
    </w:p>
    <w:p w14:paraId="65F754EA" w14:textId="77777777" w:rsidR="000B264A" w:rsidRPr="000B264A" w:rsidRDefault="000B264A" w:rsidP="000B264A">
      <w:pPr>
        <w:rPr>
          <w:rFonts w:ascii="Comic Sans MS" w:hAnsi="Comic Sans MS"/>
        </w:rPr>
      </w:pPr>
      <w:proofErr w:type="spellStart"/>
      <w:r w:rsidRPr="000B264A">
        <w:rPr>
          <w:rFonts w:ascii="Comic Sans MS" w:hAnsi="Comic Sans MS"/>
        </w:rPr>
        <w:t>Biogenesys</w:t>
      </w:r>
      <w:proofErr w:type="spellEnd"/>
      <w:r w:rsidRPr="000B264A">
        <w:rPr>
          <w:rFonts w:ascii="Comic Sans MS" w:hAnsi="Comic Sans MS"/>
        </w:rPr>
        <w:t xml:space="preserve"> es una empresa multinacional líder en biotecnología y soluciones farmacéuticas, dedicada a mejorar la salud y la calidad de vida de millones de personas a nivel global. Con una fuerte presencia en Europa y Norteamérica, </w:t>
      </w:r>
      <w:proofErr w:type="spellStart"/>
      <w:r w:rsidRPr="000B264A">
        <w:rPr>
          <w:rFonts w:ascii="Comic Sans MS" w:hAnsi="Comic Sans MS"/>
        </w:rPr>
        <w:t>Biogenesys</w:t>
      </w:r>
      <w:proofErr w:type="spellEnd"/>
      <w:r w:rsidRPr="000B264A">
        <w:rPr>
          <w:rFonts w:ascii="Comic Sans MS" w:hAnsi="Comic Sans MS"/>
        </w:rPr>
        <w:t xml:space="preserve"> se especializa en el desarrollo y la distribución de productos innovadores para la prevención, el tratamiento y el manejo de diversas enfermedades, abarcando desde vacunas y terapias avanzadas hasta dispositivos médicos y tecnología de diagnóstico. Impulsada por un compromiso constante con la investigación y el desarrollo, la empresa busca expandir su influencia y ofrecer sus soluciones en nuevos mercados emergentes de alto potencial.</w:t>
      </w:r>
    </w:p>
    <w:p w14:paraId="70E85B89" w14:textId="5CB7028E" w:rsidR="000B264A" w:rsidRDefault="000B264A" w:rsidP="000B264A">
      <w:r w:rsidRPr="000B264A">
        <w:rPr>
          <w:rFonts w:ascii="Comic Sans MS" w:hAnsi="Comic Sans MS"/>
        </w:rPr>
        <w:t xml:space="preserve">En este contexto, </w:t>
      </w:r>
      <w:proofErr w:type="spellStart"/>
      <w:r w:rsidRPr="000B264A">
        <w:rPr>
          <w:rFonts w:ascii="Comic Sans MS" w:hAnsi="Comic Sans MS"/>
        </w:rPr>
        <w:t>Biogenesys</w:t>
      </w:r>
      <w:proofErr w:type="spellEnd"/>
      <w:r w:rsidRPr="000B264A">
        <w:rPr>
          <w:rFonts w:ascii="Comic Sans MS" w:hAnsi="Comic Sans MS"/>
        </w:rPr>
        <w:t xml:space="preserve"> se propone expandir sus operaciones en Latinoamérica, con un enfoque inicial en Colombia, Argentina, Chile, México, Perú y Brasil. Este proyecto tiene como objetivo preparar a la compañía para responder eficazmente a las necesidades específicas de estos países, aprovechando el potencial del mercado y asegurando una respuesta rápida ante cualquier situación futura. Para lograrlo, es fundamental identificar las regiones clave y recolectar datos relevantes que orienten la toma de decisiones estratégicas. Estos datos permitirán a </w:t>
      </w:r>
      <w:proofErr w:type="spellStart"/>
      <w:r w:rsidRPr="000B264A">
        <w:rPr>
          <w:rFonts w:ascii="Comic Sans MS" w:hAnsi="Comic Sans MS"/>
        </w:rPr>
        <w:t>Biogenesys</w:t>
      </w:r>
      <w:proofErr w:type="spellEnd"/>
      <w:r w:rsidRPr="000B264A">
        <w:rPr>
          <w:rFonts w:ascii="Comic Sans MS" w:hAnsi="Comic Sans MS"/>
        </w:rPr>
        <w:t xml:space="preserve"> comprender mejor el entorno sanitario, los retos locales y las oportunidades de cada país, asegurando una expansión sostenible y alineada con su misión de mejorar el acceso a la salud en Latinoamérica.</w:t>
      </w:r>
    </w:p>
    <w:p w14:paraId="05DDADA8" w14:textId="77777777" w:rsidR="000B264A" w:rsidRDefault="000B264A" w:rsidP="000B264A"/>
    <w:p w14:paraId="6FDF8B44" w14:textId="77777777" w:rsidR="000B264A" w:rsidRDefault="000B264A" w:rsidP="000B264A"/>
    <w:p w14:paraId="74363E9F" w14:textId="77777777" w:rsidR="000B264A" w:rsidRDefault="000B264A" w:rsidP="000B264A"/>
    <w:p w14:paraId="78C8C6ED" w14:textId="77777777" w:rsidR="000B264A" w:rsidRDefault="000B264A" w:rsidP="000B264A"/>
    <w:p w14:paraId="4A5956E7" w14:textId="77777777" w:rsidR="00291F57" w:rsidRPr="005C01C7" w:rsidRDefault="00000000">
      <w:pPr>
        <w:pStyle w:val="Ttulo1"/>
        <w:jc w:val="both"/>
        <w:rPr>
          <w:rFonts w:ascii="Comic Sans MS" w:hAnsi="Comic Sans MS"/>
        </w:rPr>
      </w:pPr>
      <w:bookmarkStart w:id="1" w:name="_heading=h.ibr4h3ggfaa" w:colFirst="0" w:colLast="0"/>
      <w:bookmarkStart w:id="2" w:name="_heading=h.4rnk2zj6izgt" w:colFirst="0" w:colLast="0"/>
      <w:bookmarkEnd w:id="1"/>
      <w:bookmarkEnd w:id="2"/>
      <w:r w:rsidRPr="005C01C7">
        <w:rPr>
          <w:rFonts w:ascii="Comic Sans MS" w:hAnsi="Comic Sans MS"/>
        </w:rPr>
        <w:t>Desarrollo del proyecto</w:t>
      </w:r>
    </w:p>
    <w:p w14:paraId="1674AC97" w14:textId="77777777" w:rsidR="0027155E" w:rsidRPr="0027155E" w:rsidRDefault="0027155E" w:rsidP="0027155E">
      <w:pPr>
        <w:rPr>
          <w:rFonts w:ascii="Comic Sans MS" w:hAnsi="Comic Sans MS"/>
        </w:rPr>
      </w:pPr>
      <w:r w:rsidRPr="0027155E">
        <w:rPr>
          <w:rFonts w:ascii="Comic Sans MS" w:hAnsi="Comic Sans MS"/>
        </w:rPr>
        <w:t>A partir de una base de datos inicial, se realizó una limpieza y filtrado enfocado en los países de Latinoamérica seleccionados para este análisis: Argentina, Brasil, México, Chile, Perú y Colombia.</w:t>
      </w:r>
    </w:p>
    <w:p w14:paraId="150DD6DA" w14:textId="77777777" w:rsidR="0027155E" w:rsidRPr="0027155E" w:rsidRDefault="0027155E" w:rsidP="0027155E">
      <w:pPr>
        <w:rPr>
          <w:rFonts w:ascii="Comic Sans MS" w:hAnsi="Comic Sans MS"/>
        </w:rPr>
      </w:pPr>
      <w:r w:rsidRPr="0027155E">
        <w:rPr>
          <w:rFonts w:ascii="Comic Sans MS" w:hAnsi="Comic Sans MS"/>
        </w:rPr>
        <w:t>El conjunto de datos original contenía más de 12,000,000 de registros, por lo que se decidió eliminar las columnas con más de 4,000,000 de valores nulos. En las columnas restantes, se imputaron los valores nulos según su tipo: para las columnas numéricas no acumulativas, se calculó el promedio de cada país y se completaron los valores faltantes con estos promedios. En las columnas acumulativas, los valores nulos fueron reemplazados por 0.</w:t>
      </w:r>
    </w:p>
    <w:p w14:paraId="4EF8334C" w14:textId="77777777" w:rsidR="0027155E" w:rsidRPr="0027155E" w:rsidRDefault="0027155E" w:rsidP="0027155E">
      <w:pPr>
        <w:rPr>
          <w:rFonts w:ascii="Comic Sans MS" w:hAnsi="Comic Sans MS"/>
        </w:rPr>
      </w:pPr>
      <w:r w:rsidRPr="0027155E">
        <w:rPr>
          <w:rFonts w:ascii="Comic Sans MS" w:hAnsi="Comic Sans MS"/>
        </w:rPr>
        <w:t xml:space="preserve">Para facilitar ciertos tipos de visualizaciones, se utilizó la columna de fecha como índice tras convertir sus valores al tipo de dato </w:t>
      </w:r>
      <w:r w:rsidRPr="0027155E">
        <w:rPr>
          <w:rFonts w:ascii="Comic Sans MS" w:hAnsi="Comic Sans MS"/>
          <w:i/>
          <w:iCs/>
        </w:rPr>
        <w:t>date</w:t>
      </w:r>
      <w:r w:rsidRPr="0027155E">
        <w:rPr>
          <w:rFonts w:ascii="Comic Sans MS" w:hAnsi="Comic Sans MS"/>
        </w:rPr>
        <w:t>. Adicionalmente, se crearon columnas para representar la distribución de la población por edad, agrupándola en rangos de 10 y 20 años.</w:t>
      </w:r>
    </w:p>
    <w:p w14:paraId="22D4DD1A" w14:textId="77777777" w:rsidR="0027155E" w:rsidRPr="0027155E" w:rsidRDefault="0027155E" w:rsidP="0027155E">
      <w:pPr>
        <w:rPr>
          <w:rFonts w:ascii="Comic Sans MS" w:hAnsi="Comic Sans MS"/>
        </w:rPr>
      </w:pPr>
      <w:r w:rsidRPr="0027155E">
        <w:rPr>
          <w:rFonts w:ascii="Comic Sans MS" w:hAnsi="Comic Sans MS"/>
        </w:rPr>
        <w:t xml:space="preserve">A medida que avanzaba el proyecto, se generaron gráficos que ayudaron a extraer información clave. Estos </w:t>
      </w:r>
      <w:proofErr w:type="spellStart"/>
      <w:r w:rsidRPr="0027155E">
        <w:rPr>
          <w:rFonts w:ascii="Comic Sans MS" w:hAnsi="Comic Sans MS"/>
          <w:i/>
          <w:iCs/>
        </w:rPr>
        <w:t>insights</w:t>
      </w:r>
      <w:proofErr w:type="spellEnd"/>
      <w:r w:rsidRPr="0027155E">
        <w:rPr>
          <w:rFonts w:ascii="Comic Sans MS" w:hAnsi="Comic Sans MS"/>
        </w:rPr>
        <w:t xml:space="preserve"> fueron integrados en el </w:t>
      </w:r>
      <w:proofErr w:type="spellStart"/>
      <w:r w:rsidRPr="0027155E">
        <w:rPr>
          <w:rFonts w:ascii="Comic Sans MS" w:hAnsi="Comic Sans MS"/>
          <w:i/>
          <w:iCs/>
        </w:rPr>
        <w:t>dashboard</w:t>
      </w:r>
      <w:proofErr w:type="spellEnd"/>
      <w:r w:rsidRPr="0027155E">
        <w:rPr>
          <w:rFonts w:ascii="Comic Sans MS" w:hAnsi="Comic Sans MS"/>
        </w:rPr>
        <w:t xml:space="preserve"> final, proporcionando un informe claro y preciso que apoya el análisis y la toma de decisiones estratégicas para la expansión en la región.</w:t>
      </w:r>
    </w:p>
    <w:p w14:paraId="03F15975" w14:textId="77777777" w:rsidR="00291F57" w:rsidRPr="005C01C7" w:rsidRDefault="00291F57">
      <w:pPr>
        <w:rPr>
          <w:rFonts w:ascii="Comic Sans MS" w:hAnsi="Comic Sans MS"/>
        </w:rPr>
      </w:pPr>
      <w:bookmarkStart w:id="3" w:name="_heading=h.l6umq284cxw" w:colFirst="0" w:colLast="0"/>
      <w:bookmarkEnd w:id="3"/>
    </w:p>
    <w:p w14:paraId="5D018B5C" w14:textId="77777777" w:rsidR="00291F57" w:rsidRPr="005C01C7" w:rsidRDefault="00000000">
      <w:pPr>
        <w:pStyle w:val="Ttulo1"/>
        <w:jc w:val="both"/>
        <w:rPr>
          <w:rFonts w:ascii="Comic Sans MS" w:hAnsi="Comic Sans MS"/>
        </w:rPr>
      </w:pPr>
      <w:bookmarkStart w:id="4" w:name="_heading=h.efteai290er2" w:colFirst="0" w:colLast="0"/>
      <w:bookmarkEnd w:id="4"/>
      <w:r w:rsidRPr="005C01C7">
        <w:rPr>
          <w:rFonts w:ascii="Comic Sans MS" w:hAnsi="Comic Sans MS"/>
        </w:rPr>
        <w:t xml:space="preserve">EDA e </w:t>
      </w:r>
      <w:proofErr w:type="spellStart"/>
      <w:r w:rsidRPr="005C01C7">
        <w:rPr>
          <w:rFonts w:ascii="Comic Sans MS" w:hAnsi="Comic Sans MS"/>
        </w:rPr>
        <w:t>insights</w:t>
      </w:r>
      <w:proofErr w:type="spellEnd"/>
    </w:p>
    <w:p w14:paraId="72D85E49" w14:textId="6FA99F8D" w:rsidR="001A2EF4" w:rsidRPr="005C01C7" w:rsidRDefault="001A2EF4" w:rsidP="001A2EF4">
      <w:pPr>
        <w:rPr>
          <w:rFonts w:ascii="Comic Sans MS" w:hAnsi="Comic Sans MS"/>
        </w:rPr>
      </w:pPr>
      <w:r w:rsidRPr="005C01C7">
        <w:rPr>
          <w:rFonts w:ascii="Comic Sans MS" w:hAnsi="Comic Sans MS"/>
        </w:rPr>
        <w:t xml:space="preserve">En base al análisis realizado se detallan puntos claves para la posible expansión de </w:t>
      </w:r>
      <w:proofErr w:type="spellStart"/>
      <w:r w:rsidRPr="005C01C7">
        <w:rPr>
          <w:rFonts w:ascii="Comic Sans MS" w:hAnsi="Comic Sans MS"/>
        </w:rPr>
        <w:t>Biogenesys</w:t>
      </w:r>
      <w:proofErr w:type="spellEnd"/>
      <w:r w:rsidRPr="005C01C7">
        <w:rPr>
          <w:rFonts w:ascii="Comic Sans MS" w:hAnsi="Comic Sans MS"/>
        </w:rPr>
        <w:t>:</w:t>
      </w:r>
    </w:p>
    <w:p w14:paraId="562C4BC5" w14:textId="77777777" w:rsidR="001A2EF4" w:rsidRPr="001A2EF4" w:rsidRDefault="001A2EF4" w:rsidP="001A2EF4">
      <w:pPr>
        <w:rPr>
          <w:rFonts w:ascii="Comic Sans MS" w:hAnsi="Comic Sans MS"/>
          <w:b/>
          <w:bCs/>
        </w:rPr>
      </w:pPr>
      <w:r w:rsidRPr="001A2EF4">
        <w:rPr>
          <w:rFonts w:ascii="Comic Sans MS" w:hAnsi="Comic Sans MS"/>
          <w:b/>
          <w:bCs/>
        </w:rPr>
        <w:t>Datos de Vacunación y Salud</w:t>
      </w:r>
    </w:p>
    <w:p w14:paraId="7C63B1E2" w14:textId="77777777" w:rsidR="001A2EF4" w:rsidRPr="001A2EF4" w:rsidRDefault="001A2EF4" w:rsidP="001A2EF4">
      <w:pPr>
        <w:numPr>
          <w:ilvl w:val="0"/>
          <w:numId w:val="1"/>
        </w:numPr>
        <w:rPr>
          <w:rFonts w:ascii="Comic Sans MS" w:hAnsi="Comic Sans MS"/>
        </w:rPr>
      </w:pPr>
      <w:r w:rsidRPr="001A2EF4">
        <w:rPr>
          <w:rFonts w:ascii="Comic Sans MS" w:hAnsi="Comic Sans MS"/>
          <w:b/>
          <w:bCs/>
        </w:rPr>
        <w:t>Dosis de vacunas administradas</w:t>
      </w:r>
      <w:r w:rsidRPr="001A2EF4">
        <w:rPr>
          <w:rFonts w:ascii="Comic Sans MS" w:hAnsi="Comic Sans MS"/>
        </w:rPr>
        <w:t>: Brasil lidera en la administración de vacunas con más de 3 mil millones de dosis, seguido de México y Colombia. Este dato podría indicar una infraestructura robusta en salud pública que facilita campañas de vacunación extensivas, lo cual es un indicador positivo para la entrada de productos farmacéuticos.</w:t>
      </w:r>
    </w:p>
    <w:p w14:paraId="17AC2BD5" w14:textId="77777777" w:rsidR="001A2EF4" w:rsidRPr="005C01C7" w:rsidRDefault="001A2EF4" w:rsidP="001A2EF4">
      <w:pPr>
        <w:numPr>
          <w:ilvl w:val="0"/>
          <w:numId w:val="1"/>
        </w:numPr>
        <w:rPr>
          <w:rFonts w:ascii="Comic Sans MS" w:hAnsi="Comic Sans MS"/>
        </w:rPr>
      </w:pPr>
      <w:r w:rsidRPr="001A2EF4">
        <w:rPr>
          <w:rFonts w:ascii="Comic Sans MS" w:hAnsi="Comic Sans MS"/>
          <w:b/>
          <w:bCs/>
        </w:rPr>
        <w:t>Recuperación y mortalidad</w:t>
      </w:r>
      <w:r w:rsidRPr="001A2EF4">
        <w:rPr>
          <w:rFonts w:ascii="Comic Sans MS" w:hAnsi="Comic Sans MS"/>
        </w:rPr>
        <w:t>: Brasil y Colombia también muestran altas tasas de recuperación y mortalidad. Las tasas de mortalidad pueden reflejar desafíos en la respuesta sanitaria y en la infraestructura médica, mientras que una alta tasa de recuperación sugiere una capacidad efectiva de tratamiento.</w:t>
      </w:r>
    </w:p>
    <w:p w14:paraId="21998AC4" w14:textId="77777777" w:rsidR="001751B4" w:rsidRPr="005C01C7" w:rsidRDefault="001751B4" w:rsidP="001751B4">
      <w:pPr>
        <w:rPr>
          <w:rFonts w:ascii="Comic Sans MS" w:hAnsi="Comic Sans MS"/>
        </w:rPr>
      </w:pPr>
    </w:p>
    <w:p w14:paraId="6FC64C9D" w14:textId="77777777" w:rsidR="001751B4" w:rsidRPr="001A2EF4" w:rsidRDefault="001751B4" w:rsidP="001751B4">
      <w:pPr>
        <w:rPr>
          <w:rFonts w:ascii="Comic Sans MS" w:hAnsi="Comic Sans MS"/>
        </w:rPr>
      </w:pPr>
    </w:p>
    <w:p w14:paraId="431A4041" w14:textId="4D5E5425" w:rsidR="001A2EF4" w:rsidRPr="001A2EF4" w:rsidRDefault="001A2EF4" w:rsidP="001A2EF4">
      <w:pPr>
        <w:rPr>
          <w:rFonts w:ascii="Comic Sans MS" w:hAnsi="Comic Sans MS"/>
          <w:b/>
          <w:bCs/>
        </w:rPr>
      </w:pPr>
      <w:r w:rsidRPr="001A2EF4">
        <w:rPr>
          <w:rFonts w:ascii="Comic Sans MS" w:hAnsi="Comic Sans MS"/>
          <w:b/>
          <w:bCs/>
        </w:rPr>
        <w:t>Densidad Poblacional</w:t>
      </w:r>
    </w:p>
    <w:p w14:paraId="611FC817" w14:textId="77777777" w:rsidR="001A2EF4" w:rsidRPr="005C01C7" w:rsidRDefault="001A2EF4" w:rsidP="001A2EF4">
      <w:pPr>
        <w:numPr>
          <w:ilvl w:val="0"/>
          <w:numId w:val="2"/>
        </w:numPr>
        <w:rPr>
          <w:rFonts w:ascii="Comic Sans MS" w:hAnsi="Comic Sans MS"/>
        </w:rPr>
      </w:pPr>
      <w:r w:rsidRPr="001A2EF4">
        <w:rPr>
          <w:rFonts w:ascii="Comic Sans MS" w:hAnsi="Comic Sans MS"/>
        </w:rPr>
        <w:t>México y Colombia presentan la mayor densidad poblacional entre los países analizados, con México teniendo aproximadamente 24 millones y Colombia alrededor de 16 millones en densidad poblacional. Estas cifras son cruciales ya que una mayor densidad puede representar una mayor demanda de productos de salud debido a la concentración de población en áreas urbanas.</w:t>
      </w:r>
    </w:p>
    <w:p w14:paraId="3FCB3190" w14:textId="77777777" w:rsidR="001751B4" w:rsidRPr="001A2EF4" w:rsidRDefault="001751B4" w:rsidP="001751B4"/>
    <w:p w14:paraId="1B4C0954" w14:textId="67050376" w:rsidR="001A2EF4" w:rsidRPr="001A2EF4" w:rsidRDefault="001A2EF4" w:rsidP="001A2EF4">
      <w:pPr>
        <w:rPr>
          <w:rFonts w:ascii="Comic Sans MS" w:hAnsi="Comic Sans MS"/>
          <w:b/>
          <w:bCs/>
        </w:rPr>
      </w:pPr>
      <w:r w:rsidRPr="001A2EF4">
        <w:rPr>
          <w:rFonts w:ascii="Comic Sans MS" w:hAnsi="Comic Sans MS"/>
          <w:b/>
          <w:bCs/>
        </w:rPr>
        <w:t>Nuevos Casos y Mortalidad</w:t>
      </w:r>
    </w:p>
    <w:p w14:paraId="4F0E8F5E" w14:textId="77777777" w:rsidR="001A2EF4" w:rsidRPr="001A2EF4" w:rsidRDefault="001A2EF4" w:rsidP="001A2EF4">
      <w:pPr>
        <w:numPr>
          <w:ilvl w:val="0"/>
          <w:numId w:val="3"/>
        </w:numPr>
        <w:rPr>
          <w:rFonts w:ascii="Comic Sans MS" w:hAnsi="Comic Sans MS"/>
        </w:rPr>
      </w:pPr>
      <w:r w:rsidRPr="001A2EF4">
        <w:rPr>
          <w:rFonts w:ascii="Comic Sans MS" w:hAnsi="Comic Sans MS"/>
        </w:rPr>
        <w:t>Brasil muestra el mayor número de nuevos casos confirmados (145 millones), seguido por Colombia y México, lo cual puede reflejar una necesidad en estos países de productos farmacéuticos y de servicios de salud que permitan mejorar la respuesta ante emergencias de salud pública.</w:t>
      </w:r>
    </w:p>
    <w:p w14:paraId="7C9ED74C" w14:textId="77777777" w:rsidR="001A2EF4" w:rsidRPr="005C01C7" w:rsidRDefault="001A2EF4" w:rsidP="001A2EF4">
      <w:pPr>
        <w:numPr>
          <w:ilvl w:val="0"/>
          <w:numId w:val="3"/>
        </w:numPr>
        <w:rPr>
          <w:rFonts w:ascii="Comic Sans MS" w:hAnsi="Comic Sans MS"/>
        </w:rPr>
      </w:pPr>
      <w:r w:rsidRPr="001A2EF4">
        <w:rPr>
          <w:rFonts w:ascii="Comic Sans MS" w:hAnsi="Comic Sans MS"/>
        </w:rPr>
        <w:t xml:space="preserve">La mortalidad también es alta en estos tres países, lo cual puede ser una señal para </w:t>
      </w:r>
      <w:proofErr w:type="spellStart"/>
      <w:r w:rsidRPr="001A2EF4">
        <w:rPr>
          <w:rFonts w:ascii="Comic Sans MS" w:hAnsi="Comic Sans MS"/>
        </w:rPr>
        <w:t>Biogenesys</w:t>
      </w:r>
      <w:proofErr w:type="spellEnd"/>
      <w:r w:rsidRPr="001A2EF4">
        <w:rPr>
          <w:rFonts w:ascii="Comic Sans MS" w:hAnsi="Comic Sans MS"/>
        </w:rPr>
        <w:t xml:space="preserve"> de enfocar su estrategia en productos que mejoren la prevención y el tratamiento de enfermedades.</w:t>
      </w:r>
    </w:p>
    <w:p w14:paraId="3BD5B662" w14:textId="77777777" w:rsidR="001751B4" w:rsidRPr="001A2EF4" w:rsidRDefault="001751B4" w:rsidP="001751B4">
      <w:pPr>
        <w:rPr>
          <w:rFonts w:ascii="Comic Sans MS" w:hAnsi="Comic Sans MS"/>
        </w:rPr>
      </w:pPr>
    </w:p>
    <w:p w14:paraId="74B669C1" w14:textId="45BAF86D" w:rsidR="001A2EF4" w:rsidRPr="001A2EF4" w:rsidRDefault="001A2EF4" w:rsidP="001A2EF4">
      <w:pPr>
        <w:rPr>
          <w:rFonts w:ascii="Comic Sans MS" w:hAnsi="Comic Sans MS"/>
          <w:b/>
          <w:bCs/>
        </w:rPr>
      </w:pPr>
      <w:r w:rsidRPr="001A2EF4">
        <w:rPr>
          <w:rFonts w:ascii="Comic Sans MS" w:hAnsi="Comic Sans MS"/>
          <w:b/>
          <w:bCs/>
        </w:rPr>
        <w:t>Estrategias Recomendadas</w:t>
      </w:r>
    </w:p>
    <w:p w14:paraId="150407BA" w14:textId="77777777" w:rsidR="001A2EF4" w:rsidRPr="001A2EF4" w:rsidRDefault="001A2EF4" w:rsidP="001A2EF4">
      <w:pPr>
        <w:numPr>
          <w:ilvl w:val="0"/>
          <w:numId w:val="4"/>
        </w:numPr>
        <w:rPr>
          <w:rFonts w:ascii="Comic Sans MS" w:hAnsi="Comic Sans MS"/>
        </w:rPr>
      </w:pPr>
      <w:r w:rsidRPr="001A2EF4">
        <w:rPr>
          <w:rFonts w:ascii="Comic Sans MS" w:hAnsi="Comic Sans MS"/>
          <w:b/>
          <w:bCs/>
        </w:rPr>
        <w:t>Brasil y México</w:t>
      </w:r>
      <w:r w:rsidRPr="001A2EF4">
        <w:rPr>
          <w:rFonts w:ascii="Comic Sans MS" w:hAnsi="Comic Sans MS"/>
        </w:rPr>
        <w:t xml:space="preserve">: Dada su alta población y el volumen de dosis de vacunas administradas, estos países tienen un sistema de salud pública relativamente robusto. Esto indica una oportunidad para </w:t>
      </w:r>
      <w:proofErr w:type="spellStart"/>
      <w:r w:rsidRPr="001A2EF4">
        <w:rPr>
          <w:rFonts w:ascii="Comic Sans MS" w:hAnsi="Comic Sans MS"/>
        </w:rPr>
        <w:t>Biogenesys</w:t>
      </w:r>
      <w:proofErr w:type="spellEnd"/>
      <w:r w:rsidRPr="001A2EF4">
        <w:rPr>
          <w:rFonts w:ascii="Comic Sans MS" w:hAnsi="Comic Sans MS"/>
        </w:rPr>
        <w:t xml:space="preserve"> de expandirse con productos de vacunación, tratamientos preventivos y servicios de salud innovadores que complementen la infraestructura existente.</w:t>
      </w:r>
    </w:p>
    <w:p w14:paraId="56A932BA" w14:textId="77777777" w:rsidR="001A2EF4" w:rsidRPr="001A2EF4" w:rsidRDefault="001A2EF4" w:rsidP="001A2EF4">
      <w:pPr>
        <w:numPr>
          <w:ilvl w:val="0"/>
          <w:numId w:val="4"/>
        </w:numPr>
        <w:rPr>
          <w:rFonts w:ascii="Comic Sans MS" w:hAnsi="Comic Sans MS"/>
        </w:rPr>
      </w:pPr>
      <w:r w:rsidRPr="001A2EF4">
        <w:rPr>
          <w:rFonts w:ascii="Comic Sans MS" w:hAnsi="Comic Sans MS"/>
          <w:b/>
          <w:bCs/>
        </w:rPr>
        <w:t>Colombia y Argentina</w:t>
      </w:r>
      <w:r w:rsidRPr="001A2EF4">
        <w:rPr>
          <w:rFonts w:ascii="Comic Sans MS" w:hAnsi="Comic Sans MS"/>
        </w:rPr>
        <w:t xml:space="preserve">: Con una densidad poblacional significativa y tasas de mortalidad notables, estos países podrían beneficiarse de productos enfocados en mejorar la capacidad de respuesta en salud y reducir la mortalidad. </w:t>
      </w:r>
      <w:proofErr w:type="spellStart"/>
      <w:r w:rsidRPr="001A2EF4">
        <w:rPr>
          <w:rFonts w:ascii="Comic Sans MS" w:hAnsi="Comic Sans MS"/>
        </w:rPr>
        <w:t>Biogenesys</w:t>
      </w:r>
      <w:proofErr w:type="spellEnd"/>
      <w:r w:rsidRPr="001A2EF4">
        <w:rPr>
          <w:rFonts w:ascii="Comic Sans MS" w:hAnsi="Comic Sans MS"/>
        </w:rPr>
        <w:t xml:space="preserve"> podría ofrecer productos enfocados en prevención de enfermedades crónicas y manejo de la salud pública.</w:t>
      </w:r>
    </w:p>
    <w:p w14:paraId="340BE057" w14:textId="77777777" w:rsidR="001A2EF4" w:rsidRPr="005C01C7" w:rsidRDefault="001A2EF4" w:rsidP="001A2EF4">
      <w:pPr>
        <w:numPr>
          <w:ilvl w:val="0"/>
          <w:numId w:val="4"/>
        </w:numPr>
        <w:rPr>
          <w:rFonts w:ascii="Comic Sans MS" w:hAnsi="Comic Sans MS"/>
        </w:rPr>
      </w:pPr>
      <w:r w:rsidRPr="001A2EF4">
        <w:rPr>
          <w:rFonts w:ascii="Comic Sans MS" w:hAnsi="Comic Sans MS"/>
          <w:b/>
          <w:bCs/>
        </w:rPr>
        <w:t>Perú y Chile</w:t>
      </w:r>
      <w:r w:rsidRPr="001A2EF4">
        <w:rPr>
          <w:rFonts w:ascii="Comic Sans MS" w:hAnsi="Comic Sans MS"/>
        </w:rPr>
        <w:t xml:space="preserve">: Con menor densidad poblacional y números más bajos en dosis administradas y casos, estos países podrían requerir apoyo para mejorar su infraestructura de salud. Esto representa una oportunidad para </w:t>
      </w:r>
      <w:proofErr w:type="spellStart"/>
      <w:r w:rsidRPr="001A2EF4">
        <w:rPr>
          <w:rFonts w:ascii="Comic Sans MS" w:hAnsi="Comic Sans MS"/>
        </w:rPr>
        <w:t>Biogenesys</w:t>
      </w:r>
      <w:proofErr w:type="spellEnd"/>
      <w:r w:rsidRPr="001A2EF4">
        <w:rPr>
          <w:rFonts w:ascii="Comic Sans MS" w:hAnsi="Comic Sans MS"/>
        </w:rPr>
        <w:t xml:space="preserve"> de implementar programas de colaboración y transferencia de tecnología para fortalecer sus sistemas de salud.</w:t>
      </w:r>
    </w:p>
    <w:p w14:paraId="1653AF17" w14:textId="77777777" w:rsidR="001751B4" w:rsidRPr="001A2EF4" w:rsidRDefault="001751B4" w:rsidP="001751B4">
      <w:pPr>
        <w:rPr>
          <w:rFonts w:ascii="Comic Sans MS" w:hAnsi="Comic Sans MS"/>
        </w:rPr>
      </w:pPr>
    </w:p>
    <w:p w14:paraId="46AA2A1E" w14:textId="77777777" w:rsidR="001A2EF4" w:rsidRPr="001A2EF4" w:rsidRDefault="001A2EF4" w:rsidP="001A2EF4">
      <w:pPr>
        <w:rPr>
          <w:rFonts w:ascii="Comic Sans MS" w:hAnsi="Comic Sans MS"/>
          <w:b/>
          <w:bCs/>
        </w:rPr>
      </w:pPr>
      <w:r w:rsidRPr="001A2EF4">
        <w:rPr>
          <w:rFonts w:ascii="Comic Sans MS" w:hAnsi="Comic Sans MS"/>
          <w:b/>
          <w:bCs/>
        </w:rPr>
        <w:t>Conclusión</w:t>
      </w:r>
    </w:p>
    <w:p w14:paraId="091EA9CD" w14:textId="77777777" w:rsidR="001A2EF4" w:rsidRPr="005C01C7" w:rsidRDefault="001A2EF4" w:rsidP="001A2EF4">
      <w:pPr>
        <w:rPr>
          <w:rFonts w:ascii="Comic Sans MS" w:hAnsi="Comic Sans MS"/>
        </w:rPr>
      </w:pPr>
      <w:r w:rsidRPr="001A2EF4">
        <w:rPr>
          <w:rFonts w:ascii="Comic Sans MS" w:hAnsi="Comic Sans MS"/>
        </w:rPr>
        <w:t xml:space="preserve">El análisis de estos indicadores sugiere que la estrategia de </w:t>
      </w:r>
      <w:proofErr w:type="spellStart"/>
      <w:r w:rsidRPr="001A2EF4">
        <w:rPr>
          <w:rFonts w:ascii="Comic Sans MS" w:hAnsi="Comic Sans MS"/>
        </w:rPr>
        <w:t>Biogenesys</w:t>
      </w:r>
      <w:proofErr w:type="spellEnd"/>
      <w:r w:rsidRPr="001A2EF4">
        <w:rPr>
          <w:rFonts w:ascii="Comic Sans MS" w:hAnsi="Comic Sans MS"/>
        </w:rPr>
        <w:t xml:space="preserve"> debería enfocarse en adaptar su oferta según las fortalezas y necesidades específicas de cada país, priorizando el apoyo a infraestructura y productos de salud preventiva en Brasil y México, y enfocándose en infraestructura de respuesta rápida en Colombia y Argentina.</w:t>
      </w:r>
    </w:p>
    <w:p w14:paraId="05B02DE5" w14:textId="5304527F" w:rsidR="0012560D" w:rsidRPr="005C01C7" w:rsidRDefault="0012560D" w:rsidP="001A2EF4">
      <w:pPr>
        <w:rPr>
          <w:rFonts w:ascii="Comic Sans MS" w:hAnsi="Comic Sans MS"/>
        </w:rPr>
      </w:pPr>
      <w:r w:rsidRPr="005C01C7">
        <w:rPr>
          <w:rFonts w:ascii="Comic Sans MS" w:hAnsi="Comic Sans MS"/>
        </w:rPr>
        <w:t>Aunque es de conocimiento público que el sistema de salud o la infraestructura sanitaria de estos países brinda asistencia a la mayor parte de la población, el conjunto de datos obtenido no incluye información detallada sobre el sistema de salud.</w:t>
      </w:r>
    </w:p>
    <w:p w14:paraId="439AC0AA" w14:textId="2A0F005A" w:rsidR="00F65AE2" w:rsidRPr="005C01C7" w:rsidRDefault="00F65AE2" w:rsidP="001A2EF4">
      <w:pPr>
        <w:rPr>
          <w:rFonts w:ascii="Comic Sans MS" w:hAnsi="Comic Sans MS"/>
        </w:rPr>
      </w:pPr>
      <w:r w:rsidRPr="005C01C7">
        <w:rPr>
          <w:rFonts w:ascii="Comic Sans MS" w:hAnsi="Comic Sans MS"/>
        </w:rPr>
        <w:t xml:space="preserve">Para el análisis se toma el año 2021 ya que </w:t>
      </w:r>
      <w:proofErr w:type="gramStart"/>
      <w:r w:rsidRPr="005C01C7">
        <w:rPr>
          <w:rFonts w:ascii="Comic Sans MS" w:hAnsi="Comic Sans MS"/>
        </w:rPr>
        <w:t>los datos del 2022 no contaba</w:t>
      </w:r>
      <w:proofErr w:type="gramEnd"/>
      <w:r w:rsidRPr="005C01C7">
        <w:rPr>
          <w:rFonts w:ascii="Comic Sans MS" w:hAnsi="Comic Sans MS"/>
        </w:rPr>
        <w:t xml:space="preserve"> con información precisa.</w:t>
      </w:r>
    </w:p>
    <w:p w14:paraId="47BCAB26" w14:textId="77777777" w:rsidR="00291F57" w:rsidRDefault="00291F57">
      <w:pPr>
        <w:pStyle w:val="Ttulo1"/>
        <w:jc w:val="both"/>
        <w:rPr>
          <w:sz w:val="20"/>
          <w:szCs w:val="20"/>
        </w:rPr>
      </w:pPr>
      <w:bookmarkStart w:id="5" w:name="_heading=h.rz6ltghia3iv" w:colFirst="0" w:colLast="0"/>
      <w:bookmarkStart w:id="6" w:name="_heading=h.ny3igcd5usfn" w:colFirst="0" w:colLast="0"/>
      <w:bookmarkEnd w:id="5"/>
      <w:bookmarkEnd w:id="6"/>
    </w:p>
    <w:p w14:paraId="2BFEA94C" w14:textId="77777777" w:rsidR="00291F57" w:rsidRPr="005C01C7" w:rsidRDefault="00000000">
      <w:pPr>
        <w:pStyle w:val="Ttulo1"/>
        <w:jc w:val="both"/>
        <w:rPr>
          <w:rFonts w:ascii="Comic Sans MS" w:hAnsi="Comic Sans MS"/>
        </w:rPr>
      </w:pPr>
      <w:bookmarkStart w:id="7" w:name="_heading=h.79sshaszgzd6" w:colFirst="0" w:colLast="0"/>
      <w:bookmarkEnd w:id="7"/>
      <w:r w:rsidRPr="005C01C7">
        <w:rPr>
          <w:rFonts w:ascii="Comic Sans MS" w:hAnsi="Comic Sans MS"/>
        </w:rPr>
        <w:t xml:space="preserve">Análisis del </w:t>
      </w:r>
      <w:proofErr w:type="spellStart"/>
      <w:r w:rsidRPr="005C01C7">
        <w:rPr>
          <w:rFonts w:ascii="Comic Sans MS" w:hAnsi="Comic Sans MS"/>
        </w:rPr>
        <w:t>dashboard</w:t>
      </w:r>
      <w:proofErr w:type="spellEnd"/>
    </w:p>
    <w:p w14:paraId="076C529C" w14:textId="77777777" w:rsidR="00F65AE2" w:rsidRPr="00F65AE2" w:rsidRDefault="00F65AE2" w:rsidP="00F65AE2">
      <w:pPr>
        <w:rPr>
          <w:rFonts w:ascii="Comic Sans MS" w:hAnsi="Comic Sans MS"/>
        </w:rPr>
      </w:pPr>
      <w:r w:rsidRPr="00F65AE2">
        <w:rPr>
          <w:rFonts w:ascii="Comic Sans MS" w:hAnsi="Comic Sans MS"/>
        </w:rPr>
        <w:t xml:space="preserve">El </w:t>
      </w:r>
      <w:proofErr w:type="spellStart"/>
      <w:r w:rsidRPr="00F65AE2">
        <w:rPr>
          <w:rFonts w:ascii="Comic Sans MS" w:hAnsi="Comic Sans MS"/>
          <w:i/>
          <w:iCs/>
        </w:rPr>
        <w:t>dashboard</w:t>
      </w:r>
      <w:proofErr w:type="spellEnd"/>
      <w:r w:rsidRPr="00F65AE2">
        <w:rPr>
          <w:rFonts w:ascii="Comic Sans MS" w:hAnsi="Comic Sans MS"/>
        </w:rPr>
        <w:t xml:space="preserve"> incluye una página de menú con un botón de navegación que dirige al panel principal, donde se presentan el análisis y los </w:t>
      </w:r>
      <w:proofErr w:type="spellStart"/>
      <w:r w:rsidRPr="00F65AE2">
        <w:rPr>
          <w:rFonts w:ascii="Comic Sans MS" w:hAnsi="Comic Sans MS"/>
          <w:i/>
          <w:iCs/>
        </w:rPr>
        <w:t>insights</w:t>
      </w:r>
      <w:proofErr w:type="spellEnd"/>
      <w:r w:rsidRPr="00F65AE2">
        <w:rPr>
          <w:rFonts w:ascii="Comic Sans MS" w:hAnsi="Comic Sans MS"/>
        </w:rPr>
        <w:t xml:space="preserve"> obtenidos. Las visualizaciones muestran indicadores clave de 2021 para Argentina, Chile, Brasil, México, Perú y Colombia. Entre los elementos destacados se encuentran tacómetros que indican la cantidad de fallecidos y dosis administradas, un mapa, y un gráfico de barras que muestra las dosis aplicadas. También se incluyen filtros interactivos por año, mes y país.</w:t>
      </w:r>
    </w:p>
    <w:p w14:paraId="61A9CE39" w14:textId="77777777" w:rsidR="00F65AE2" w:rsidRPr="00F65AE2" w:rsidRDefault="00F65AE2" w:rsidP="00F65AE2">
      <w:pPr>
        <w:rPr>
          <w:rFonts w:ascii="Comic Sans MS" w:hAnsi="Comic Sans MS"/>
        </w:rPr>
      </w:pPr>
      <w:r w:rsidRPr="00F65AE2">
        <w:rPr>
          <w:rFonts w:ascii="Comic Sans MS" w:hAnsi="Comic Sans MS"/>
        </w:rPr>
        <w:t xml:space="preserve">Este </w:t>
      </w:r>
      <w:proofErr w:type="spellStart"/>
      <w:r w:rsidRPr="00F65AE2">
        <w:rPr>
          <w:rFonts w:ascii="Comic Sans MS" w:hAnsi="Comic Sans MS"/>
          <w:i/>
          <w:iCs/>
        </w:rPr>
        <w:t>dashboard</w:t>
      </w:r>
      <w:proofErr w:type="spellEnd"/>
      <w:r w:rsidRPr="00F65AE2">
        <w:rPr>
          <w:rFonts w:ascii="Comic Sans MS" w:hAnsi="Comic Sans MS"/>
        </w:rPr>
        <w:t xml:space="preserve"> ha sido desarrollado utilizando gráficos de Power BI y scripts de Python.</w:t>
      </w:r>
    </w:p>
    <w:p w14:paraId="6E79BE4C" w14:textId="77777777" w:rsidR="0012560D" w:rsidRPr="005C01C7" w:rsidRDefault="0012560D" w:rsidP="0012560D">
      <w:pPr>
        <w:rPr>
          <w:rFonts w:ascii="Comic Sans MS" w:hAnsi="Comic Sans MS"/>
        </w:rPr>
      </w:pPr>
    </w:p>
    <w:p w14:paraId="4E18D52C" w14:textId="77777777" w:rsidR="00291F57" w:rsidRPr="005C01C7" w:rsidRDefault="00000000">
      <w:pPr>
        <w:pStyle w:val="Ttulo1"/>
        <w:jc w:val="both"/>
        <w:rPr>
          <w:rFonts w:ascii="Comic Sans MS" w:hAnsi="Comic Sans MS"/>
        </w:rPr>
      </w:pPr>
      <w:bookmarkStart w:id="8" w:name="_heading=h.sd8z4oy91ngx" w:colFirst="0" w:colLast="0"/>
      <w:bookmarkStart w:id="9" w:name="_heading=h.hhc7ucnay9ra" w:colFirst="0" w:colLast="0"/>
      <w:bookmarkEnd w:id="8"/>
      <w:bookmarkEnd w:id="9"/>
      <w:r w:rsidRPr="005C01C7">
        <w:rPr>
          <w:rFonts w:ascii="Comic Sans MS" w:hAnsi="Comic Sans MS"/>
        </w:rPr>
        <w:t>Conclusiones y Recomendaciones</w:t>
      </w:r>
    </w:p>
    <w:p w14:paraId="178DA33B" w14:textId="368080BA" w:rsidR="00BB71CE" w:rsidRPr="005C01C7" w:rsidRDefault="00BB71CE" w:rsidP="00BB71CE">
      <w:pPr>
        <w:rPr>
          <w:rFonts w:ascii="Comic Sans MS" w:hAnsi="Comic Sans MS"/>
        </w:rPr>
      </w:pPr>
      <w:r w:rsidRPr="005C01C7">
        <w:rPr>
          <w:rFonts w:ascii="Comic Sans MS" w:hAnsi="Comic Sans MS"/>
        </w:rPr>
        <w:t>E</w:t>
      </w:r>
      <w:r w:rsidRPr="005C01C7">
        <w:rPr>
          <w:rFonts w:ascii="Comic Sans MS" w:hAnsi="Comic Sans MS"/>
        </w:rPr>
        <w:t xml:space="preserve">n este análisis se </w:t>
      </w:r>
      <w:r w:rsidRPr="005C01C7">
        <w:rPr>
          <w:rFonts w:ascii="Comic Sans MS" w:hAnsi="Comic Sans MS"/>
        </w:rPr>
        <w:t xml:space="preserve">muestran áreas de oportunidad para </w:t>
      </w:r>
      <w:proofErr w:type="spellStart"/>
      <w:r w:rsidRPr="005C01C7">
        <w:rPr>
          <w:rFonts w:ascii="Comic Sans MS" w:hAnsi="Comic Sans MS"/>
        </w:rPr>
        <w:t>Biogenesys</w:t>
      </w:r>
      <w:proofErr w:type="spellEnd"/>
      <w:r w:rsidRPr="005C01C7">
        <w:rPr>
          <w:rFonts w:ascii="Comic Sans MS" w:hAnsi="Comic Sans MS"/>
        </w:rPr>
        <w:t xml:space="preserve"> en cuanto a la expansión y adaptación de su oferta de productos según las necesidades específicas de cada país en Latinoamérica. Con un enfoque en productos de salud pública para países con alta densidad y volumen de dosis administradas, y apoyo a la infraestructura en países con menores capacidades, </w:t>
      </w:r>
      <w:proofErr w:type="spellStart"/>
      <w:r w:rsidRPr="005C01C7">
        <w:rPr>
          <w:rFonts w:ascii="Comic Sans MS" w:hAnsi="Comic Sans MS"/>
        </w:rPr>
        <w:t>Biogenesys</w:t>
      </w:r>
      <w:proofErr w:type="spellEnd"/>
      <w:r w:rsidRPr="005C01C7">
        <w:rPr>
          <w:rFonts w:ascii="Comic Sans MS" w:hAnsi="Comic Sans MS"/>
        </w:rPr>
        <w:t xml:space="preserve"> puede optimizar su impacto en la región.</w:t>
      </w:r>
    </w:p>
    <w:p w14:paraId="74C7D5B6" w14:textId="77777777" w:rsidR="00BB71CE" w:rsidRDefault="00BB71CE" w:rsidP="00BB71CE">
      <w:pPr>
        <w:rPr>
          <w:rFonts w:ascii="Comic Sans MS" w:hAnsi="Comic Sans MS"/>
        </w:rPr>
      </w:pPr>
    </w:p>
    <w:p w14:paraId="2AE2D930" w14:textId="77777777" w:rsidR="005C01C7" w:rsidRPr="005C01C7" w:rsidRDefault="005C01C7" w:rsidP="00BB71CE">
      <w:pPr>
        <w:rPr>
          <w:rFonts w:ascii="Comic Sans MS" w:hAnsi="Comic Sans MS"/>
        </w:rPr>
      </w:pPr>
    </w:p>
    <w:p w14:paraId="5E9B3F94" w14:textId="77777777" w:rsidR="00291F57" w:rsidRPr="005C01C7" w:rsidRDefault="00000000">
      <w:pPr>
        <w:pStyle w:val="Ttulo1"/>
        <w:jc w:val="both"/>
        <w:rPr>
          <w:rFonts w:ascii="Comic Sans MS" w:hAnsi="Comic Sans MS"/>
        </w:rPr>
      </w:pPr>
      <w:bookmarkStart w:id="10" w:name="_heading=h.6lt7nyl1n63j" w:colFirst="0" w:colLast="0"/>
      <w:bookmarkStart w:id="11" w:name="_heading=h.1q6yzjkwu9a" w:colFirst="0" w:colLast="0"/>
      <w:bookmarkEnd w:id="10"/>
      <w:bookmarkEnd w:id="11"/>
      <w:r w:rsidRPr="005C01C7">
        <w:rPr>
          <w:rFonts w:ascii="Comic Sans MS" w:hAnsi="Comic Sans MS"/>
        </w:rPr>
        <w:lastRenderedPageBreak/>
        <w:t>Reflexión personal</w:t>
      </w:r>
    </w:p>
    <w:p w14:paraId="449F3BB8" w14:textId="759C69FA" w:rsidR="007D3D4B" w:rsidRPr="005C01C7" w:rsidRDefault="00C5179F" w:rsidP="00BB71CE">
      <w:pPr>
        <w:rPr>
          <w:rFonts w:ascii="Comic Sans MS" w:hAnsi="Comic Sans MS"/>
        </w:rPr>
      </w:pPr>
      <w:r w:rsidRPr="005C01C7">
        <w:rPr>
          <w:rFonts w:ascii="Comic Sans MS" w:hAnsi="Comic Sans MS"/>
        </w:rPr>
        <w:t>En cuanto a lo aprendido en este proyecto, encontré que la limpieza de datos fue más práctica con Python que con Power Query. Siento que he crecido como analista de datos, aunque me faltó tiempo y práctica para afianzar algunos conceptos. Considero que el módulo debería extenderse, manteniendo los mismos contenidos, para poder asimilar mejor el aprendizaje brindado por el curso. En comparación</w:t>
      </w:r>
      <w:r w:rsidR="007D3D4B" w:rsidRPr="005C01C7">
        <w:rPr>
          <w:rFonts w:ascii="Comic Sans MS" w:hAnsi="Comic Sans MS"/>
        </w:rPr>
        <w:t xml:space="preserve"> con </w:t>
      </w:r>
      <w:r w:rsidRPr="005C01C7">
        <w:rPr>
          <w:rFonts w:ascii="Comic Sans MS" w:hAnsi="Comic Sans MS"/>
        </w:rPr>
        <w:t>las consignas del proyecto integrado anterior</w:t>
      </w:r>
      <w:r w:rsidR="007D3D4B" w:rsidRPr="005C01C7">
        <w:rPr>
          <w:rFonts w:ascii="Comic Sans MS" w:hAnsi="Comic Sans MS"/>
        </w:rPr>
        <w:t xml:space="preserve">, las de este </w:t>
      </w:r>
      <w:r w:rsidR="005C01C7" w:rsidRPr="005C01C7">
        <w:rPr>
          <w:rFonts w:ascii="Comic Sans MS" w:hAnsi="Comic Sans MS"/>
        </w:rPr>
        <w:t>módulo</w:t>
      </w:r>
      <w:r w:rsidR="007D3D4B" w:rsidRPr="005C01C7">
        <w:rPr>
          <w:rFonts w:ascii="Comic Sans MS" w:hAnsi="Comic Sans MS"/>
        </w:rPr>
        <w:t xml:space="preserve"> no me parecieron tan claras, al igual que con el </w:t>
      </w:r>
      <w:proofErr w:type="spellStart"/>
      <w:r w:rsidR="007D3D4B" w:rsidRPr="005C01C7">
        <w:rPr>
          <w:rFonts w:ascii="Comic Sans MS" w:hAnsi="Comic Sans MS"/>
        </w:rPr>
        <w:t>dataset</w:t>
      </w:r>
      <w:proofErr w:type="spellEnd"/>
      <w:r w:rsidR="007D3D4B" w:rsidRPr="005C01C7">
        <w:rPr>
          <w:rFonts w:ascii="Comic Sans MS" w:hAnsi="Comic Sans MS"/>
        </w:rPr>
        <w:t xml:space="preserve"> brindado.</w:t>
      </w:r>
    </w:p>
    <w:p w14:paraId="240B8289" w14:textId="14B8A79E" w:rsidR="00BB71CE" w:rsidRPr="005C01C7" w:rsidRDefault="007D3D4B" w:rsidP="00BB71CE">
      <w:pPr>
        <w:rPr>
          <w:rFonts w:ascii="Comic Sans MS" w:hAnsi="Comic Sans MS"/>
        </w:rPr>
      </w:pPr>
      <w:r w:rsidRPr="005C01C7">
        <w:rPr>
          <w:rFonts w:ascii="Comic Sans MS" w:hAnsi="Comic Sans MS"/>
        </w:rPr>
        <w:t>Si tuviera que volver a empezar este proyecto no lo haría de la misma manera</w:t>
      </w:r>
      <w:r w:rsidR="005C01C7" w:rsidRPr="005C01C7">
        <w:rPr>
          <w:rFonts w:ascii="Comic Sans MS" w:hAnsi="Comic Sans MS"/>
        </w:rPr>
        <w:t>,</w:t>
      </w:r>
      <w:r w:rsidRPr="005C01C7">
        <w:rPr>
          <w:rFonts w:ascii="Comic Sans MS" w:hAnsi="Comic Sans MS"/>
        </w:rPr>
        <w:t xml:space="preserve"> buscaría otros recursos para mejorar el análisis, siempre y cuando cuente con mas tiempo. </w:t>
      </w:r>
    </w:p>
    <w:sectPr w:rsidR="00BB71CE" w:rsidRPr="005C01C7">
      <w:headerReference w:type="default" r:id="rId9"/>
      <w:pgSz w:w="11906" w:h="16838"/>
      <w:pgMar w:top="1417" w:right="1701" w:bottom="1417" w:left="1701"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B155C70" w14:textId="77777777" w:rsidR="00203DD2" w:rsidRDefault="00203DD2">
      <w:pPr>
        <w:spacing w:after="0" w:line="240" w:lineRule="auto"/>
      </w:pPr>
      <w:r>
        <w:separator/>
      </w:r>
    </w:p>
  </w:endnote>
  <w:endnote w:type="continuationSeparator" w:id="0">
    <w:p w14:paraId="243E09C6" w14:textId="77777777" w:rsidR="00203DD2" w:rsidRDefault="00203D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embedRegular r:id="rId1" w:fontKey="{C96FD1F6-596B-4DF4-AD2B-3E770E9116BE}"/>
    <w:embedBold r:id="rId2" w:fontKey="{F802E0D9-A335-402D-B11E-ACF84BC7A4A8}"/>
    <w:embedItalic r:id="rId3" w:fontKey="{CAB8FB06-B1F2-4C19-BCE0-723D6B1B3919}"/>
  </w:font>
  <w:font w:name="Anybody">
    <w:charset w:val="00"/>
    <w:family w:val="auto"/>
    <w:pitch w:val="default"/>
    <w:embedRegular r:id="rId4" w:fontKey="{3C76EAEC-8C8C-4F99-BC8E-EB051342FE19}"/>
    <w:embedBold r:id="rId5" w:fontKey="{850F7D21-FA1B-40B4-9BFC-2EFA4964CC8C}"/>
  </w:font>
  <w:font w:name="Georgia">
    <w:panose1 w:val="02040502050405020303"/>
    <w:charset w:val="00"/>
    <w:family w:val="roman"/>
    <w:pitch w:val="variable"/>
    <w:sig w:usb0="00000287" w:usb1="00000000" w:usb2="00000000" w:usb3="00000000" w:csb0="0000009F" w:csb1="00000000"/>
    <w:embedRegular r:id="rId6" w:fontKey="{F9DAEE2E-63B3-4246-B2D0-A8205DA27411}"/>
    <w:embedItalic r:id="rId7" w:fontKey="{E3948F51-0E79-4533-B8FA-217DE2B163DE}"/>
  </w:font>
  <w:font w:name="Comic Sans MS">
    <w:panose1 w:val="030F0702030302020204"/>
    <w:charset w:val="00"/>
    <w:family w:val="script"/>
    <w:pitch w:val="variable"/>
    <w:sig w:usb0="00000287" w:usb1="00000013" w:usb2="00000000" w:usb3="00000000" w:csb0="0000009F" w:csb1="00000000"/>
    <w:embedRegular r:id="rId8" w:fontKey="{9B80DA33-C43F-4F01-A8A0-7F30D64E3404}"/>
    <w:embedBold r:id="rId9" w:fontKey="{6C95BC45-5EBC-4328-8D02-FB9F184E606F}"/>
    <w:embedItalic r:id="rId10" w:fontKey="{E9EF9033-0A3D-413E-93E9-19E337D4F3A8}"/>
  </w:font>
  <w:font w:name="Calibri Light">
    <w:panose1 w:val="020F0302020204030204"/>
    <w:charset w:val="00"/>
    <w:family w:val="swiss"/>
    <w:pitch w:val="variable"/>
    <w:sig w:usb0="E4002EFF" w:usb1="C200247B" w:usb2="00000009" w:usb3="00000000" w:csb0="000001FF" w:csb1="00000000"/>
    <w:embedRegular r:id="rId11" w:fontKey="{7A2C431E-756D-4305-B2D5-F459C2F7EDE1}"/>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3011132" w14:textId="77777777" w:rsidR="00203DD2" w:rsidRDefault="00203DD2">
      <w:pPr>
        <w:spacing w:after="0" w:line="240" w:lineRule="auto"/>
      </w:pPr>
      <w:r>
        <w:separator/>
      </w:r>
    </w:p>
  </w:footnote>
  <w:footnote w:type="continuationSeparator" w:id="0">
    <w:p w14:paraId="1E70A02C" w14:textId="77777777" w:rsidR="00203DD2" w:rsidRDefault="00203DD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E3E81CB" w14:textId="77777777" w:rsidR="00291F57" w:rsidRDefault="00000000">
    <w:pPr>
      <w:rPr>
        <w:rFonts w:ascii="Anybody" w:eastAsia="Anybody" w:hAnsi="Anybody" w:cs="Anybody"/>
        <w:b/>
      </w:rPr>
    </w:pPr>
    <w:r>
      <w:rPr>
        <w:rFonts w:ascii="Anybody" w:eastAsia="Anybody" w:hAnsi="Anybody" w:cs="Anybody"/>
        <w:b/>
      </w:rPr>
      <w:t xml:space="preserve">Carrera: Data </w:t>
    </w:r>
    <w:proofErr w:type="spellStart"/>
    <w:r>
      <w:rPr>
        <w:rFonts w:ascii="Anybody" w:eastAsia="Anybody" w:hAnsi="Anybody" w:cs="Anybody"/>
        <w:b/>
      </w:rPr>
      <w:t>Analytics</w:t>
    </w:r>
    <w:proofErr w:type="spellEnd"/>
    <w:r>
      <w:rPr>
        <w:noProof/>
      </w:rPr>
      <w:drawing>
        <wp:anchor distT="0" distB="0" distL="0" distR="0" simplePos="0" relativeHeight="251658240" behindDoc="1" locked="0" layoutInCell="1" hidden="0" allowOverlap="1" wp14:anchorId="05AEC700" wp14:editId="1D15017A">
          <wp:simplePos x="0" y="0"/>
          <wp:positionH relativeFrom="column">
            <wp:posOffset>4705350</wp:posOffset>
          </wp:positionH>
          <wp:positionV relativeFrom="paragraph">
            <wp:posOffset>-266697</wp:posOffset>
          </wp:positionV>
          <wp:extent cx="1723073" cy="666471"/>
          <wp:effectExtent l="0" t="0" r="0" b="0"/>
          <wp:wrapNone/>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1723073" cy="666471"/>
                  </a:xfrm>
                  <a:prstGeom prst="rect">
                    <a:avLst/>
                  </a:prstGeom>
                  <a:ln/>
                </pic:spPr>
              </pic:pic>
            </a:graphicData>
          </a:graphic>
        </wp:anchor>
      </w:drawing>
    </w:r>
  </w:p>
  <w:p w14:paraId="6F064C94" w14:textId="77777777" w:rsidR="00291F57" w:rsidRDefault="00000000">
    <w:pPr>
      <w:rPr>
        <w:rFonts w:ascii="Anybody" w:eastAsia="Anybody" w:hAnsi="Anybody" w:cs="Anybody"/>
        <w:b/>
      </w:rPr>
    </w:pPr>
    <w:r>
      <w:rPr>
        <w:rFonts w:ascii="Anybody" w:eastAsia="Anybody" w:hAnsi="Anybody" w:cs="Anybody"/>
        <w:b/>
      </w:rPr>
      <w:t>Módulo 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8A82CDA"/>
    <w:multiLevelType w:val="multilevel"/>
    <w:tmpl w:val="C0948D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E4902A5"/>
    <w:multiLevelType w:val="multilevel"/>
    <w:tmpl w:val="6368F0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F7F63A8"/>
    <w:multiLevelType w:val="multilevel"/>
    <w:tmpl w:val="D348FC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15126D2"/>
    <w:multiLevelType w:val="multilevel"/>
    <w:tmpl w:val="E6DADB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11751258">
    <w:abstractNumId w:val="1"/>
  </w:num>
  <w:num w:numId="2" w16cid:durableId="596910085">
    <w:abstractNumId w:val="3"/>
  </w:num>
  <w:num w:numId="3" w16cid:durableId="652106425">
    <w:abstractNumId w:val="0"/>
  </w:num>
  <w:num w:numId="4" w16cid:durableId="67707851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91F57"/>
    <w:rsid w:val="000B264A"/>
    <w:rsid w:val="0012560D"/>
    <w:rsid w:val="001751B4"/>
    <w:rsid w:val="001A2EF4"/>
    <w:rsid w:val="00203DD2"/>
    <w:rsid w:val="002447B6"/>
    <w:rsid w:val="0027155E"/>
    <w:rsid w:val="00291F57"/>
    <w:rsid w:val="005C01C7"/>
    <w:rsid w:val="007D3D4B"/>
    <w:rsid w:val="00B46691"/>
    <w:rsid w:val="00BB71CE"/>
    <w:rsid w:val="00C5179F"/>
    <w:rsid w:val="00D14C33"/>
    <w:rsid w:val="00F26202"/>
    <w:rsid w:val="00F65AE2"/>
    <w:rsid w:val="00FC5C19"/>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36F84B"/>
  <w15:docId w15:val="{FAEFD923-1F4C-4BFB-879D-F8603ACA8C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s-AR" w:eastAsia="es-A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outlineLvl w:val="0"/>
    </w:pPr>
    <w:rPr>
      <w:rFonts w:ascii="Anybody" w:eastAsia="Anybody" w:hAnsi="Anybody" w:cs="Anybody"/>
      <w:b/>
      <w:sz w:val="26"/>
      <w:szCs w:val="26"/>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table" w:customStyle="1" w:styleId="TableNormal0">
    <w:name w:val="Table 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paragraph" w:styleId="Prrafodelista">
    <w:name w:val="List Paragraph"/>
    <w:basedOn w:val="Normal"/>
    <w:uiPriority w:val="34"/>
    <w:qFormat/>
    <w:rsid w:val="00336990"/>
    <w:pPr>
      <w:ind w:left="720"/>
      <w:contextualSpacing/>
    </w:p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632627">
      <w:bodyDiv w:val="1"/>
      <w:marLeft w:val="0"/>
      <w:marRight w:val="0"/>
      <w:marTop w:val="0"/>
      <w:marBottom w:val="0"/>
      <w:divBdr>
        <w:top w:val="none" w:sz="0" w:space="0" w:color="auto"/>
        <w:left w:val="none" w:sz="0" w:space="0" w:color="auto"/>
        <w:bottom w:val="none" w:sz="0" w:space="0" w:color="auto"/>
        <w:right w:val="none" w:sz="0" w:space="0" w:color="auto"/>
      </w:divBdr>
    </w:div>
    <w:div w:id="146827114">
      <w:bodyDiv w:val="1"/>
      <w:marLeft w:val="0"/>
      <w:marRight w:val="0"/>
      <w:marTop w:val="0"/>
      <w:marBottom w:val="0"/>
      <w:divBdr>
        <w:top w:val="none" w:sz="0" w:space="0" w:color="auto"/>
        <w:left w:val="none" w:sz="0" w:space="0" w:color="auto"/>
        <w:bottom w:val="none" w:sz="0" w:space="0" w:color="auto"/>
        <w:right w:val="none" w:sz="0" w:space="0" w:color="auto"/>
      </w:divBdr>
    </w:div>
    <w:div w:id="286397649">
      <w:bodyDiv w:val="1"/>
      <w:marLeft w:val="0"/>
      <w:marRight w:val="0"/>
      <w:marTop w:val="0"/>
      <w:marBottom w:val="0"/>
      <w:divBdr>
        <w:top w:val="none" w:sz="0" w:space="0" w:color="auto"/>
        <w:left w:val="none" w:sz="0" w:space="0" w:color="auto"/>
        <w:bottom w:val="none" w:sz="0" w:space="0" w:color="auto"/>
        <w:right w:val="none" w:sz="0" w:space="0" w:color="auto"/>
      </w:divBdr>
    </w:div>
    <w:div w:id="443040520">
      <w:bodyDiv w:val="1"/>
      <w:marLeft w:val="0"/>
      <w:marRight w:val="0"/>
      <w:marTop w:val="0"/>
      <w:marBottom w:val="0"/>
      <w:divBdr>
        <w:top w:val="none" w:sz="0" w:space="0" w:color="auto"/>
        <w:left w:val="none" w:sz="0" w:space="0" w:color="auto"/>
        <w:bottom w:val="none" w:sz="0" w:space="0" w:color="auto"/>
        <w:right w:val="none" w:sz="0" w:space="0" w:color="auto"/>
      </w:divBdr>
    </w:div>
    <w:div w:id="454254280">
      <w:bodyDiv w:val="1"/>
      <w:marLeft w:val="0"/>
      <w:marRight w:val="0"/>
      <w:marTop w:val="0"/>
      <w:marBottom w:val="0"/>
      <w:divBdr>
        <w:top w:val="none" w:sz="0" w:space="0" w:color="auto"/>
        <w:left w:val="none" w:sz="0" w:space="0" w:color="auto"/>
        <w:bottom w:val="none" w:sz="0" w:space="0" w:color="auto"/>
        <w:right w:val="none" w:sz="0" w:space="0" w:color="auto"/>
      </w:divBdr>
    </w:div>
    <w:div w:id="1141387837">
      <w:bodyDiv w:val="1"/>
      <w:marLeft w:val="0"/>
      <w:marRight w:val="0"/>
      <w:marTop w:val="0"/>
      <w:marBottom w:val="0"/>
      <w:divBdr>
        <w:top w:val="none" w:sz="0" w:space="0" w:color="auto"/>
        <w:left w:val="none" w:sz="0" w:space="0" w:color="auto"/>
        <w:bottom w:val="none" w:sz="0" w:space="0" w:color="auto"/>
        <w:right w:val="none" w:sz="0" w:space="0" w:color="auto"/>
      </w:divBdr>
    </w:div>
    <w:div w:id="163251394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tWqWPmmPQ2394D1YbDNssJVwnhg==">CgMxLjAyDmguM2pnNG9mNjczcTAwMg1oLmlicjRoM2dnZmFhMg5oLjRybmsyemo2aXpndDINaC5sNnVtcTI4NGN4dzIOaC5lZnRlYWkyOTBlcjIyDmgucno2bHRnaGlhM2l2Mg5oLm55M2lnY2Q1dXNmbjIOaC43OXNzaGFzemd6ZDYyDmguc2Q4ejRveTkxbmd4Mg5oLmhoYzd1Y25heTlyYTIOaC42bHQ3bnlsMW42M2oyDWguMXE2eXpqa3d1OWEyDmgubWQ3MGI1M2VhZ3E4Mg5oLm14dDhzdWplNjBsYzIOaC43OWt2czJpejBuemM4AHIhMXZVZGktZEhoQXREUjQtdkRVUUNERUlLMG5ZX0ttbzJC</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103</TotalTime>
  <Pages>5</Pages>
  <Words>1243</Words>
  <Characters>6842</Characters>
  <Application>Microsoft Office Word</Application>
  <DocSecurity>0</DocSecurity>
  <Lines>57</Lines>
  <Paragraphs>16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8069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Elisea Esther Horñiacek</dc:creator>
  <cp:lastModifiedBy>Martin Rafael Milone</cp:lastModifiedBy>
  <cp:revision>7</cp:revision>
  <dcterms:created xsi:type="dcterms:W3CDTF">2024-01-30T00:09:00Z</dcterms:created>
  <dcterms:modified xsi:type="dcterms:W3CDTF">2024-11-04T15:20:00Z</dcterms:modified>
</cp:coreProperties>
</file>