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2"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3"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4"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5"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6"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7"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8"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9"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20"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21"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2"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3"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4"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5"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462FDCD6" w14:textId="7228C70C" w:rsidR="00C120AD" w:rsidRDefault="00CB6CC2">
      <w:r w:rsidRPr="00D745B4">
        <w:rPr>
          <w:b/>
        </w:rPr>
        <w:t>Introduction</w:t>
      </w:r>
      <w:r>
        <w:t xml:space="preserve"> </w:t>
      </w:r>
    </w:p>
    <w:p w14:paraId="1D69BED1" w14:textId="65F51E62" w:rsidR="00C120AD" w:rsidRDefault="00C24907" w:rsidP="00C120AD">
      <w:pPr>
        <w:pStyle w:val="ListParagraph"/>
        <w:numPr>
          <w:ilvl w:val="0"/>
          <w:numId w:val="7"/>
        </w:numPr>
      </w:pPr>
      <w:r>
        <w:t>plant-insect-microbe interaction</w:t>
      </w:r>
    </w:p>
    <w:p w14:paraId="39CC4702" w14:textId="1558BD6F" w:rsidR="00C120AD" w:rsidRDefault="00C120AD" w:rsidP="00C120AD">
      <w:pPr>
        <w:pStyle w:val="ListParagraph"/>
        <w:numPr>
          <w:ilvl w:val="0"/>
          <w:numId w:val="7"/>
        </w:numPr>
      </w:pPr>
      <w:proofErr w:type="spellStart"/>
      <w:r>
        <w:t>H</w:t>
      </w:r>
      <w:r w:rsidR="00CB6CC2">
        <w:t>olobiont</w:t>
      </w:r>
      <w:proofErr w:type="spellEnd"/>
      <w:r w:rsidR="00CB6CC2">
        <w:t xml:space="preserve"> </w:t>
      </w:r>
    </w:p>
    <w:p w14:paraId="750FEEDE" w14:textId="08681462" w:rsidR="00CB6CC2" w:rsidRDefault="00CB6CC2" w:rsidP="00C120AD">
      <w:pPr>
        <w:pStyle w:val="ListParagraph"/>
        <w:numPr>
          <w:ilvl w:val="0"/>
          <w:numId w:val="7"/>
        </w:numPr>
      </w:pPr>
      <w:r>
        <w:t>data deluge</w:t>
      </w:r>
      <w:bookmarkStart w:id="0" w:name="_GoBack"/>
      <w:bookmarkEnd w:id="0"/>
    </w:p>
    <w:p w14:paraId="4F34BC84" w14:textId="6B477E8D" w:rsidR="00CB6CC2" w:rsidRPr="00D745B4" w:rsidRDefault="00CB6CC2">
      <w:pPr>
        <w:rPr>
          <w:b/>
        </w:rPr>
      </w:pPr>
      <w:r w:rsidRPr="00D745B4">
        <w:rPr>
          <w:b/>
        </w:rPr>
        <w:t>Results</w:t>
      </w:r>
    </w:p>
    <w:p w14:paraId="14EFF572" w14:textId="0E16F6D0" w:rsidR="00CB6CC2" w:rsidRDefault="00CB6CC2" w:rsidP="00C24907">
      <w:pPr>
        <w:pStyle w:val="ListParagraph"/>
        <w:numPr>
          <w:ilvl w:val="0"/>
          <w:numId w:val="2"/>
        </w:numPr>
      </w:pPr>
      <w:r>
        <w:t xml:space="preserve">Plant growth &amp; </w:t>
      </w:r>
      <w:proofErr w:type="spellStart"/>
      <w:r>
        <w:t>qPCR</w:t>
      </w:r>
      <w:proofErr w:type="spellEnd"/>
      <w:r w:rsidR="00C24907">
        <w:t xml:space="preserve"> </w:t>
      </w:r>
      <w:r>
        <w:t>(show plants were stressed)</w:t>
      </w:r>
    </w:p>
    <w:p w14:paraId="1F8B2731" w14:textId="01C27E09" w:rsidR="00AE4D4F" w:rsidRDefault="00AE4D4F" w:rsidP="00AE4D4F">
      <w:pPr>
        <w:pStyle w:val="ListParagraph"/>
        <w:numPr>
          <w:ilvl w:val="1"/>
          <w:numId w:val="2"/>
        </w:numPr>
      </w:pPr>
      <w:r>
        <w:t xml:space="preserve">1 figure with 4 </w:t>
      </w:r>
      <w:proofErr w:type="spellStart"/>
      <w:r>
        <w:t>pannels</w:t>
      </w:r>
      <w:proofErr w:type="spellEnd"/>
      <w:r>
        <w:t>, raw plant biomass values [</w:t>
      </w:r>
      <w:r w:rsidR="00C120AD">
        <w:t>SUP?</w:t>
      </w:r>
      <w:r>
        <w:t>]</w:t>
      </w:r>
    </w:p>
    <w:p w14:paraId="38BCD80C" w14:textId="14B6D5A7" w:rsidR="00AE4D4F" w:rsidRDefault="00AE4D4F" w:rsidP="00AE4D4F">
      <w:pPr>
        <w:pStyle w:val="ListParagraph"/>
        <w:numPr>
          <w:ilvl w:val="1"/>
          <w:numId w:val="2"/>
        </w:numPr>
      </w:pPr>
      <w:r>
        <w:t xml:space="preserve">1 figure, Cohen’s D effect size across </w:t>
      </w:r>
      <w:proofErr w:type="spellStart"/>
      <w:r>
        <w:t>pecies</w:t>
      </w:r>
      <w:proofErr w:type="spellEnd"/>
      <w:r>
        <w:t xml:space="preserve"> and variables</w:t>
      </w:r>
    </w:p>
    <w:p w14:paraId="77626482" w14:textId="2EDA7714" w:rsidR="00AE4D4F" w:rsidRDefault="00AE4D4F" w:rsidP="00AE4D4F">
      <w:pPr>
        <w:pStyle w:val="ListParagraph"/>
        <w:numPr>
          <w:ilvl w:val="1"/>
          <w:numId w:val="2"/>
        </w:numPr>
      </w:pPr>
      <w:proofErr w:type="spellStart"/>
      <w:r>
        <w:t>qPCR</w:t>
      </w:r>
      <w:proofErr w:type="spellEnd"/>
      <w:r>
        <w:t xml:space="preserve"> plot</w:t>
      </w:r>
    </w:p>
    <w:p w14:paraId="2F7309B0" w14:textId="790C5DE3" w:rsidR="00CB6CC2" w:rsidRDefault="00CB6CC2" w:rsidP="00C24907">
      <w:pPr>
        <w:pStyle w:val="ListParagraph"/>
        <w:numPr>
          <w:ilvl w:val="0"/>
          <w:numId w:val="2"/>
        </w:numPr>
      </w:pPr>
      <w:r>
        <w:t xml:space="preserve">Beta &amp; alpha diversity </w:t>
      </w:r>
      <w:r w:rsidR="00C24907">
        <w:t>[</w:t>
      </w:r>
      <w:r w:rsidR="001346CB">
        <w:t>2 figures,</w:t>
      </w:r>
      <w:r w:rsidR="00C24907">
        <w:t xml:space="preserve"> 3 SUP tables]</w:t>
      </w:r>
      <w:r>
        <w:t>(</w:t>
      </w:r>
      <w:r w:rsidR="00C24907">
        <w:t>Basic analysis present in any paper</w:t>
      </w:r>
      <w:r>
        <w:t>)</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7B623F1F" w:rsidR="00CB6CC2" w:rsidRDefault="00CB6CC2" w:rsidP="00C24907">
      <w:pPr>
        <w:pStyle w:val="ListParagraph"/>
        <w:numPr>
          <w:ilvl w:val="1"/>
          <w:numId w:val="2"/>
        </w:numPr>
      </w:pPr>
      <w:r>
        <w:t xml:space="preserve">Neutral </w:t>
      </w:r>
      <w:r w:rsidR="001A424B">
        <w:t>model fits (</w:t>
      </w:r>
      <w:proofErr w:type="spellStart"/>
      <w:r w:rsidR="001A424B">
        <w:t>subseting</w:t>
      </w:r>
      <w:proofErr w:type="spellEnd"/>
      <w:r w:rsidR="001A424B">
        <w:t xml:space="preserve"> community and re-</w:t>
      </w:r>
      <w:proofErr w:type="spellStart"/>
      <w:r w:rsidR="001A424B">
        <w:t>ploting</w:t>
      </w:r>
      <w:proofErr w:type="spellEnd"/>
      <w:r w:rsidR="001A424B">
        <w:t xml:space="preserve"> beta diversity)</w:t>
      </w:r>
    </w:p>
    <w:p w14:paraId="0547BE41" w14:textId="73F1065E" w:rsidR="001346CB" w:rsidRDefault="001346CB" w:rsidP="001346CB">
      <w:pPr>
        <w:pStyle w:val="ListParagraph"/>
        <w:numPr>
          <w:ilvl w:val="2"/>
          <w:numId w:val="2"/>
        </w:numPr>
      </w:pPr>
      <w:r>
        <w:t>PERMANOVA bootstrapping to Check artifacts</w:t>
      </w:r>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4507CFFF" w14:textId="528248FA" w:rsidR="001A424B" w:rsidRDefault="001A424B" w:rsidP="00C24907">
      <w:pPr>
        <w:pStyle w:val="ListParagraph"/>
        <w:numPr>
          <w:ilvl w:val="0"/>
          <w:numId w:val="2"/>
        </w:numPr>
      </w:pPr>
      <w:r>
        <w:t xml:space="preserve">Differential </w:t>
      </w:r>
      <w:proofErr w:type="spellStart"/>
      <w:r>
        <w:t>abudance</w:t>
      </w:r>
      <w:proofErr w:type="spellEnd"/>
      <w:r>
        <w:t xml:space="preserve"> </w:t>
      </w:r>
      <w:r w:rsidR="001346CB">
        <w:t>[1 fig (SUP?)]</w:t>
      </w:r>
      <w:r>
        <w:t>(keep very short)</w:t>
      </w:r>
    </w:p>
    <w:p w14:paraId="7B44320E" w14:textId="34C9DAC8" w:rsidR="001A424B" w:rsidRDefault="001A424B" w:rsidP="00C24907">
      <w:pPr>
        <w:pStyle w:val="ListParagraph"/>
        <w:numPr>
          <w:ilvl w:val="0"/>
          <w:numId w:val="2"/>
        </w:numPr>
      </w:pPr>
      <w:r>
        <w:t xml:space="preserve">Random forest </w:t>
      </w:r>
      <w:r w:rsidR="001346CB">
        <w:t>[1 Fig (SUP?), 1 SUP table ](]</w:t>
      </w:r>
      <w:r>
        <w:t xml:space="preserve">(show </w:t>
      </w:r>
      <w:r w:rsidR="001346CB">
        <w:t>ASVs that matter on prediction</w:t>
      </w:r>
      <w:r>
        <w:t>)</w:t>
      </w:r>
    </w:p>
    <w:p w14:paraId="58E532CA" w14:textId="41BEAFC7" w:rsidR="001A424B" w:rsidRDefault="001A424B" w:rsidP="00C24907">
      <w:pPr>
        <w:pStyle w:val="ListParagraph"/>
        <w:numPr>
          <w:ilvl w:val="0"/>
          <w:numId w:val="2"/>
        </w:numPr>
      </w:pPr>
      <w:r>
        <w:t>Network analysis (describe networks, ASVs with importance tags (number and families),</w:t>
      </w:r>
      <w:r w:rsidR="00742EDF">
        <w:t xml:space="preserve"> </w:t>
      </w:r>
      <w:r>
        <w:t>Leave module discussion on supplementary)</w:t>
      </w:r>
    </w:p>
    <w:p w14:paraId="27837087" w14:textId="4B6A2C79" w:rsidR="001A424B" w:rsidRDefault="001A424B" w:rsidP="00C24907">
      <w:pPr>
        <w:pStyle w:val="ListParagraph"/>
        <w:numPr>
          <w:ilvl w:val="0"/>
          <w:numId w:val="2"/>
        </w:numPr>
      </w:pPr>
      <w:r>
        <w:t xml:space="preserve">Fisher Summary (describe figure, highlight </w:t>
      </w:r>
      <w:proofErr w:type="spellStart"/>
      <w:r>
        <w:t>comamonadaceae</w:t>
      </w:r>
      <w:proofErr w:type="spellEnd"/>
      <w:r>
        <w:t>)</w:t>
      </w:r>
    </w:p>
    <w:p w14:paraId="581015CA" w14:textId="43390D3A" w:rsidR="00D745B4" w:rsidRDefault="00D745B4">
      <w:proofErr w:type="spellStart"/>
      <w:r>
        <w:t>Comamonadaceae</w:t>
      </w:r>
      <w:proofErr w:type="spellEnd"/>
      <w:r>
        <w:t xml:space="preserve"> details (show diversity and </w:t>
      </w:r>
      <w:proofErr w:type="spellStart"/>
      <w:r>
        <w:t>abudance</w:t>
      </w:r>
      <w:proofErr w:type="spellEnd"/>
      <w:r>
        <w:t xml:space="preserve"> over treatments)</w:t>
      </w:r>
    </w:p>
    <w:p w14:paraId="01DCF752" w14:textId="729DDD83" w:rsidR="001A424B" w:rsidRDefault="00D745B4">
      <w:pPr>
        <w:rPr>
          <w:b/>
        </w:rPr>
      </w:pPr>
      <w:r w:rsidRPr="00D745B4">
        <w:rPr>
          <w:b/>
        </w:rPr>
        <w:t>Discussion</w:t>
      </w:r>
    </w:p>
    <w:p w14:paraId="20A72105" w14:textId="77777777" w:rsidR="00D745B4" w:rsidRDefault="00D745B4" w:rsidP="00D745B4">
      <w:pPr>
        <w:rPr>
          <w:b/>
        </w:rPr>
      </w:pPr>
      <w:r>
        <w:rPr>
          <w:b/>
        </w:rPr>
        <w:t xml:space="preserve">MAIN GOAL: VALIDADE THE EXPERIMENTAL APROACH! - </w:t>
      </w:r>
      <w:proofErr w:type="spellStart"/>
      <w:r>
        <w:rPr>
          <w:b/>
        </w:rPr>
        <w:t>MeJA</w:t>
      </w:r>
      <w:proofErr w:type="spellEnd"/>
      <w:r>
        <w:rPr>
          <w:b/>
        </w:rPr>
        <w:t xml:space="preserve"> impacts the microbial community similarly to Oral Secretion, thus </w:t>
      </w:r>
      <w:proofErr w:type="spellStart"/>
      <w:r>
        <w:rPr>
          <w:b/>
        </w:rPr>
        <w:t>MeJA</w:t>
      </w:r>
      <w:proofErr w:type="spellEnd"/>
      <w:r>
        <w:rPr>
          <w:b/>
        </w:rPr>
        <w:t xml:space="preserve"> can be used in place of real insects</w:t>
      </w:r>
    </w:p>
    <w:p w14:paraId="46AA7670" w14:textId="776E10D3" w:rsidR="00D745B4" w:rsidRDefault="00D745B4" w:rsidP="00D745B4">
      <w:pPr>
        <w:rPr>
          <w:b/>
        </w:rPr>
      </w:pPr>
      <w:r>
        <w:rPr>
          <w:b/>
        </w:rPr>
        <w:t xml:space="preserve">Advantages Methodological approach:  </w:t>
      </w:r>
    </w:p>
    <w:p w14:paraId="148E7451" w14:textId="10344331" w:rsidR="00D745B4" w:rsidRDefault="00D745B4" w:rsidP="00D745B4">
      <w:pPr>
        <w:ind w:firstLine="720"/>
        <w:rPr>
          <w:b/>
        </w:rPr>
      </w:pPr>
      <w:r>
        <w:rPr>
          <w:b/>
        </w:rPr>
        <w:t xml:space="preserve">1) </w:t>
      </w:r>
      <w:proofErr w:type="gramStart"/>
      <w:r>
        <w:rPr>
          <w:b/>
        </w:rPr>
        <w:t>the</w:t>
      </w:r>
      <w:proofErr w:type="gramEnd"/>
      <w:r>
        <w:rPr>
          <w:b/>
        </w:rPr>
        <w:t xml:space="preserve"> neutral </w:t>
      </w:r>
      <w:proofErr w:type="spellStart"/>
      <w:r>
        <w:rPr>
          <w:b/>
        </w:rPr>
        <w:t>spliting</w:t>
      </w:r>
      <w:proofErr w:type="spellEnd"/>
      <w:r>
        <w:rPr>
          <w:b/>
        </w:rPr>
        <w:t>-and-joining can help see subtle treatment effects ;</w:t>
      </w:r>
    </w:p>
    <w:p w14:paraId="40026C3E" w14:textId="7A0D89D3" w:rsidR="00D745B4" w:rsidRDefault="00D745B4" w:rsidP="00D745B4">
      <w:pPr>
        <w:ind w:firstLine="720"/>
        <w:rPr>
          <w:b/>
        </w:rPr>
      </w:pPr>
      <w:r>
        <w:rPr>
          <w:b/>
        </w:rPr>
        <w:t xml:space="preserve">2) </w:t>
      </w:r>
      <w:proofErr w:type="gramStart"/>
      <w:r>
        <w:rPr>
          <w:b/>
        </w:rPr>
        <w:t>the</w:t>
      </w:r>
      <w:proofErr w:type="gramEnd"/>
      <w:r>
        <w:rPr>
          <w:b/>
        </w:rPr>
        <w:t xml:space="preserve"> neutral tree can help locate a diversity hotspot (mention </w:t>
      </w:r>
      <w:proofErr w:type="spellStart"/>
      <w:r>
        <w:rPr>
          <w:b/>
        </w:rPr>
        <w:t>rhizobiales</w:t>
      </w:r>
      <w:proofErr w:type="spellEnd"/>
      <w:r>
        <w:rPr>
          <w:b/>
        </w:rPr>
        <w:t xml:space="preserve"> but limit discussion)</w:t>
      </w:r>
    </w:p>
    <w:p w14:paraId="381101CC" w14:textId="02D0E290" w:rsidR="00D745B4" w:rsidRDefault="00D745B4" w:rsidP="00D745B4">
      <w:pPr>
        <w:ind w:firstLine="720"/>
        <w:rPr>
          <w:b/>
        </w:rPr>
      </w:pPr>
      <w:r>
        <w:rPr>
          <w:b/>
        </w:rPr>
        <w:t xml:space="preserve">2) </w:t>
      </w:r>
      <w:proofErr w:type="gramStart"/>
      <w:r>
        <w:rPr>
          <w:b/>
        </w:rPr>
        <w:t>the</w:t>
      </w:r>
      <w:proofErr w:type="gramEnd"/>
      <w:r>
        <w:rPr>
          <w:b/>
        </w:rPr>
        <w:t xml:space="preserve"> fisher test in a heat tree helps summarizing findings (approach to data deluge)</w:t>
      </w:r>
    </w:p>
    <w:p w14:paraId="7F7EB5B0" w14:textId="54886916" w:rsidR="00D745B4" w:rsidRDefault="00D745B4" w:rsidP="00D745B4">
      <w:pPr>
        <w:rPr>
          <w:b/>
        </w:rPr>
      </w:pPr>
      <w:r>
        <w:rPr>
          <w:b/>
        </w:rPr>
        <w:t xml:space="preserve">SECONDARY GOAL: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3B0D2530" w14:textId="77777777" w:rsidR="00D745B4" w:rsidRDefault="00D745B4" w:rsidP="00D745B4">
      <w:pPr>
        <w:rPr>
          <w:b/>
        </w:rPr>
      </w:pPr>
      <w:r>
        <w:rPr>
          <w:b/>
        </w:rPr>
        <w:lastRenderedPageBreak/>
        <w:t xml:space="preserve">CONCLUSION: </w:t>
      </w:r>
      <w:proofErr w:type="spellStart"/>
      <w:r>
        <w:rPr>
          <w:b/>
        </w:rPr>
        <w:t>Comamonadaceae</w:t>
      </w:r>
      <w:proofErr w:type="spellEnd"/>
      <w:r>
        <w:rPr>
          <w:b/>
        </w:rPr>
        <w:t xml:space="preserve"> are important in insect-plant interactions</w:t>
      </w:r>
    </w:p>
    <w:p w14:paraId="6DEFB95D" w14:textId="77777777" w:rsidR="00D745B4" w:rsidRPr="00D745B4" w:rsidRDefault="00D745B4">
      <w:pPr>
        <w:rPr>
          <w:b/>
        </w:rPr>
      </w:pPr>
    </w:p>
    <w:p w14:paraId="3E43D131" w14:textId="77777777" w:rsidR="00CB6CC2" w:rsidRDefault="00CB6CC2"/>
    <w:p w14:paraId="45BF727D" w14:textId="77777777" w:rsidR="00AE4D4F" w:rsidRDefault="00AE4D4F">
      <w:r>
        <w:t>Glossary and abbreviations</w:t>
      </w:r>
    </w:p>
    <w:p w14:paraId="182FADF3" w14:textId="2F53C1A2" w:rsidR="002A578F" w:rsidRDefault="002A578F">
      <w:r>
        <w:t>Treatments:</w:t>
      </w:r>
    </w:p>
    <w:p w14:paraId="2A4535A7" w14:textId="65BDA1E5" w:rsidR="002A578F" w:rsidRDefault="002A578F" w:rsidP="002A578F">
      <w:pPr>
        <w:pStyle w:val="ListParagraph"/>
        <w:numPr>
          <w:ilvl w:val="0"/>
          <w:numId w:val="3"/>
        </w:numPr>
      </w:pPr>
      <w:r>
        <w:t>Control</w:t>
      </w:r>
    </w:p>
    <w:p w14:paraId="4BC9AF02" w14:textId="77777777" w:rsidR="002A578F" w:rsidRDefault="00AE4D4F" w:rsidP="002A578F">
      <w:pPr>
        <w:pStyle w:val="ListParagraph"/>
        <w:numPr>
          <w:ilvl w:val="0"/>
          <w:numId w:val="3"/>
        </w:numPr>
      </w:pPr>
      <w:proofErr w:type="spellStart"/>
      <w:r>
        <w:t>MeJA</w:t>
      </w:r>
      <w:proofErr w:type="spellEnd"/>
      <w:r>
        <w:t xml:space="preserve"> 0.1mM</w:t>
      </w:r>
    </w:p>
    <w:p w14:paraId="7AC7AAB9" w14:textId="77777777" w:rsidR="002A578F" w:rsidRDefault="002A578F" w:rsidP="002A578F">
      <w:pPr>
        <w:pStyle w:val="ListParagraph"/>
        <w:numPr>
          <w:ilvl w:val="0"/>
          <w:numId w:val="3"/>
        </w:numPr>
      </w:pPr>
      <w:proofErr w:type="spellStart"/>
      <w:r>
        <w:t>MeJA</w:t>
      </w:r>
      <w:proofErr w:type="spellEnd"/>
      <w:r>
        <w:t xml:space="preserve"> </w:t>
      </w:r>
      <w:r>
        <w:t>1</w:t>
      </w:r>
      <w:r>
        <w:t>.0</w:t>
      </w:r>
      <w:r>
        <w:t>mM</w:t>
      </w:r>
      <w:r>
        <w:t xml:space="preserve"> </w:t>
      </w:r>
    </w:p>
    <w:p w14:paraId="7968EB0F" w14:textId="63C859F3" w:rsidR="002A578F" w:rsidRDefault="002A578F" w:rsidP="002A578F">
      <w:pPr>
        <w:pStyle w:val="ListParagraph"/>
        <w:numPr>
          <w:ilvl w:val="0"/>
          <w:numId w:val="3"/>
        </w:numPr>
      </w:pPr>
      <w:r w:rsidRPr="002A578F">
        <w:rPr>
          <w:i/>
        </w:rPr>
        <w:t xml:space="preserve">P. </w:t>
      </w:r>
      <w:proofErr w:type="spellStart"/>
      <w:r w:rsidRPr="002A578F">
        <w:rPr>
          <w:i/>
        </w:rPr>
        <w:t>brassicae</w:t>
      </w:r>
      <w:proofErr w:type="spellEnd"/>
      <w:r>
        <w:t xml:space="preserve"> OS</w:t>
      </w:r>
    </w:p>
    <w:p w14:paraId="6C2B9E46" w14:textId="768AD673" w:rsidR="002A578F" w:rsidRDefault="002A578F" w:rsidP="002A578F">
      <w:r>
        <w:t xml:space="preserve">Species: </w:t>
      </w:r>
    </w:p>
    <w:p w14:paraId="36FE1748" w14:textId="704E43E7" w:rsidR="002A578F" w:rsidRPr="002A578F" w:rsidRDefault="002A578F" w:rsidP="002A578F">
      <w:pPr>
        <w:pStyle w:val="ListParagraph"/>
        <w:numPr>
          <w:ilvl w:val="0"/>
          <w:numId w:val="4"/>
        </w:numPr>
        <w:rPr>
          <w:i/>
        </w:rPr>
      </w:pPr>
      <w:r w:rsidRPr="002A578F">
        <w:rPr>
          <w:i/>
        </w:rPr>
        <w:t>thaliana</w:t>
      </w:r>
    </w:p>
    <w:p w14:paraId="556B7361" w14:textId="2EC6B75C" w:rsidR="002A578F" w:rsidRPr="002A578F" w:rsidRDefault="002A578F" w:rsidP="002A578F">
      <w:pPr>
        <w:pStyle w:val="ListParagraph"/>
        <w:numPr>
          <w:ilvl w:val="0"/>
          <w:numId w:val="4"/>
        </w:numPr>
        <w:rPr>
          <w:i/>
        </w:rPr>
      </w:pPr>
      <w:proofErr w:type="spellStart"/>
      <w:r w:rsidRPr="002A578F">
        <w:rPr>
          <w:i/>
        </w:rPr>
        <w:t>oleracea</w:t>
      </w:r>
      <w:proofErr w:type="spellEnd"/>
    </w:p>
    <w:p w14:paraId="4793164E" w14:textId="522B4A6E" w:rsidR="002A578F" w:rsidRDefault="002A578F" w:rsidP="002A578F">
      <w:r>
        <w:t>Plant Compartment:</w:t>
      </w:r>
    </w:p>
    <w:p w14:paraId="0482BF52" w14:textId="3DDAF807" w:rsidR="002A578F" w:rsidRDefault="002A578F" w:rsidP="002A578F">
      <w:pPr>
        <w:pStyle w:val="ListParagraph"/>
        <w:numPr>
          <w:ilvl w:val="0"/>
          <w:numId w:val="6"/>
        </w:numPr>
      </w:pPr>
      <w:r>
        <w:t>Rhizosphere / Rhizospheric communities</w:t>
      </w:r>
    </w:p>
    <w:p w14:paraId="3CEAD0CA" w14:textId="0FB80793" w:rsidR="002A578F" w:rsidRDefault="002A578F" w:rsidP="002A578F">
      <w:pPr>
        <w:pStyle w:val="ListParagraph"/>
        <w:numPr>
          <w:ilvl w:val="0"/>
          <w:numId w:val="6"/>
        </w:numPr>
      </w:pPr>
      <w:r>
        <w:t>Endosphere / Endospheric communities</w:t>
      </w:r>
    </w:p>
    <w:p w14:paraId="7079E7A1" w14:textId="276582E8" w:rsidR="002A578F" w:rsidRDefault="002A578F" w:rsidP="002A578F">
      <w:pPr>
        <w:pStyle w:val="ListParagraph"/>
        <w:numPr>
          <w:ilvl w:val="0"/>
          <w:numId w:val="6"/>
        </w:numPr>
      </w:pPr>
      <w:r>
        <w:t>Rhizosphere samples</w:t>
      </w:r>
    </w:p>
    <w:p w14:paraId="0AE5A7DD" w14:textId="68AA6403" w:rsidR="002A578F" w:rsidRDefault="002A578F" w:rsidP="002A578F">
      <w:pPr>
        <w:pStyle w:val="ListParagraph"/>
        <w:numPr>
          <w:ilvl w:val="0"/>
          <w:numId w:val="6"/>
        </w:numPr>
      </w:pPr>
      <w:r>
        <w:t>Root samples</w:t>
      </w:r>
    </w:p>
    <w:p w14:paraId="4EE73390" w14:textId="77777777" w:rsidR="002A578F" w:rsidRDefault="002A578F" w:rsidP="002A578F">
      <w:pPr>
        <w:pStyle w:val="ListParagraph"/>
        <w:numPr>
          <w:ilvl w:val="0"/>
          <w:numId w:val="6"/>
        </w:numPr>
      </w:pPr>
    </w:p>
    <w:p w14:paraId="331ACFCB" w14:textId="58ED7F9B" w:rsidR="00AE4D4F" w:rsidRDefault="00AE4D4F">
      <w:r>
        <w:br w:type="page"/>
      </w:r>
    </w:p>
    <w:p w14:paraId="6379A476" w14:textId="77777777" w:rsidR="005173D1" w:rsidRPr="00F45322" w:rsidRDefault="005173D1"/>
    <w:p w14:paraId="00FB058C" w14:textId="51AD665A" w:rsidR="00DB3D65" w:rsidRDefault="00DB3D65">
      <w:pPr>
        <w:rPr>
          <w:b/>
        </w:rPr>
      </w:pPr>
      <w:r>
        <w:rPr>
          <w:b/>
        </w:rPr>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6"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1"/>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1"/>
      <w:r>
        <w:rPr>
          <w:rStyle w:val="CommentReference"/>
        </w:rPr>
        <w:commentReference w:id="1"/>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8"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1C5AED24" w:rsidR="00D9237C" w:rsidRPr="00105633" w:rsidRDefault="00105633">
      <w:r>
        <w:t xml:space="preserve">Random forest… </w:t>
      </w:r>
      <w:r>
        <w:rPr>
          <w:iCs/>
        </w:rPr>
        <w:t xml:space="preserve">Model performance was evaluated based on the model’s accuracy and Kappa, based on a 5-fold cross validated random forest (RF) repeated 100 times.  </w:t>
      </w: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7993700A"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sidR="00796183">
        <w:t>Our approach currently uses rarefied data as input for the fisher tests, but sequential rarefaction could help alleviate issues generated by the rarefaction method.</w:t>
      </w:r>
      <w:r>
        <w:rPr>
          <w:iCs/>
        </w:rPr>
        <w:t xml:space="preserve"> </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w:t>
      </w:r>
      <w:r w:rsidR="00036B33">
        <w:lastRenderedPageBreak/>
        <w:t xml:space="preserve">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hen compared to controls (</w:t>
      </w:r>
      <w:commentRangeStart w:id="2"/>
      <w:proofErr w:type="spellStart"/>
      <w:r w:rsidR="000B15B6">
        <w:t>figure_plant_phenotype</w:t>
      </w:r>
      <w:commentRangeEnd w:id="2"/>
      <w:proofErr w:type="spellEnd"/>
      <w:r w:rsidR="002870B4">
        <w:rPr>
          <w:rStyle w:val="CommentReference"/>
        </w:rPr>
        <w:commentReference w:id="2"/>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3"/>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3"/>
      <w:proofErr w:type="spellEnd"/>
      <w:r w:rsidR="00F8204A">
        <w:rPr>
          <w:rStyle w:val="CommentReference"/>
        </w:rPr>
        <w:commentReference w:id="3"/>
      </w:r>
      <w:r w:rsidR="002870B4">
        <w:t xml:space="preserve"> </w:t>
      </w:r>
      <w:r w:rsidR="00F8204A">
        <w:t xml:space="preserve"> </w:t>
      </w:r>
    </w:p>
    <w:p w14:paraId="4F97E7F1" w14:textId="66B7E623" w:rsidR="00F8204A" w:rsidRDefault="000E5C2D">
      <w:proofErr w:type="gramStart"/>
      <w:r>
        <w:t>qPCR</w:t>
      </w:r>
      <w:proofErr w:type="gramEnd"/>
      <w:r>
        <w:t xml:space="preserve"> Expression of the plant genes MYC2 and LOX2, respectively located </w:t>
      </w:r>
      <w:commentRangeStart w:id="4"/>
      <w:r>
        <w:t>upstream and downstream</w:t>
      </w:r>
      <w:commentRangeEnd w:id="4"/>
      <w:r w:rsidR="00465866">
        <w:rPr>
          <w:rStyle w:val="CommentReference"/>
        </w:rPr>
        <w:commentReference w:id="4"/>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09A1F6BA"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proofErr w:type="spellStart"/>
      <w:r w:rsidR="0074362A">
        <w:t>analysed</w:t>
      </w:r>
      <w:proofErr w:type="spellEnd"/>
      <w:r w:rsidR="0074362A">
        <w:t xml:space="preserve"> in separate, we find significant effects of stress treatment in </w:t>
      </w:r>
      <w:proofErr w:type="spellStart"/>
      <w:r w:rsidR="0074362A">
        <w:t>endophtic</w:t>
      </w:r>
      <w:proofErr w:type="spellEnd"/>
      <w:r w:rsidR="0074362A">
        <w:t xml:space="preserve"> communities of both plant species and in the rhizosphere of A. thaliana (</w:t>
      </w:r>
      <w:proofErr w:type="spellStart"/>
      <w:r w:rsidR="003F1CA4">
        <w:t>SUP_Permanova_table_b</w:t>
      </w:r>
      <w:proofErr w:type="spellEnd"/>
      <w:r w:rsidR="0074362A">
        <w:t xml:space="preserve">). </w:t>
      </w:r>
      <w:r>
        <w:t xml:space="preserve"> </w:t>
      </w:r>
      <w:r w:rsidR="00604F4B">
        <w:t>A</w:t>
      </w:r>
      <w:r w:rsidR="007842EE">
        <w:t>fter FDR correction</w:t>
      </w:r>
      <w:r w:rsidR="00604F4B">
        <w:t xml:space="preserve">, the only significant pairwise 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5E25B1B3"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 was higher in A. thaliana (r²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250EF7">
        <w:t xml:space="preserve">) than in B </w:t>
      </w:r>
      <w:proofErr w:type="spellStart"/>
      <w:r w:rsidR="00250EF7">
        <w:t>oleraeae</w:t>
      </w:r>
      <w:proofErr w:type="spellEnd"/>
      <w:r w:rsidR="00250EF7">
        <w:t xml:space="preserve"> (r² = </w:t>
      </w:r>
      <w:r w:rsidR="00910AF0">
        <w:t>0.481</w:t>
      </w:r>
      <w:r w:rsidR="00E81ACC">
        <w:t xml:space="preserve"> </w:t>
      </w:r>
      <w:r w:rsidR="00250EF7">
        <w:rPr>
          <w:rFonts w:cstheme="minorHAnsi"/>
        </w:rPr>
        <w:t>±</w:t>
      </w:r>
      <w:r w:rsidR="00E81ACC">
        <w:rPr>
          <w:rFonts w:cstheme="minorHAnsi"/>
        </w:rPr>
        <w:t xml:space="preserve"> </w:t>
      </w:r>
      <w:r w:rsidR="00910AF0" w:rsidRPr="00910AF0">
        <w:rPr>
          <w:rFonts w:cstheme="minorHAnsi"/>
        </w:rPr>
        <w:t>0.004</w:t>
      </w:r>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 xml:space="preserve">he observed </w:t>
      </w:r>
      <w:r w:rsidR="00E37360">
        <w:lastRenderedPageBreak/>
        <w:t>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5D695279"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5"/>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5"/>
      <w:r>
        <w:rPr>
          <w:rStyle w:val="CommentReference"/>
        </w:rPr>
        <w:commentReference w:id="5"/>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2C8DDE99" w:rsidR="00DB448A" w:rsidRDefault="00705B66" w:rsidP="00AC0A33">
      <w:pPr>
        <w:rPr>
          <w:bCs/>
        </w:rPr>
      </w:pPr>
      <w:r>
        <w:rPr>
          <w:bCs/>
        </w:rPr>
        <w:t>In addition, h</w:t>
      </w:r>
      <w:commentRangeStart w:id="6"/>
      <w:r w:rsidR="00566656">
        <w:rPr>
          <w:bCs/>
        </w:rPr>
        <w:t xml:space="preserve">otspots of differential abundance, where different members of a </w:t>
      </w:r>
      <w:commentRangeStart w:id="7"/>
      <w:proofErr w:type="spellStart"/>
      <w:r w:rsidR="00566656">
        <w:rPr>
          <w:bCs/>
        </w:rPr>
        <w:t>supertaxon</w:t>
      </w:r>
      <w:proofErr w:type="spellEnd"/>
      <w:r w:rsidR="00566656">
        <w:rPr>
          <w:bCs/>
        </w:rPr>
        <w:t xml:space="preserve"> </w:t>
      </w:r>
      <w:commentRangeEnd w:id="7"/>
      <w:r>
        <w:rPr>
          <w:rStyle w:val="CommentReference"/>
        </w:rPr>
        <w:commentReference w:id="7"/>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6"/>
      <w:r w:rsidR="00123286">
        <w:rPr>
          <w:rStyle w:val="CommentReference"/>
        </w:rPr>
        <w:commentReference w:id="6"/>
      </w:r>
      <w:commentRangeStart w:id="8"/>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8"/>
      <w:r w:rsidR="008F187C">
        <w:rPr>
          <w:rStyle w:val="CommentReference"/>
        </w:rPr>
        <w:commentReference w:id="8"/>
      </w:r>
      <w:r w:rsidR="00E54281">
        <w:rPr>
          <w:bCs/>
        </w:rPr>
        <w:t xml:space="preserve"> </w:t>
      </w:r>
    </w:p>
    <w:p w14:paraId="0F28F357" w14:textId="095624C3"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xml:space="preserve">, this pattern holds for observed number of taxa, Shannon diversity, and Simpson diversity for both plant species,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2D94216B" w:rsidR="00DB4B0B" w:rsidRDefault="00B431B8" w:rsidP="00F22B3D">
      <w:r>
        <w:lastRenderedPageBreak/>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6E678B6C"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w:t>
      </w:r>
      <w:r w:rsidR="000E0A53">
        <w:rPr>
          <w:bCs/>
        </w:rPr>
        <w:t xml:space="preserve"> </w:t>
      </w:r>
      <w:proofErr w:type="spellStart"/>
      <w:r w:rsidR="000E0A53">
        <w:rPr>
          <w:bCs/>
        </w:rPr>
        <w:t>Whily</w:t>
      </w:r>
      <w:proofErr w:type="spellEnd"/>
      <w:r w:rsidR="000E0A53">
        <w:rPr>
          <w:bCs/>
        </w:rPr>
        <w:t xml:space="preserve"> sample type and plant species were separated in a bi-cluster </w:t>
      </w:r>
      <w:proofErr w:type="spellStart"/>
      <w:proofErr w:type="gramStart"/>
      <w:r w:rsidR="000E0A53">
        <w:rPr>
          <w:bCs/>
        </w:rPr>
        <w:t>heatmap</w:t>
      </w:r>
      <w:proofErr w:type="spellEnd"/>
      <w:r w:rsidR="00935992">
        <w:rPr>
          <w:bCs/>
        </w:rPr>
        <w:t>,</w:t>
      </w:r>
      <w:proofErr w:type="gram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 xml:space="preserve">Figure_deseq2_heatmap). </w:t>
      </w:r>
    </w:p>
    <w:p w14:paraId="331ACFF0" w14:textId="47AA9855" w:rsidR="00B76606" w:rsidRDefault="00B76606" w:rsidP="00B76606">
      <w:pPr>
        <w:rPr>
          <w:i/>
        </w:rPr>
      </w:pPr>
      <w:r w:rsidRPr="00E32705">
        <w:rPr>
          <w:i/>
        </w:rPr>
        <w:t>Random Forest</w:t>
      </w:r>
    </w:p>
    <w:p w14:paraId="1DF43667" w14:textId="34085727" w:rsidR="009F7D85" w:rsidRDefault="000E0A53" w:rsidP="00B76606">
      <w:pPr>
        <w:rPr>
          <w:iCs/>
        </w:rPr>
      </w:pPr>
      <w:r>
        <w:rPr>
          <w:iCs/>
        </w:rPr>
        <w:t>T</w:t>
      </w:r>
      <w:r w:rsidR="00D148E9">
        <w:rPr>
          <w:iCs/>
        </w:rPr>
        <w:t>h</w:t>
      </w:r>
      <w:r w:rsidR="00E61283">
        <w:rPr>
          <w:iCs/>
        </w:rPr>
        <w:t xml:space="preserve">e </w:t>
      </w:r>
      <w:proofErr w:type="spellStart"/>
      <w:r>
        <w:rPr>
          <w:iCs/>
        </w:rPr>
        <w:t>Boruta</w:t>
      </w:r>
      <w:proofErr w:type="spellEnd"/>
      <w:r>
        <w:rPr>
          <w:iCs/>
        </w:rPr>
        <w:t xml:space="preserve"> R</w:t>
      </w:r>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9"/>
      <w:r w:rsidR="00663198">
        <w:rPr>
          <w:iCs/>
        </w:rPr>
        <w:t>sample partition</w:t>
      </w:r>
      <w:commentRangeEnd w:id="9"/>
      <w:r w:rsidR="00663198">
        <w:rPr>
          <w:rStyle w:val="CommentReference"/>
        </w:rPr>
        <w:commentReference w:id="9"/>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w:t>
      </w:r>
      <w:r w:rsidR="00D15601">
        <w:lastRenderedPageBreak/>
        <w:t>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w:t>
      </w:r>
      <w:r w:rsidR="00F109AE">
        <w:rPr>
          <w:iCs/>
        </w:rPr>
        <w:lastRenderedPageBreak/>
        <w:t>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lastRenderedPageBreak/>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76709257"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proofErr w:type="gramStart"/>
      <w:r w:rsidR="003F1CA4">
        <w:rPr>
          <w:iCs/>
        </w:rPr>
        <w:t>.</w:t>
      </w:r>
      <w:r w:rsidR="00742EDF" w:rsidRPr="00742EDF">
        <w:rPr>
          <w:iCs/>
          <w:color w:val="FF0000"/>
        </w:rPr>
        <w:t>[</w:t>
      </w:r>
      <w:proofErr w:type="gramEnd"/>
      <w:r w:rsidR="00742EDF" w:rsidRPr="00742EDF">
        <w:rPr>
          <w:iCs/>
          <w:color w:val="FF0000"/>
        </w:rPr>
        <w:t>DID THIS REFERENCES TEST MEJA IN A SINGLE PLANT SP?]</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1"/>
      <w:r w:rsidR="00C723EF">
        <w:rPr>
          <w:rStyle w:val="CommentReference"/>
        </w:rPr>
        <w:commentReference w:id="11"/>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 xml:space="preserve">(Beschoren et </w:t>
      </w:r>
      <w:r w:rsidR="007068B7" w:rsidRPr="007068B7">
        <w:rPr>
          <w:bCs/>
          <w:noProof/>
        </w:rPr>
        <w:lastRenderedPageBreak/>
        <w:t>al., 2020)</w:t>
      </w:r>
      <w:r w:rsidR="007068B7">
        <w:rPr>
          <w:bCs/>
        </w:rPr>
        <w:fldChar w:fldCharType="end"/>
      </w:r>
      <w:r w:rsidR="008106ED">
        <w:rPr>
          <w:bCs/>
        </w:rPr>
        <w:t>, having both  pathogenic and beneficial microorganisms on the same family is unsurprising.</w:t>
      </w:r>
    </w:p>
    <w:p w14:paraId="653E52CA" w14:textId="332CB464" w:rsidR="00EE0DDF" w:rsidRPr="00762944" w:rsidRDefault="009014DC" w:rsidP="008070C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Therefore, it is very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can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roots and guts</w:t>
      </w:r>
      <w:r w:rsidR="007068B7">
        <w:t xml:space="preserve"> </w:t>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production compared to non-inoculated controls </w:t>
      </w:r>
      <w:r w:rsidR="00EE0DDF">
        <w:fldChar w:fldCharType="begin" w:fldLock="1"/>
      </w:r>
      <w:r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fldChar w:fldCharType="separate"/>
      </w:r>
      <w:r w:rsidR="00EE0DDF" w:rsidRPr="00EE0DDF">
        <w:rPr>
          <w:noProof/>
        </w:rPr>
        <w:t>(Pan et al., 2019)</w:t>
      </w:r>
      <w:r w:rsidR="00EE0DDF">
        <w:fldChar w:fldCharType="end"/>
      </w:r>
      <w:r w:rsidR="00B03498">
        <w:t>.</w:t>
      </w:r>
      <w:r w:rsidR="007068B7">
        <w:t xml:space="preserve"> </w:t>
      </w:r>
      <w:r w:rsidR="00762944">
        <w:t xml:space="preserve">A </w:t>
      </w:r>
      <w:r w:rsidR="00762944" w:rsidRPr="00762944">
        <w:t>Pseudomonas</w:t>
      </w:r>
      <w:r w:rsidR="00762944">
        <w:t xml:space="preserve"> strain isolated from </w:t>
      </w:r>
      <w:proofErr w:type="spellStart"/>
      <w:r w:rsidR="00762944" w:rsidRPr="00762944">
        <w:rPr>
          <w:i/>
        </w:rPr>
        <w:t>Plutella</w:t>
      </w:r>
      <w:proofErr w:type="spellEnd"/>
      <w:r w:rsidR="00762944">
        <w:t xml:space="preserve"> moths larvae guts has shown to increase tomato growth and exhibit trains like </w:t>
      </w:r>
      <w:proofErr w:type="spellStart"/>
      <w:r w:rsidR="00762944">
        <w:t>tricalcium</w:t>
      </w:r>
      <w:proofErr w:type="spellEnd"/>
      <w:r w:rsidR="00762944">
        <w:t xml:space="preserve"> phosphate solubilization and production of </w:t>
      </w:r>
      <w:proofErr w:type="spellStart"/>
      <w:r w:rsidR="00762944" w:rsidRPr="00762944">
        <w:t>indole</w:t>
      </w:r>
      <w:proofErr w:type="spellEnd"/>
      <w:r w:rsidR="00762944" w:rsidRPr="00762944">
        <w:t xml:space="preserve"> 3-acetic acid</w:t>
      </w:r>
      <w:r w:rsidR="00762944">
        <w:t xml:space="preserve"> </w:t>
      </w:r>
      <w:r w:rsidR="00762944">
        <w:fldChar w:fldCharType="begin" w:fldLock="1"/>
      </w:r>
      <w:r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fldChar w:fldCharType="separate"/>
      </w:r>
      <w:r w:rsidR="00762944" w:rsidRPr="00762944">
        <w:rPr>
          <w:noProof/>
        </w:rPr>
        <w:t>(Indiragandhi et al., 2008)</w:t>
      </w:r>
      <w:r w:rsidR="00762944">
        <w:fldChar w:fldCharType="end"/>
      </w:r>
      <w:r w:rsidR="00762944">
        <w:t xml:space="preserve">, traits critical for plant growth promotion </w:t>
      </w:r>
      <w:r w:rsidR="00762944">
        <w:fldChar w:fldCharType="begin" w:fldLock="1"/>
      </w:r>
      <w:r w:rsidR="00762944">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2014)"},"properties":{"noteIndex":0},"schema":"https://github.com/citation-style-language/schema/raw/master/csl-citation.json"}</w:instrText>
      </w:r>
      <w:r w:rsidR="00762944">
        <w:fldChar w:fldCharType="separate"/>
      </w:r>
      <w:r w:rsidR="00762944" w:rsidRPr="00762944">
        <w:rPr>
          <w:noProof/>
        </w:rPr>
        <w:t>(Costa et al., 2014)</w:t>
      </w:r>
      <w:r w:rsidR="00762944">
        <w:fldChar w:fldCharType="end"/>
      </w:r>
      <w:r w:rsidR="00762944">
        <w:t xml:space="preserve">. </w:t>
      </w:r>
      <w:r w:rsidR="00762944" w:rsidRPr="00762944">
        <w:rPr>
          <w:color w:val="FF0000"/>
        </w:rPr>
        <w:t xml:space="preserve">The fact that </w:t>
      </w:r>
      <w:proofErr w:type="spellStart"/>
      <w:r w:rsidR="00762944" w:rsidRPr="00762944">
        <w:rPr>
          <w:color w:val="FF0000"/>
        </w:rPr>
        <w:t>indole</w:t>
      </w:r>
      <w:proofErr w:type="spellEnd"/>
      <w:r w:rsidR="00762944" w:rsidRPr="00762944">
        <w:rPr>
          <w:color w:val="FF0000"/>
        </w:rPr>
        <w:t xml:space="preserve"> 3-acetic acid is very relevant both in plant root metabolism and animal gut metabolism</w:t>
      </w:r>
      <w:r w:rsidR="00762944">
        <w:rPr>
          <w:color w:val="FF0000"/>
        </w:rPr>
        <w:t xml:space="preserve"> further </w:t>
      </w:r>
      <w:r w:rsidR="00AD39E8">
        <w:rPr>
          <w:color w:val="FF0000"/>
        </w:rPr>
        <w:t>drives</w:t>
      </w:r>
      <w:r w:rsidR="00762944">
        <w:rPr>
          <w:color w:val="FF0000"/>
        </w:rPr>
        <w:t xml:space="preserve"> </w:t>
      </w:r>
      <w:r w:rsidR="00AD39E8">
        <w:rPr>
          <w:color w:val="FF0000"/>
        </w:rPr>
        <w:t>ecological theory</w:t>
      </w:r>
      <w:r w:rsidR="00762944">
        <w:rPr>
          <w:color w:val="FF0000"/>
        </w:rPr>
        <w:t xml:space="preserve"> into </w:t>
      </w:r>
      <w:proofErr w:type="spellStart"/>
      <w:r w:rsidR="00762944">
        <w:rPr>
          <w:color w:val="FF0000"/>
        </w:rPr>
        <w:t>holobiont</w:t>
      </w:r>
      <w:r w:rsidR="00AD39E8">
        <w:rPr>
          <w:color w:val="FF0000"/>
        </w:rPr>
        <w:t>s</w:t>
      </w:r>
      <w:proofErr w:type="spellEnd"/>
      <w:r w:rsidR="003E037F">
        <w:rPr>
          <w:color w:val="FF0000"/>
        </w:rPr>
        <w:t xml:space="preserve">, with a same </w:t>
      </w:r>
      <w:proofErr w:type="spellStart"/>
      <w:r w:rsidR="003E037F">
        <w:rPr>
          <w:color w:val="FF0000"/>
        </w:rPr>
        <w:t>bacteriam</w:t>
      </w:r>
      <w:proofErr w:type="spellEnd"/>
      <w:r w:rsidR="003E037F">
        <w:rPr>
          <w:color w:val="FF0000"/>
        </w:rPr>
        <w:t xml:space="preserve"> being beneficial to more than one host</w:t>
      </w:r>
      <w:r w:rsidR="00762944" w:rsidRPr="00762944">
        <w:rPr>
          <w:color w:val="FF0000"/>
        </w:rPr>
        <w:t xml:space="preserve"> </w:t>
      </w:r>
      <w:r w:rsidR="00762944">
        <w:rPr>
          <w:color w:val="FF0000"/>
        </w:rPr>
        <w:t>[adjust/complete this!]</w:t>
      </w:r>
    </w:p>
    <w:p w14:paraId="69B408B0" w14:textId="3ABE46F1" w:rsidR="007068B7" w:rsidRDefault="007068B7" w:rsidP="008070CA">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t>.</w:t>
      </w:r>
    </w:p>
    <w:p w14:paraId="1E5E974C" w14:textId="6A0B24CF" w:rsidR="0028647F" w:rsidRDefault="004A0D6D" w:rsidP="0028647F">
      <w:pPr>
        <w:rPr>
          <w:bCs/>
        </w:rPr>
      </w:pPr>
      <w:r>
        <w:t xml:space="preserve">Note that while insect oral secretions can introduce microbes into the plants, like </w:t>
      </w:r>
      <w:r>
        <w:rPr>
          <w:bCs/>
        </w:rPr>
        <w:t xml:space="preserve">putative pathogenic </w:t>
      </w:r>
      <w:r w:rsidRPr="00B77DB9">
        <w:rPr>
          <w:bCs/>
          <w:i/>
        </w:rPr>
        <w:t>Pseudomonas</w:t>
      </w:r>
      <w:r w:rsidRPr="00B77DB9">
        <w:rPr>
          <w:bCs/>
        </w:rPr>
        <w:t xml:space="preserve"> species</w:t>
      </w:r>
      <w:r w:rsidRPr="00B77DB9">
        <w:t xml:space="preserve"> </w:t>
      </w:r>
      <w:r w:rsidRPr="00B77DB9">
        <w:rPr>
          <w:bCs/>
        </w:rPr>
        <w:fldChar w:fldCharType="begin" w:fldLock="1"/>
      </w:r>
      <w:r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Pr>
          <w:bCs/>
        </w:rPr>
        <w:fldChar w:fldCharType="separate"/>
      </w:r>
      <w:r w:rsidRPr="00B77DB9">
        <w:rPr>
          <w:bCs/>
          <w:noProof/>
        </w:rPr>
        <w:t>(Humphrey and Whiteman, 2020)</w:t>
      </w:r>
      <w:r w:rsidRPr="00B77DB9">
        <w:rPr>
          <w:bCs/>
        </w:rPr>
        <w:fldChar w:fldCharType="end"/>
      </w:r>
      <w:r w:rsidRPr="00B77DB9">
        <w:rPr>
          <w:bCs/>
        </w:rPr>
        <w:t xml:space="preserve">, our results show that </w:t>
      </w:r>
      <w:proofErr w:type="spellStart"/>
      <w:r w:rsidRPr="00B77DB9">
        <w:rPr>
          <w:bCs/>
        </w:rPr>
        <w:t>MeJA</w:t>
      </w:r>
      <w:proofErr w:type="spellEnd"/>
      <w:r w:rsidRPr="00B77DB9">
        <w:rPr>
          <w:bCs/>
        </w:rPr>
        <w:t xml:space="preserve"> expositions can also increase diversity in this family, and RF shows their presence is not a</w:t>
      </w:r>
      <w:r w:rsidR="00B77DB9" w:rsidRPr="00B77DB9">
        <w:rPr>
          <w:bCs/>
        </w:rPr>
        <w:t>n</w:t>
      </w:r>
      <w:r w:rsidRPr="00B77DB9">
        <w:rPr>
          <w:bCs/>
        </w:rPr>
        <w:t xml:space="preserve"> exclusive indication of oral secretion</w:t>
      </w:r>
      <w:r w:rsidR="00E65CE3" w:rsidRPr="00B77DB9">
        <w:rPr>
          <w:b/>
          <w:bCs/>
        </w:rPr>
        <w:t>.</w:t>
      </w:r>
      <w:r w:rsidR="0028647F">
        <w:rPr>
          <w:b/>
          <w:bCs/>
        </w:rPr>
        <w:t xml:space="preserve">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4E729F85" w:rsidR="0028647F" w:rsidRPr="0028647F" w:rsidRDefault="0028647F" w:rsidP="008070CA">
      <w:pPr>
        <w:rPr>
          <w:bCs/>
        </w:rPr>
      </w:pPr>
    </w:p>
    <w:p w14:paraId="66F46A2B" w14:textId="7F65BBBA" w:rsidR="00347CB2" w:rsidRDefault="00E65CE3" w:rsidP="008070CA">
      <w:pPr>
        <w:rPr>
          <w:rFonts w:cstheme="minorHAnsi"/>
          <w:shd w:val="clear" w:color="auto" w:fill="FFFFFF"/>
        </w:rPr>
      </w:pPr>
      <w:r w:rsidRPr="00B77DB9">
        <w:rPr>
          <w:b/>
          <w:bCs/>
        </w:rPr>
        <w:t xml:space="preserve"> </w:t>
      </w:r>
      <w:commentRangeStart w:id="12"/>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2"/>
      <w:r w:rsidR="00347CB2">
        <w:rPr>
          <w:rStyle w:val="CommentReference"/>
        </w:rPr>
        <w:commentReference w:id="12"/>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lastRenderedPageBreak/>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3"/>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3"/>
      <w:r>
        <w:rPr>
          <w:rStyle w:val="CommentReference"/>
        </w:rPr>
        <w:commentReference w:id="13"/>
      </w:r>
    </w:p>
    <w:p w14:paraId="365A1960" w14:textId="77777777" w:rsidR="00372E72" w:rsidRPr="005B4D69" w:rsidRDefault="00372E72" w:rsidP="00F1047A">
      <w:pPr>
        <w:rPr>
          <w:rFonts w:cstheme="minorHAnsi"/>
          <w:bCs/>
        </w:rPr>
      </w:pP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1992782E" w14:textId="2B0F238B" w:rsidR="00762944" w:rsidRPr="00762944" w:rsidRDefault="00B60DF4" w:rsidP="00762944">
      <w:pPr>
        <w:widowControl w:val="0"/>
        <w:autoSpaceDE w:val="0"/>
        <w:autoSpaceDN w:val="0"/>
        <w:adjustRightInd w:val="0"/>
        <w:spacing w:line="240" w:lineRule="auto"/>
        <w:ind w:left="480" w:hanging="480"/>
        <w:rPr>
          <w:rFonts w:ascii="Calibri" w:hAnsi="Calibri" w:cs="Calibri"/>
          <w:noProof/>
          <w:szCs w:val="24"/>
        </w:rPr>
      </w:pPr>
      <w:r>
        <w:rPr>
          <w:bCs/>
        </w:rPr>
        <w:lastRenderedPageBreak/>
        <w:fldChar w:fldCharType="begin" w:fldLock="1"/>
      </w:r>
      <w:r>
        <w:rPr>
          <w:bCs/>
        </w:rPr>
        <w:instrText xml:space="preserve">ADDIN Mendeley Bibliography CSL_BIBLIOGRAPHY </w:instrText>
      </w:r>
      <w:r>
        <w:rPr>
          <w:bCs/>
        </w:rPr>
        <w:fldChar w:fldCharType="separate"/>
      </w:r>
      <w:r w:rsidR="00762944" w:rsidRPr="00762944">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31936D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Barnett, S.E., Youngblut, N.D., Buckley, D.H., 2020. Soil characteristics and land-use drive bacterial community assembly patterns. FEMS Microbiology Ecology 96, 194. doi:10.1093/FEMSEC/FIZ194</w:t>
      </w:r>
    </w:p>
    <w:p w14:paraId="195A479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R.L., Pieterse, C.M.J., Bakker, P.A.H.M., 2012. The rhizosphere microbiome and plant health. Trends in Plant Science 17, 478–486. doi:10.1016/J.TPLANTS.2012.04.001</w:t>
      </w:r>
    </w:p>
    <w:p w14:paraId="3779A2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50688E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632D5B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773E141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23968AA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61530F7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A86769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38172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380F901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4816DF86" w14:textId="77777777" w:rsidR="00762944" w:rsidRPr="001F4E2E" w:rsidRDefault="00762944" w:rsidP="00762944">
      <w:pPr>
        <w:widowControl w:val="0"/>
        <w:autoSpaceDE w:val="0"/>
        <w:autoSpaceDN w:val="0"/>
        <w:adjustRightInd w:val="0"/>
        <w:spacing w:line="240" w:lineRule="auto"/>
        <w:ind w:left="480" w:hanging="480"/>
        <w:rPr>
          <w:rFonts w:ascii="Calibri" w:hAnsi="Calibri" w:cs="Calibri"/>
          <w:noProof/>
          <w:szCs w:val="24"/>
          <w:lang w:val="pt-BR"/>
        </w:rPr>
      </w:pPr>
      <w:r w:rsidRPr="00762944">
        <w:rPr>
          <w:rFonts w:ascii="Calibri" w:hAnsi="Calibri" w:cs="Calibri"/>
          <w:noProof/>
          <w:szCs w:val="24"/>
        </w:rPr>
        <w:lastRenderedPageBreak/>
        <w:t xml:space="preserve">Cope-Selby, N., Cookson, A., Squance, M., Donnison, I., Flavell, R., Farrar, K., 2017. Endophytic bacteria in Miscanthus seed: implications for germination, vertical inheritance of endophytes, plant evolution and breeding. </w:t>
      </w:r>
      <w:r w:rsidRPr="001F4E2E">
        <w:rPr>
          <w:rFonts w:ascii="Calibri" w:hAnsi="Calibri" w:cs="Calibri"/>
          <w:noProof/>
          <w:szCs w:val="24"/>
          <w:lang w:val="pt-BR"/>
        </w:rPr>
        <w:t>GCB Bioenergy 9, 57–77. doi:10.1111/GCBB.12364</w:t>
      </w:r>
    </w:p>
    <w:p w14:paraId="308A017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1F4E2E">
        <w:rPr>
          <w:rFonts w:ascii="Calibri" w:hAnsi="Calibri" w:cs="Calibri"/>
          <w:noProof/>
          <w:szCs w:val="24"/>
          <w:lang w:val="pt-BR"/>
        </w:rPr>
        <w:t xml:space="preserve">Costa, P.B., Granada, C.E., Ambrosini, A., Moreira, F., Souza, R., Passos, J.F.M., Arruda, L., Passaglia, L.M.P., 2014. </w:t>
      </w:r>
      <w:r w:rsidRPr="00762944">
        <w:rPr>
          <w:rFonts w:ascii="Calibri" w:hAnsi="Calibri" w:cs="Calibri"/>
          <w:noProof/>
          <w:szCs w:val="24"/>
        </w:rPr>
        <w:t>A Model to Explain Plant Growth Promotion Traits : A Multivariate Analysis of 2 , 211 Bacterial Isolates. PloS One 9, 1–25. doi:10.1371/journal.pone.0116020</w:t>
      </w:r>
    </w:p>
    <w:p w14:paraId="3967917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14:paraId="55437A03"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18AC966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301230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44E9E43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5BE48F2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6A53E8E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301C140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14:paraId="40385B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4D29A7B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52133327"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459E30B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60BEC1C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Humphrey, P.T., Whiteman, N.K., 2020. Insect herbivory reshapes a native leaf microbiome. Nature Ecology &amp; Evolution 4. doi:10.1038/s41559-019-1085-x</w:t>
      </w:r>
    </w:p>
    <w:p w14:paraId="111BDF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755D22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Jiang, D., Yan, S., 2018. MeJA is more effective than JA in inducing defense responses in Larix olgensis. Arthropod-Plant Interactions 12, 49–56. doi:10.1007/S11829-017-9551-3/TABLES/4</w:t>
      </w:r>
    </w:p>
    <w:p w14:paraId="10F3456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5FB9313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EA2E84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2AB67E1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610AB2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McMurdie, P.J., Holmes, S., 2014. Waste Not, Want Not: Why Rarefying Microbiome Data Is Inadmissible. PLOS Computational Biology 10, e1003531. doi:10.1371/JOURNAL.PCBI.1003531</w:t>
      </w:r>
    </w:p>
    <w:p w14:paraId="3881B1E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6291FAF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55614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225A57A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EE0F156"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Pang, Z., Chen, J., Wang, T., Gao, C., Li, Z., Guo, L., 2021. Linking Plant Secondary Metabolites and Plant Microbiomes : A Review 12. doi:10.3389/fpls.2021.621276</w:t>
      </w:r>
    </w:p>
    <w:p w14:paraId="16976A6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Salzman, S., Whitaker, M., Pierce, N.E., 2018. Cycad-feeding insects share a core gut microbiome. Biological Journal of the Linnean Society 123, 728–738. doi:10.1093/BIOLINNEAN/BLY017</w:t>
      </w:r>
    </w:p>
    <w:p w14:paraId="49D8C19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1B867F3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11CC1D68"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Smets, W., Koskella, B., 2020. Microbiome: Insect Herbivory Drives Plant Phyllosphere Dysbiosis. Current Biology 30, R412–R414. doi:10.1016/J.CUB.2020.03.039</w:t>
      </w:r>
    </w:p>
    <w:p w14:paraId="5E90D4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75439B1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3DA2D6D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Weiland-bra, N., Dirksen, P., Wang, J., Id, M.S., Id, F., Schmitz, R.A., Baines, J.F., Id, B.M., Id, A.T., 2019. Neutrality in the Metaorganism 1–21.</w:t>
      </w:r>
    </w:p>
    <w:p w14:paraId="2B19DDF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A65F68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 xml:space="preserve">Willems, A., 2014. The Prokaryotes, in: Rosenberg, E., DeLong, E.F., Lory, S., Stackebrandt, E., </w:t>
      </w:r>
      <w:r w:rsidRPr="00762944">
        <w:rPr>
          <w:rFonts w:ascii="Calibri" w:hAnsi="Calibri" w:cs="Calibri"/>
          <w:noProof/>
          <w:szCs w:val="24"/>
        </w:rPr>
        <w:lastRenderedPageBreak/>
        <w:t>Thompson, F. (Eds.), The Prokaryotes. Springer Verlag Berlin Heidelberg, pp. 777–851. doi:10.11646/zootaxa.3263.1.2</w:t>
      </w:r>
    </w:p>
    <w:p w14:paraId="54AE39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Xiao, L., Carrillo, J., Siemann, E., Ding, J., 2019. Herbivore-specific induction of indirect and direct defensive responses in leaves and roots. AoB PLANTS 11. doi:10.1093/AOBPLA/PLZ003</w:t>
      </w:r>
    </w:p>
    <w:p w14:paraId="3AED761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Yang, P., van Elsas, J.D., 2018. Mechanisms and ecological implications of the movement of bacteria in soil. Applied Soil Ecology 129, 112–120. doi:10.1016/J.APSOIL.2018.04.014</w:t>
      </w:r>
    </w:p>
    <w:p w14:paraId="42D86F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rPr>
      </w:pPr>
      <w:r w:rsidRPr="00762944">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162692C7" w:rsidR="00F7729C" w:rsidRPr="00F7729C" w:rsidRDefault="00B60DF4" w:rsidP="00762944">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dro" w:date="2022-04-29T13:39:00Z" w:initials="p">
    <w:p w14:paraId="6D606B84" w14:textId="025E3A48" w:rsidR="00AE4D4F" w:rsidRDefault="00AE4D4F">
      <w:pPr>
        <w:pStyle w:val="CommentText"/>
      </w:pPr>
      <w:r>
        <w:rPr>
          <w:rStyle w:val="CommentReference"/>
        </w:rPr>
        <w:annotationRef/>
      </w:r>
      <w:r>
        <w:t>Has to be checked</w:t>
      </w:r>
    </w:p>
  </w:comment>
  <w:comment w:id="2" w:author="pedro" w:date="2022-04-29T14:02:00Z" w:initials="p">
    <w:p w14:paraId="6F0BBB58" w14:textId="3D3EFB67" w:rsidR="00AE4D4F" w:rsidRDefault="00AE4D4F">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3" w:author="pedro" w:date="2022-04-25T16:19:00Z" w:initials="p">
    <w:p w14:paraId="6E829677" w14:textId="746080EF" w:rsidR="00AE4D4F" w:rsidRDefault="00AE4D4F">
      <w:pPr>
        <w:pStyle w:val="CommentText"/>
      </w:pPr>
      <w:r>
        <w:rPr>
          <w:rStyle w:val="CommentReference"/>
        </w:rPr>
        <w:annotationRef/>
      </w:r>
      <w:r>
        <w:t>I don’t have a good picture of this</w:t>
      </w:r>
    </w:p>
  </w:comment>
  <w:comment w:id="4" w:author="pedro" w:date="2022-04-29T13:31:00Z" w:initials="p">
    <w:p w14:paraId="3B72857C" w14:textId="3FA909C2" w:rsidR="00AE4D4F" w:rsidRDefault="00AE4D4F">
      <w:pPr>
        <w:pStyle w:val="CommentText"/>
      </w:pPr>
      <w:r>
        <w:rPr>
          <w:rStyle w:val="CommentReference"/>
        </w:rPr>
        <w:annotationRef/>
      </w:r>
      <w:r>
        <w:t>Needs confirmation from Karen</w:t>
      </w:r>
    </w:p>
    <w:p w14:paraId="077176F8" w14:textId="77777777" w:rsidR="00AE4D4F" w:rsidRDefault="00AE4D4F">
      <w:pPr>
        <w:pStyle w:val="CommentText"/>
      </w:pPr>
    </w:p>
  </w:comment>
  <w:comment w:id="5" w:author="pedro" w:date="2022-04-29T18:26:00Z" w:initials="p">
    <w:p w14:paraId="53ACE234" w14:textId="3762ACCC" w:rsidR="00AE4D4F" w:rsidRDefault="00AE4D4F">
      <w:pPr>
        <w:pStyle w:val="CommentText"/>
      </w:pPr>
      <w:r>
        <w:rPr>
          <w:rStyle w:val="CommentReference"/>
        </w:rPr>
        <w:annotationRef/>
      </w:r>
      <w:r>
        <w:t>Maybe this is better as a legend to the figure</w:t>
      </w:r>
    </w:p>
  </w:comment>
  <w:comment w:id="7" w:author="pedro" w:date="2022-08-05T15:43:00Z" w:initials="p">
    <w:p w14:paraId="1659F9BE" w14:textId="13EFB8B7" w:rsidR="00AE4D4F" w:rsidRDefault="00AE4D4F">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6" w:author="pedro" w:date="2022-04-29T18:31:00Z" w:initials="p">
    <w:p w14:paraId="3E0D7EEB" w14:textId="2E1D098D" w:rsidR="00AE4D4F" w:rsidRDefault="00AE4D4F">
      <w:pPr>
        <w:pStyle w:val="CommentText"/>
      </w:pPr>
      <w:r>
        <w:rPr>
          <w:rStyle w:val="CommentReference"/>
        </w:rPr>
        <w:annotationRef/>
      </w:r>
      <w:r>
        <w:t>This is one of my main findings</w:t>
      </w:r>
    </w:p>
  </w:comment>
  <w:comment w:id="8" w:author="pedro" w:date="2022-03-16T12:45:00Z" w:initials="p">
    <w:p w14:paraId="331ACFFF" w14:textId="77777777" w:rsidR="00AE4D4F" w:rsidRDefault="00AE4D4F">
      <w:pPr>
        <w:pStyle w:val="CommentText"/>
      </w:pPr>
      <w:r>
        <w:rPr>
          <w:rStyle w:val="CommentReference"/>
        </w:rPr>
        <w:annotationRef/>
      </w:r>
      <w:r>
        <w:t>This is very difficult to read, make it can be removed so that we point out the key hotspots directly in the next session</w:t>
      </w:r>
    </w:p>
  </w:comment>
  <w:comment w:id="9" w:author="pedro" w:date="2022-08-12T12:12:00Z" w:initials="p">
    <w:p w14:paraId="6CEA061E" w14:textId="77777777" w:rsidR="00AE4D4F" w:rsidRDefault="00AE4D4F" w:rsidP="00663198">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AE4D4F" w:rsidRDefault="00AE4D4F">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AE4D4F" w:rsidRDefault="00AE4D4F">
      <w:pPr>
        <w:pStyle w:val="CommentText"/>
      </w:pPr>
    </w:p>
    <w:p w14:paraId="52755DB3" w14:textId="1254FDFC" w:rsidR="00AE4D4F" w:rsidRDefault="00AE4D4F">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15T16:07:00Z" w:initials="p">
    <w:p w14:paraId="43F8CF72" w14:textId="3790877C" w:rsidR="00AE4D4F" w:rsidRDefault="00AE4D4F">
      <w:pPr>
        <w:pStyle w:val="CommentText"/>
      </w:pPr>
      <w:r>
        <w:rPr>
          <w:rStyle w:val="CommentReference"/>
        </w:rPr>
        <w:annotationRef/>
      </w:r>
      <w:r>
        <w:t>Not sure we need this; I noticed this but I don’t have a good place for it yet</w:t>
      </w:r>
    </w:p>
  </w:comment>
  <w:comment w:id="12" w:author="pedro" w:date="2022-08-17T13:44:00Z" w:initials="p">
    <w:p w14:paraId="4D6BA341" w14:textId="2DC73DA0" w:rsidR="00AE4D4F" w:rsidRDefault="00AE4D4F">
      <w:pPr>
        <w:pStyle w:val="CommentText"/>
      </w:pPr>
      <w:r>
        <w:rPr>
          <w:rStyle w:val="CommentReference"/>
        </w:rPr>
        <w:annotationRef/>
      </w:r>
      <w:r>
        <w:rPr>
          <w:rFonts w:ascii="Calibri" w:hAnsi="Calibri" w:cs="Calibri"/>
          <w:noProof/>
          <w:sz w:val="22"/>
          <w:szCs w:val="24"/>
        </w:rPr>
        <w:t>This information is nota dding much to our discussion</w:t>
      </w:r>
    </w:p>
  </w:comment>
  <w:comment w:id="13" w:author="pedro" w:date="2022-08-17T14:12:00Z" w:initials="p">
    <w:p w14:paraId="24012F01" w14:textId="5F069D63" w:rsidR="00AE4D4F" w:rsidRDefault="00AE4D4F">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C895A" w14:textId="77777777" w:rsidR="002230DA" w:rsidRDefault="002230DA" w:rsidP="00801EF2">
      <w:pPr>
        <w:spacing w:after="0" w:line="240" w:lineRule="auto"/>
      </w:pPr>
      <w:r>
        <w:separator/>
      </w:r>
    </w:p>
  </w:endnote>
  <w:endnote w:type="continuationSeparator" w:id="0">
    <w:p w14:paraId="12A19233" w14:textId="77777777" w:rsidR="002230DA" w:rsidRDefault="002230DA"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BE113" w14:textId="77777777" w:rsidR="002230DA" w:rsidRDefault="002230DA" w:rsidP="00801EF2">
      <w:pPr>
        <w:spacing w:after="0" w:line="240" w:lineRule="auto"/>
      </w:pPr>
      <w:r>
        <w:separator/>
      </w:r>
    </w:p>
  </w:footnote>
  <w:footnote w:type="continuationSeparator" w:id="0">
    <w:p w14:paraId="11047FB2" w14:textId="77777777" w:rsidR="002230DA" w:rsidRDefault="002230DA"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8549F"/>
    <w:multiLevelType w:val="hybridMultilevel"/>
    <w:tmpl w:val="508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6D4"/>
    <w:multiLevelType w:val="hybridMultilevel"/>
    <w:tmpl w:val="5C7E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C4D89"/>
    <w:multiLevelType w:val="hybridMultilevel"/>
    <w:tmpl w:val="899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D67E0"/>
    <w:multiLevelType w:val="hybridMultilevel"/>
    <w:tmpl w:val="89A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096"/>
    <w:rsid w:val="00036475"/>
    <w:rsid w:val="00036AA0"/>
    <w:rsid w:val="00036B33"/>
    <w:rsid w:val="000446E8"/>
    <w:rsid w:val="00044C23"/>
    <w:rsid w:val="000461D9"/>
    <w:rsid w:val="000479BF"/>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2224"/>
    <w:rsid w:val="000F64DF"/>
    <w:rsid w:val="00100867"/>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818FA"/>
    <w:rsid w:val="00186E09"/>
    <w:rsid w:val="00191E4C"/>
    <w:rsid w:val="00192094"/>
    <w:rsid w:val="001938A6"/>
    <w:rsid w:val="001A0669"/>
    <w:rsid w:val="001A424B"/>
    <w:rsid w:val="001B1894"/>
    <w:rsid w:val="001C1B95"/>
    <w:rsid w:val="001C417A"/>
    <w:rsid w:val="001C4E59"/>
    <w:rsid w:val="001C5FB8"/>
    <w:rsid w:val="001D26B9"/>
    <w:rsid w:val="001D6FCE"/>
    <w:rsid w:val="001E254F"/>
    <w:rsid w:val="001E6E2F"/>
    <w:rsid w:val="001F1671"/>
    <w:rsid w:val="001F1D51"/>
    <w:rsid w:val="001F4E2E"/>
    <w:rsid w:val="001F5C15"/>
    <w:rsid w:val="00200BED"/>
    <w:rsid w:val="00203E69"/>
    <w:rsid w:val="002051C8"/>
    <w:rsid w:val="00205AF1"/>
    <w:rsid w:val="0021375E"/>
    <w:rsid w:val="002148EF"/>
    <w:rsid w:val="00216B43"/>
    <w:rsid w:val="00217F1F"/>
    <w:rsid w:val="0022204C"/>
    <w:rsid w:val="002230DA"/>
    <w:rsid w:val="00223D98"/>
    <w:rsid w:val="0023030D"/>
    <w:rsid w:val="00230BD8"/>
    <w:rsid w:val="00236121"/>
    <w:rsid w:val="00237749"/>
    <w:rsid w:val="0024409B"/>
    <w:rsid w:val="00250EF7"/>
    <w:rsid w:val="00257853"/>
    <w:rsid w:val="00263686"/>
    <w:rsid w:val="002636A3"/>
    <w:rsid w:val="00264454"/>
    <w:rsid w:val="002752EC"/>
    <w:rsid w:val="00280C7D"/>
    <w:rsid w:val="00283D87"/>
    <w:rsid w:val="002847B9"/>
    <w:rsid w:val="002857B8"/>
    <w:rsid w:val="00285EEF"/>
    <w:rsid w:val="0028647F"/>
    <w:rsid w:val="002865C8"/>
    <w:rsid w:val="002870B4"/>
    <w:rsid w:val="00294FFF"/>
    <w:rsid w:val="002A578F"/>
    <w:rsid w:val="002B18E1"/>
    <w:rsid w:val="002B365D"/>
    <w:rsid w:val="002B4CB6"/>
    <w:rsid w:val="002B5890"/>
    <w:rsid w:val="002C11A3"/>
    <w:rsid w:val="002C3985"/>
    <w:rsid w:val="002C49AC"/>
    <w:rsid w:val="002C4C25"/>
    <w:rsid w:val="002C5066"/>
    <w:rsid w:val="002D11A7"/>
    <w:rsid w:val="002D1405"/>
    <w:rsid w:val="002E26F3"/>
    <w:rsid w:val="002E5475"/>
    <w:rsid w:val="002E6275"/>
    <w:rsid w:val="002E7BDF"/>
    <w:rsid w:val="002E7CF1"/>
    <w:rsid w:val="002E7FD2"/>
    <w:rsid w:val="002F66B6"/>
    <w:rsid w:val="002F7711"/>
    <w:rsid w:val="002F799C"/>
    <w:rsid w:val="00300B88"/>
    <w:rsid w:val="00300D52"/>
    <w:rsid w:val="003063CB"/>
    <w:rsid w:val="00310D16"/>
    <w:rsid w:val="00320DA3"/>
    <w:rsid w:val="00322DFA"/>
    <w:rsid w:val="0032430D"/>
    <w:rsid w:val="0032668A"/>
    <w:rsid w:val="0034265C"/>
    <w:rsid w:val="0034524F"/>
    <w:rsid w:val="00347CB2"/>
    <w:rsid w:val="00351B32"/>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1BB9"/>
    <w:rsid w:val="003D43EA"/>
    <w:rsid w:val="003E037F"/>
    <w:rsid w:val="003E4DAB"/>
    <w:rsid w:val="003E6CB6"/>
    <w:rsid w:val="003E7822"/>
    <w:rsid w:val="003E7D39"/>
    <w:rsid w:val="003F19BC"/>
    <w:rsid w:val="003F1CA4"/>
    <w:rsid w:val="003F28CE"/>
    <w:rsid w:val="00402F93"/>
    <w:rsid w:val="004053A9"/>
    <w:rsid w:val="0040647D"/>
    <w:rsid w:val="004142BF"/>
    <w:rsid w:val="00422C1D"/>
    <w:rsid w:val="004240C5"/>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31B76"/>
    <w:rsid w:val="00532C42"/>
    <w:rsid w:val="0053467D"/>
    <w:rsid w:val="00534822"/>
    <w:rsid w:val="00540443"/>
    <w:rsid w:val="0054117C"/>
    <w:rsid w:val="00544057"/>
    <w:rsid w:val="005532B4"/>
    <w:rsid w:val="00557A47"/>
    <w:rsid w:val="00557C5E"/>
    <w:rsid w:val="005613DE"/>
    <w:rsid w:val="00566656"/>
    <w:rsid w:val="0058218D"/>
    <w:rsid w:val="0058343D"/>
    <w:rsid w:val="005841F2"/>
    <w:rsid w:val="005908A3"/>
    <w:rsid w:val="00590D05"/>
    <w:rsid w:val="005910AC"/>
    <w:rsid w:val="005920B5"/>
    <w:rsid w:val="00595D96"/>
    <w:rsid w:val="005A067B"/>
    <w:rsid w:val="005A0692"/>
    <w:rsid w:val="005A1451"/>
    <w:rsid w:val="005B200B"/>
    <w:rsid w:val="005B4D69"/>
    <w:rsid w:val="005B7032"/>
    <w:rsid w:val="005B74E1"/>
    <w:rsid w:val="005C0388"/>
    <w:rsid w:val="005C6FC4"/>
    <w:rsid w:val="005D3EA5"/>
    <w:rsid w:val="005D4805"/>
    <w:rsid w:val="005F61D0"/>
    <w:rsid w:val="0060340C"/>
    <w:rsid w:val="00604C9A"/>
    <w:rsid w:val="00604F4B"/>
    <w:rsid w:val="00607CA3"/>
    <w:rsid w:val="0061477E"/>
    <w:rsid w:val="00620EE0"/>
    <w:rsid w:val="00622A1D"/>
    <w:rsid w:val="006255FA"/>
    <w:rsid w:val="0062596D"/>
    <w:rsid w:val="006307F1"/>
    <w:rsid w:val="00635703"/>
    <w:rsid w:val="0063706F"/>
    <w:rsid w:val="006429C5"/>
    <w:rsid w:val="00652E7D"/>
    <w:rsid w:val="006538AC"/>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C445F"/>
    <w:rsid w:val="006C69F5"/>
    <w:rsid w:val="006D39B5"/>
    <w:rsid w:val="006E267A"/>
    <w:rsid w:val="006E6FF7"/>
    <w:rsid w:val="006E78E4"/>
    <w:rsid w:val="006F1E52"/>
    <w:rsid w:val="006F6EE0"/>
    <w:rsid w:val="00701735"/>
    <w:rsid w:val="007046AB"/>
    <w:rsid w:val="00704D73"/>
    <w:rsid w:val="00704D91"/>
    <w:rsid w:val="0070503B"/>
    <w:rsid w:val="00705B66"/>
    <w:rsid w:val="00706862"/>
    <w:rsid w:val="007068B7"/>
    <w:rsid w:val="00711BE8"/>
    <w:rsid w:val="00725356"/>
    <w:rsid w:val="007305AA"/>
    <w:rsid w:val="007307BF"/>
    <w:rsid w:val="007350B8"/>
    <w:rsid w:val="0073691D"/>
    <w:rsid w:val="00742EDF"/>
    <w:rsid w:val="0074362A"/>
    <w:rsid w:val="007442DD"/>
    <w:rsid w:val="00745F8D"/>
    <w:rsid w:val="00750D9F"/>
    <w:rsid w:val="00751D96"/>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4132"/>
    <w:rsid w:val="00AC5709"/>
    <w:rsid w:val="00AD3762"/>
    <w:rsid w:val="00AD39E8"/>
    <w:rsid w:val="00AD4031"/>
    <w:rsid w:val="00AD52C2"/>
    <w:rsid w:val="00AD5E66"/>
    <w:rsid w:val="00AD6F6D"/>
    <w:rsid w:val="00AD7FCD"/>
    <w:rsid w:val="00AE4122"/>
    <w:rsid w:val="00AE4D4F"/>
    <w:rsid w:val="00AE52A9"/>
    <w:rsid w:val="00AE656D"/>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20AD"/>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423E"/>
    <w:rsid w:val="00CB54B3"/>
    <w:rsid w:val="00CB593A"/>
    <w:rsid w:val="00CB6CC2"/>
    <w:rsid w:val="00CC0786"/>
    <w:rsid w:val="00CC4386"/>
    <w:rsid w:val="00CD1774"/>
    <w:rsid w:val="00CD683F"/>
    <w:rsid w:val="00CD798B"/>
    <w:rsid w:val="00CD79E7"/>
    <w:rsid w:val="00CE3D21"/>
    <w:rsid w:val="00CF34E2"/>
    <w:rsid w:val="00D00CFA"/>
    <w:rsid w:val="00D01D9C"/>
    <w:rsid w:val="00D07B10"/>
    <w:rsid w:val="00D1057C"/>
    <w:rsid w:val="00D11369"/>
    <w:rsid w:val="00D13803"/>
    <w:rsid w:val="00D148E9"/>
    <w:rsid w:val="00D15601"/>
    <w:rsid w:val="00D16A7D"/>
    <w:rsid w:val="00D23490"/>
    <w:rsid w:val="00D25347"/>
    <w:rsid w:val="00D26670"/>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D69"/>
    <w:rsid w:val="00D9237C"/>
    <w:rsid w:val="00D9251C"/>
    <w:rsid w:val="00D92A19"/>
    <w:rsid w:val="00D95C93"/>
    <w:rsid w:val="00D96C93"/>
    <w:rsid w:val="00DA1447"/>
    <w:rsid w:val="00DA2666"/>
    <w:rsid w:val="00DA6CE9"/>
    <w:rsid w:val="00DA7DFC"/>
    <w:rsid w:val="00DB0B45"/>
    <w:rsid w:val="00DB38D0"/>
    <w:rsid w:val="00DB3D65"/>
    <w:rsid w:val="00DB448A"/>
    <w:rsid w:val="00DB4B0B"/>
    <w:rsid w:val="00DB5204"/>
    <w:rsid w:val="00DB5A94"/>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04D9"/>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0DDF"/>
    <w:rsid w:val="00EE20B5"/>
    <w:rsid w:val="00EE413F"/>
    <w:rsid w:val="00EF00BC"/>
    <w:rsid w:val="00EF0578"/>
    <w:rsid w:val="00EF105A"/>
    <w:rsid w:val="00F1047A"/>
    <w:rsid w:val="00F109AE"/>
    <w:rsid w:val="00F22B3D"/>
    <w:rsid w:val="00F36AC5"/>
    <w:rsid w:val="00F4532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EEC"/>
    <w:rsid w:val="00F831D1"/>
    <w:rsid w:val="00F842EC"/>
    <w:rsid w:val="00F94659"/>
    <w:rsid w:val="00F97D38"/>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ature.com/ismej/" TargetMode="External"/><Relationship Id="rId18" Type="http://schemas.openxmlformats.org/officeDocument/2006/relationships/hyperlink" Target="https://www.springer.com/journal/374?gclid=CjwKCAjw-ZCKBhBkEiwAM4qfF72rOmZkBm0ybpgfnc10tJEldzRdise64Mwj4MUk4eyKBkW3If8-_BoCsxMQAvD_BwE" TargetMode="External"/><Relationship Id="rId26" Type="http://schemas.openxmlformats.org/officeDocument/2006/relationships/hyperlink" Target="https://www.nature.com/articles/s41559-019-1085-x" TargetMode="External"/><Relationship Id="rId3" Type="http://schemas.openxmlformats.org/officeDocument/2006/relationships/customXml" Target="../customXml/item3.xml"/><Relationship Id="rId21" Type="http://schemas.openxmlformats.org/officeDocument/2006/relationships/hyperlink" Target="https://apsjournals.apsnet.org/page/mpmi/about" TargetMode="External"/><Relationship Id="rId7" Type="http://schemas.microsoft.com/office/2007/relationships/stylesWithEffects" Target="stylesWithEffects.xml"/><Relationship Id="rId12" Type="http://schemas.openxmlformats.org/officeDocument/2006/relationships/hyperlink" Target="https://www.sciencedirect.com/journal/trends-in-microbiology" TargetMode="External"/><Relationship Id="rId17" Type="http://schemas.openxmlformats.org/officeDocument/2006/relationships/hyperlink" Target="https://www.journals.elsevier.com/soil-biology-and-biochemistry" TargetMode="External"/><Relationship Id="rId25" Type="http://schemas.openxmlformats.org/officeDocument/2006/relationships/hyperlink" Target="https://journals.plos.org/plosone/" TargetMode="External"/><Relationship Id="rId2" Type="http://schemas.openxmlformats.org/officeDocument/2006/relationships/customXml" Target="../customXml/item2.xml"/><Relationship Id="rId16" Type="http://schemas.openxmlformats.org/officeDocument/2006/relationships/hyperlink" Target="https://sfamjournals.onlinelibrary.wiley.com/journal/14622920" TargetMode="External"/><Relationship Id="rId20" Type="http://schemas.openxmlformats.org/officeDocument/2006/relationships/hyperlink" Target="https://www.springer.com/journal/11104/?gclid=CjwKCAjw-ZCKBhBkEiwAM4qfF88g0ntjZoTn4v_jYBsz4z4U9eeFlMXtYXafxvdvDmSaYHO-L4KYaRoCF78QAvD_Bw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www.frontiersin.org/journals/microbiology" TargetMode="External"/><Relationship Id="rId23" Type="http://schemas.openxmlformats.org/officeDocument/2006/relationships/hyperlink" Target="https://www.journals.elsevier.com/rhizosphere" TargetMode="External"/><Relationship Id="rId28" Type="http://schemas.openxmlformats.org/officeDocument/2006/relationships/hyperlink" Target="https://github.com/PedroBeschoren/WUR_HPC_Annuna" TargetMode="External"/><Relationship Id="rId10" Type="http://schemas.openxmlformats.org/officeDocument/2006/relationships/footnotes" Target="footnotes.xml"/><Relationship Id="rId19" Type="http://schemas.openxmlformats.org/officeDocument/2006/relationships/hyperlink" Target="https://journals.asm.org/journal/a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ournals.elsevier.com/science-of-the-total-environment" TargetMode="External"/><Relationship Id="rId22" Type="http://schemas.openxmlformats.org/officeDocument/2006/relationships/hyperlink" Target="https://apsjournals.apsnet.org/toc/pbiomes/current" TargetMode="External"/><Relationship Id="rId27" Type="http://schemas.openxmlformats.org/officeDocument/2006/relationships/comments" Target="comment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4.xml><?xml version="1.0" encoding="utf-8"?>
<ds:datastoreItem xmlns:ds="http://schemas.openxmlformats.org/officeDocument/2006/customXml" ds:itemID="{31DC0E86-15D5-479A-99D8-4A5B5EE0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23985</TotalTime>
  <Pages>23</Pages>
  <Words>44013</Words>
  <Characters>250876</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65</cp:revision>
  <dcterms:created xsi:type="dcterms:W3CDTF">2021-10-08T09:37:00Z</dcterms:created>
  <dcterms:modified xsi:type="dcterms:W3CDTF">2022-08-23T09:07:00Z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