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EF" w:rsidRPr="007A40EF" w:rsidRDefault="007A40EF" w:rsidP="007A40EF">
      <w:pPr>
        <w:rPr>
          <w:b/>
        </w:rPr>
      </w:pPr>
      <w:r w:rsidRPr="007A40EF">
        <w:rPr>
          <w:b/>
        </w:rPr>
        <w:t>Results</w:t>
      </w:r>
    </w:p>
    <w:p w:rsidR="007A40EF" w:rsidRDefault="007A40EF" w:rsidP="007A40EF">
      <w:pPr>
        <w:rPr>
          <w:i/>
        </w:rPr>
      </w:pPr>
      <w:r>
        <w:rPr>
          <w:i/>
        </w:rPr>
        <w:t xml:space="preserve">16S </w:t>
      </w:r>
      <w:proofErr w:type="spellStart"/>
      <w:r>
        <w:rPr>
          <w:i/>
        </w:rPr>
        <w:t>a</w:t>
      </w:r>
      <w:r w:rsidRPr="005173D1">
        <w:rPr>
          <w:i/>
        </w:rPr>
        <w:t>mplicon</w:t>
      </w:r>
      <w:proofErr w:type="spellEnd"/>
      <w:r w:rsidRPr="005173D1">
        <w:rPr>
          <w:i/>
        </w:rPr>
        <w:t xml:space="preserve"> sequencing</w:t>
      </w:r>
    </w:p>
    <w:p w:rsidR="007A40EF" w:rsidRDefault="007A40EF" w:rsidP="007A40EF">
      <w:r>
        <w:t xml:space="preserve">Sequencing of 16S </w:t>
      </w:r>
      <w:proofErr w:type="spellStart"/>
      <w:r>
        <w:t>rRNA</w:t>
      </w:r>
      <w:proofErr w:type="spellEnd"/>
      <w:r>
        <w:t xml:space="preserve"> in the V3-V4 region generated 10.6M pair-ended reads with an average depth of 113±10.5 thousand sequences per sample for 94 samples, and average </w:t>
      </w:r>
      <w:proofErr w:type="spellStart"/>
      <w:r>
        <w:t>phred</w:t>
      </w:r>
      <w:proofErr w:type="spellEnd"/>
      <w:r>
        <w:t xml:space="preserve"> score 35.1±02. The No-template DNA extraction blank control had only 755 sequences.  2.509 million </w:t>
      </w:r>
      <w:proofErr w:type="gramStart"/>
      <w:r>
        <w:t>sequences</w:t>
      </w:r>
      <w:proofErr w:type="gramEnd"/>
      <w:r>
        <w:t xml:space="preserve"> of 434</w:t>
      </w:r>
      <w:r>
        <w:rPr>
          <w:rFonts w:cstheme="minorHAnsi"/>
        </w:rPr>
        <w:t>±</w:t>
      </w:r>
      <w:r>
        <w:t xml:space="preserve">11bp were kept after </w:t>
      </w:r>
      <w:proofErr w:type="spellStart"/>
      <w:r>
        <w:t>denoising</w:t>
      </w:r>
      <w:proofErr w:type="spellEnd"/>
      <w:r>
        <w:t xml:space="preserve">. After removing 88 thousand plastid and mitochondrial sequences, the dataset was filtered by removing ASVs that occurred less than 8 times in the dataset. This reduced the total number of taxa from </w:t>
      </w:r>
      <w:r w:rsidRPr="002E7BDF">
        <w:t>7599 to 4572</w:t>
      </w:r>
      <w:r>
        <w:t>, but retained 99.48% of sequences. Rarefaction was performed at 8652 sequences per sample, and removed only 43 out of 4572 input taxa (</w:t>
      </w:r>
      <w:proofErr w:type="spellStart"/>
      <w:r>
        <w:t>figure_rarefaction</w:t>
      </w:r>
      <w:proofErr w:type="spellEnd"/>
      <w:r>
        <w:t>)</w:t>
      </w:r>
    </w:p>
    <w:p w:rsidR="00D94331" w:rsidRPr="00D94331" w:rsidRDefault="00D94331" w:rsidP="007A40EF">
      <w:pPr>
        <w:rPr>
          <w:i/>
        </w:rPr>
      </w:pPr>
      <w:r>
        <w:rPr>
          <w:i/>
        </w:rPr>
        <w:t xml:space="preserve">Beta </w:t>
      </w:r>
      <w:r w:rsidRPr="00B60F48">
        <w:rPr>
          <w:i/>
        </w:rPr>
        <w:t>diversity for the whole community</w:t>
      </w:r>
    </w:p>
    <w:p w:rsidR="00D95747" w:rsidRDefault="00D94331">
      <w:r>
        <w:t xml:space="preserve">Root samples show significant interaction effects between </w:t>
      </w:r>
      <w:proofErr w:type="spellStart"/>
      <w:r>
        <w:t>MeJA</w:t>
      </w:r>
      <w:proofErr w:type="spellEnd"/>
      <w:r>
        <w:t xml:space="preserve"> treatments and plant species, but soil samples neither this interaction nor the </w:t>
      </w:r>
      <w:proofErr w:type="spellStart"/>
      <w:r>
        <w:t>MeJA</w:t>
      </w:r>
      <w:proofErr w:type="spellEnd"/>
      <w:r>
        <w:t xml:space="preserve"> treatments have a significant effect on microbial community composition (</w:t>
      </w:r>
      <w:proofErr w:type="spellStart"/>
      <w:r>
        <w:t>Permanova_table_b</w:t>
      </w:r>
      <w:proofErr w:type="spellEnd"/>
      <w:r>
        <w:t xml:space="preserve">). When considering the 4 </w:t>
      </w:r>
      <w:proofErr w:type="spellStart"/>
      <w:r>
        <w:t>partions</w:t>
      </w:r>
      <w:proofErr w:type="spellEnd"/>
      <w:r>
        <w:t xml:space="preserve"> independently, it is clear that </w:t>
      </w:r>
      <w:proofErr w:type="spellStart"/>
      <w:r>
        <w:t>MeJA</w:t>
      </w:r>
      <w:proofErr w:type="spellEnd"/>
      <w:r>
        <w:t xml:space="preserve"> effects were not a significant contributor to the microbial community structure in the soils of </w:t>
      </w:r>
      <w:r w:rsidRPr="007842EE">
        <w:rPr>
          <w:i/>
        </w:rPr>
        <w:t xml:space="preserve">B. </w:t>
      </w:r>
      <w:proofErr w:type="spellStart"/>
      <w:r w:rsidRPr="007842EE">
        <w:rPr>
          <w:i/>
        </w:rPr>
        <w:t>oelraceae</w:t>
      </w:r>
      <w:proofErr w:type="spellEnd"/>
      <w:r>
        <w:t xml:space="preserve"> (</w:t>
      </w:r>
      <w:proofErr w:type="spellStart"/>
      <w:r>
        <w:t>permanova_table_c</w:t>
      </w:r>
      <w:proofErr w:type="spellEnd"/>
      <w:r>
        <w:t>).</w:t>
      </w:r>
    </w:p>
    <w:p w:rsidR="0014691F" w:rsidRDefault="0014691F"/>
    <w:p w:rsidR="0014691F" w:rsidRDefault="0014691F">
      <w:r>
        <w:t>Neutral heat trees</w:t>
      </w:r>
    </w:p>
    <w:p w:rsidR="0014691F" w:rsidRDefault="0014691F" w:rsidP="0014691F">
      <w:pPr>
        <w:rPr>
          <w:bCs/>
        </w:rPr>
      </w:pPr>
      <w:r>
        <w:rPr>
          <w:bCs/>
        </w:rPr>
        <w:t xml:space="preserve">It can also be noticed that the 15 genera overrepresented in </w:t>
      </w:r>
      <w:proofErr w:type="spellStart"/>
      <w:r w:rsidRPr="00123286">
        <w:rPr>
          <w:bCs/>
          <w:i/>
        </w:rPr>
        <w:t>A.thaliana</w:t>
      </w:r>
      <w:proofErr w:type="spellEnd"/>
      <w:r>
        <w:rPr>
          <w:bCs/>
        </w:rPr>
        <w:t xml:space="preserve"> controls belong to 11 different phyla, suggesting that </w:t>
      </w:r>
      <w:commentRangeStart w:id="0"/>
      <w:r>
        <w:rPr>
          <w:bCs/>
        </w:rPr>
        <w:t>stress could reduce diversity of selected bacteria at a phylum level</w:t>
      </w:r>
      <w:commentRangeEnd w:id="0"/>
      <w:r>
        <w:rPr>
          <w:rStyle w:val="CommentReference"/>
        </w:rPr>
        <w:commentReference w:id="0"/>
      </w:r>
      <w:r>
        <w:rPr>
          <w:bCs/>
        </w:rPr>
        <w:t xml:space="preserve">. In </w:t>
      </w:r>
      <w:proofErr w:type="spellStart"/>
      <w:r w:rsidRPr="00123286">
        <w:rPr>
          <w:bCs/>
          <w:i/>
        </w:rPr>
        <w:t>B.oleraceae</w:t>
      </w:r>
      <w:proofErr w:type="spellEnd"/>
      <w:r>
        <w:rPr>
          <w:bCs/>
        </w:rPr>
        <w:t xml:space="preserve"> samples however, the 8 genera consistently overrepresented in controls are found in 5 different phyla. Thus, if this effect exists, it is species-specific.</w:t>
      </w:r>
    </w:p>
    <w:p w:rsidR="00B40E8B" w:rsidRDefault="00B40E8B" w:rsidP="00B40E8B">
      <w:pPr>
        <w:rPr>
          <w:bCs/>
        </w:rPr>
      </w:pPr>
      <w:r>
        <w:rPr>
          <w:bCs/>
        </w:rPr>
        <w:t xml:space="preserve">The </w:t>
      </w:r>
      <w:r>
        <w:rPr>
          <w:bCs/>
        </w:rPr>
        <w:t>al</w:t>
      </w:r>
      <w:r>
        <w:rPr>
          <w:bCs/>
        </w:rPr>
        <w:t xml:space="preserve">pha </w:t>
      </w:r>
      <w:proofErr w:type="spellStart"/>
      <w:r>
        <w:rPr>
          <w:bCs/>
        </w:rPr>
        <w:t>diverisy</w:t>
      </w:r>
      <w:proofErr w:type="spellEnd"/>
      <w:r>
        <w:rPr>
          <w:bCs/>
        </w:rPr>
        <w:t xml:space="preserve"> metrics of above-neutral ASVs </w:t>
      </w:r>
      <w:r>
        <w:rPr>
          <w:bCs/>
        </w:rPr>
        <w:t xml:space="preserve">corroborates the hypotheses that diversity in </w:t>
      </w:r>
      <w:proofErr w:type="gramStart"/>
      <w:r>
        <w:rPr>
          <w:bCs/>
        </w:rPr>
        <w:t xml:space="preserve">these  </w:t>
      </w:r>
      <w:proofErr w:type="spellStart"/>
      <w:r>
        <w:rPr>
          <w:bCs/>
        </w:rPr>
        <w:t>taxons</w:t>
      </w:r>
      <w:proofErr w:type="spellEnd"/>
      <w:proofErr w:type="gramEnd"/>
      <w:r>
        <w:rPr>
          <w:bCs/>
        </w:rPr>
        <w:t xml:space="preserve"> is responsive to the stress treatments. Note that Order </w:t>
      </w:r>
      <w:proofErr w:type="spellStart"/>
      <w:r>
        <w:rPr>
          <w:bCs/>
        </w:rPr>
        <w:t>Burkholderiales</w:t>
      </w:r>
      <w:proofErr w:type="spellEnd"/>
      <w:r>
        <w:rPr>
          <w:bCs/>
        </w:rPr>
        <w:t xml:space="preserve"> and Class </w:t>
      </w:r>
      <w:proofErr w:type="spellStart"/>
      <w:r>
        <w:rPr>
          <w:bCs/>
        </w:rPr>
        <w:t>Gammaproteobacteria</w:t>
      </w:r>
      <w:proofErr w:type="spellEnd"/>
      <w:r>
        <w:rPr>
          <w:bCs/>
        </w:rPr>
        <w:t xml:space="preserve"> are either bellow or within all fitted curves, showing that these taxa are not relatively more diverse in the selected subset than on the full dataset. Class </w:t>
      </w:r>
      <w:proofErr w:type="spellStart"/>
      <w:r>
        <w:rPr>
          <w:bCs/>
        </w:rPr>
        <w:t>Alphaproteobacteria</w:t>
      </w:r>
      <w:proofErr w:type="spellEnd"/>
      <w:r>
        <w:rPr>
          <w:bCs/>
        </w:rPr>
        <w:t xml:space="preserve"> is above the fitted curve of observed number of taxa and </w:t>
      </w:r>
      <w:proofErr w:type="spellStart"/>
      <w:proofErr w:type="gramStart"/>
      <w:r>
        <w:rPr>
          <w:bCs/>
        </w:rPr>
        <w:t>shannon</w:t>
      </w:r>
      <w:proofErr w:type="spellEnd"/>
      <w:proofErr w:type="gramEnd"/>
      <w:r>
        <w:rPr>
          <w:bCs/>
        </w:rPr>
        <w:t xml:space="preserve"> diversity, but not </w:t>
      </w:r>
      <w:proofErr w:type="spellStart"/>
      <w:r>
        <w:rPr>
          <w:bCs/>
        </w:rPr>
        <w:t>simpson</w:t>
      </w:r>
      <w:proofErr w:type="spellEnd"/>
      <w:r>
        <w:rPr>
          <w:bCs/>
        </w:rPr>
        <w:t xml:space="preserve"> diversity, while Class </w:t>
      </w:r>
      <w:proofErr w:type="spellStart"/>
      <w:r>
        <w:rPr>
          <w:bCs/>
        </w:rPr>
        <w:t>Bacteroidia</w:t>
      </w:r>
      <w:proofErr w:type="spellEnd"/>
      <w:r>
        <w:rPr>
          <w:bCs/>
        </w:rPr>
        <w:t xml:space="preserve"> and family </w:t>
      </w:r>
      <w:proofErr w:type="spellStart"/>
      <w:r>
        <w:rPr>
          <w:bCs/>
        </w:rPr>
        <w:t>Chitinophagaceae</w:t>
      </w:r>
      <w:proofErr w:type="spellEnd"/>
      <w:r>
        <w:rPr>
          <w:bCs/>
        </w:rPr>
        <w:t xml:space="preserve"> is above the fitted curve for the observed number of </w:t>
      </w:r>
      <w:proofErr w:type="spellStart"/>
      <w:r>
        <w:rPr>
          <w:bCs/>
        </w:rPr>
        <w:t>taxons</w:t>
      </w:r>
      <w:proofErr w:type="spellEnd"/>
      <w:r>
        <w:rPr>
          <w:bCs/>
        </w:rPr>
        <w:t xml:space="preserve"> only. It is also interesting to note that Order </w:t>
      </w:r>
      <w:proofErr w:type="spellStart"/>
      <w:r>
        <w:rPr>
          <w:bCs/>
        </w:rPr>
        <w:t>Micrococales</w:t>
      </w:r>
      <w:proofErr w:type="spellEnd"/>
      <w:r>
        <w:rPr>
          <w:bCs/>
        </w:rPr>
        <w:t xml:space="preserve"> is the furthest point form the curve for B. </w:t>
      </w:r>
      <w:proofErr w:type="spellStart"/>
      <w:r>
        <w:rPr>
          <w:bCs/>
        </w:rPr>
        <w:t>oleraceae</w:t>
      </w:r>
      <w:proofErr w:type="spellEnd"/>
      <w:r>
        <w:rPr>
          <w:bCs/>
        </w:rPr>
        <w:t xml:space="preserve">, suggesting it is under strong selection pressure by retaining a large portion of </w:t>
      </w:r>
      <w:proofErr w:type="spellStart"/>
      <w:proofErr w:type="gramStart"/>
      <w:r>
        <w:rPr>
          <w:bCs/>
        </w:rPr>
        <w:t>it’s</w:t>
      </w:r>
      <w:proofErr w:type="spellEnd"/>
      <w:proofErr w:type="gramEnd"/>
      <w:r>
        <w:rPr>
          <w:bCs/>
        </w:rPr>
        <w:t xml:space="preserve"> full diversity (9 out of 28 compared to 43 out of 165 in order </w:t>
      </w:r>
      <w:proofErr w:type="spellStart"/>
      <w:r>
        <w:rPr>
          <w:bCs/>
        </w:rPr>
        <w:t>Rhizobiales</w:t>
      </w:r>
      <w:proofErr w:type="spellEnd"/>
      <w:r>
        <w:rPr>
          <w:bCs/>
        </w:rPr>
        <w:t xml:space="preserve">). With this approach we could thus pinpoint the taxa levels whose diversity is more likely to respond to the applied stresses by being selected by the plants. </w:t>
      </w:r>
    </w:p>
    <w:p w:rsidR="00B40E8B" w:rsidRDefault="00B40E8B" w:rsidP="0014691F">
      <w:pPr>
        <w:rPr>
          <w:bCs/>
        </w:rPr>
      </w:pPr>
    </w:p>
    <w:p w:rsidR="0014691F" w:rsidRDefault="00EC6EFA">
      <w:r>
        <w:t>Alpha diversity</w:t>
      </w:r>
    </w:p>
    <w:p w:rsidR="00EC6EFA" w:rsidRDefault="00EC6EFA">
      <w:r>
        <w:lastRenderedPageBreak/>
        <w:t xml:space="preserve">This effect is </w:t>
      </w:r>
      <w:proofErr w:type="gramStart"/>
      <w:r>
        <w:t>more clear</w:t>
      </w:r>
      <w:proofErr w:type="gramEnd"/>
      <w:r>
        <w:t xml:space="preserve"> when testing each of the 4 data partitions individually. In this case, stress treatments cause significant changes of Shannon diversity only in the roots of </w:t>
      </w:r>
      <w:proofErr w:type="spellStart"/>
      <w:r>
        <w:t>B.oleraceae</w:t>
      </w:r>
      <w:proofErr w:type="spellEnd"/>
      <w:r>
        <w:t xml:space="preserve">, with controls presenting less diversity than </w:t>
      </w:r>
      <w:proofErr w:type="spellStart"/>
      <w:r>
        <w:t>MeJA</w:t>
      </w:r>
      <w:proofErr w:type="spellEnd"/>
      <w:r>
        <w:t xml:space="preserve"> 0.1mM and Oral secretion, but similar diversity to </w:t>
      </w:r>
      <w:proofErr w:type="spellStart"/>
      <w:r>
        <w:t>MeJA</w:t>
      </w:r>
      <w:proofErr w:type="spellEnd"/>
      <w:r>
        <w:t xml:space="preserve"> 1.0.</w:t>
      </w:r>
    </w:p>
    <w:p w:rsidR="006D0D40" w:rsidRDefault="006D0D40" w:rsidP="006D0D40">
      <w:pPr>
        <w:rPr>
          <w:bCs/>
        </w:rPr>
      </w:pPr>
      <w:commentRangeStart w:id="1"/>
      <w:r>
        <w:t xml:space="preserve">The Shannon diversity pattern found in the soil samples is very similar to that of the ASVs selected by the neutral models. </w:t>
      </w:r>
      <w:proofErr w:type="gramStart"/>
      <w:r>
        <w:t xml:space="preserve">Treatment with </w:t>
      </w:r>
      <w:proofErr w:type="spellStart"/>
      <w:r>
        <w:t>MeJA</w:t>
      </w:r>
      <w:proofErr w:type="spellEnd"/>
      <w:r>
        <w:t xml:space="preserve"> 0.1mM increases diversity for both plant species </w:t>
      </w:r>
      <w:r w:rsidRPr="00236121">
        <w:t>(</w:t>
      </w:r>
      <w:proofErr w:type="spellStart"/>
      <w:r w:rsidRPr="00236121">
        <w:rPr>
          <w:bCs/>
        </w:rPr>
        <w:t>Figure_alpha_diversity_above_expected</w:t>
      </w:r>
      <w:proofErr w:type="spellEnd"/>
      <w:r w:rsidRPr="00236121">
        <w:rPr>
          <w:bCs/>
        </w:rPr>
        <w:t xml:space="preserve">, </w:t>
      </w:r>
      <w:proofErr w:type="spellStart"/>
      <w:r w:rsidRPr="00236121">
        <w:rPr>
          <w:bCs/>
        </w:rPr>
        <w:t>table</w:t>
      </w:r>
      <w:r>
        <w:rPr>
          <w:bCs/>
        </w:rPr>
        <w:t>_</w:t>
      </w:r>
      <w:r w:rsidRPr="00236121">
        <w:rPr>
          <w:bCs/>
        </w:rPr>
        <w:t>alpha_diversity_above_expected</w:t>
      </w:r>
      <w:proofErr w:type="spellEnd"/>
      <w:r w:rsidRPr="00236121">
        <w:rPr>
          <w:bCs/>
        </w:rPr>
        <w:t>)</w:t>
      </w:r>
      <w:r>
        <w:rPr>
          <w:bCs/>
        </w:rPr>
        <w:t>.</w:t>
      </w:r>
      <w:proofErr w:type="gramEnd"/>
      <w:r>
        <w:rPr>
          <w:bCs/>
        </w:rPr>
        <w:t xml:space="preserve"> When considering only Family </w:t>
      </w:r>
      <w:proofErr w:type="spellStart"/>
      <w:r>
        <w:rPr>
          <w:bCs/>
        </w:rPr>
        <w:t>Commonadaeae</w:t>
      </w:r>
      <w:proofErr w:type="spellEnd"/>
      <w:r>
        <w:rPr>
          <w:bCs/>
        </w:rPr>
        <w:t xml:space="preserve">, we can see an increase of Shannon diversity in this family according </w:t>
      </w:r>
      <w:proofErr w:type="spellStart"/>
      <w:r>
        <w:rPr>
          <w:bCs/>
        </w:rPr>
        <w:t>MeJA</w:t>
      </w:r>
      <w:proofErr w:type="spellEnd"/>
      <w:r>
        <w:rPr>
          <w:bCs/>
        </w:rPr>
        <w:t xml:space="preserve"> concentration on </w:t>
      </w:r>
      <w:proofErr w:type="spellStart"/>
      <w:r w:rsidRPr="00DB448A">
        <w:rPr>
          <w:bCs/>
          <w:i/>
        </w:rPr>
        <w:t>B.oleracea</w:t>
      </w:r>
      <w:proofErr w:type="spellEnd"/>
      <w:r>
        <w:rPr>
          <w:bCs/>
        </w:rPr>
        <w:t xml:space="preserve">, but the diversity on oral secretion treatments is lower. For </w:t>
      </w:r>
      <w:r w:rsidRPr="00DB448A">
        <w:rPr>
          <w:bCs/>
          <w:i/>
        </w:rPr>
        <w:t>A. thaliana</w:t>
      </w:r>
      <w:r>
        <w:rPr>
          <w:bCs/>
        </w:rPr>
        <w:t xml:space="preserve">, diversity of Family </w:t>
      </w:r>
      <w:proofErr w:type="spellStart"/>
      <w:r>
        <w:rPr>
          <w:bCs/>
        </w:rPr>
        <w:t>Commonadaeae</w:t>
      </w:r>
      <w:proofErr w:type="spellEnd"/>
      <w:r>
        <w:rPr>
          <w:bCs/>
        </w:rPr>
        <w:t xml:space="preserve"> is highest at oral </w:t>
      </w:r>
      <w:proofErr w:type="spellStart"/>
      <w:r>
        <w:rPr>
          <w:bCs/>
        </w:rPr>
        <w:t>secretionand</w:t>
      </w:r>
      <w:proofErr w:type="spellEnd"/>
      <w:r>
        <w:rPr>
          <w:bCs/>
        </w:rPr>
        <w:t xml:space="preserve"> </w:t>
      </w:r>
      <w:proofErr w:type="spellStart"/>
      <w:r>
        <w:rPr>
          <w:bCs/>
        </w:rPr>
        <w:t>MeJA</w:t>
      </w:r>
      <w:proofErr w:type="spellEnd"/>
      <w:r>
        <w:rPr>
          <w:bCs/>
        </w:rPr>
        <w:t xml:space="preserve"> 0.1mM.  When considering only Order </w:t>
      </w:r>
      <w:proofErr w:type="spellStart"/>
      <w:r>
        <w:rPr>
          <w:bCs/>
        </w:rPr>
        <w:t>rhizobiales</w:t>
      </w:r>
      <w:proofErr w:type="spellEnd"/>
      <w:r>
        <w:rPr>
          <w:bCs/>
        </w:rPr>
        <w:t xml:space="preserve">, we can see an increase of Shannon diversity in this family according </w:t>
      </w:r>
      <w:proofErr w:type="spellStart"/>
      <w:r>
        <w:rPr>
          <w:bCs/>
        </w:rPr>
        <w:t>MeJA</w:t>
      </w:r>
      <w:proofErr w:type="spellEnd"/>
      <w:r>
        <w:rPr>
          <w:bCs/>
        </w:rPr>
        <w:t xml:space="preserve"> concentration on </w:t>
      </w:r>
      <w:proofErr w:type="spellStart"/>
      <w:r>
        <w:rPr>
          <w:bCs/>
        </w:rPr>
        <w:t>B.oleracea</w:t>
      </w:r>
      <w:proofErr w:type="gramStart"/>
      <w:r>
        <w:rPr>
          <w:bCs/>
        </w:rPr>
        <w:t>,and</w:t>
      </w:r>
      <w:proofErr w:type="spellEnd"/>
      <w:proofErr w:type="gramEnd"/>
      <w:r>
        <w:rPr>
          <w:bCs/>
        </w:rPr>
        <w:t xml:space="preserve"> diversity is also high in oral secretion. </w:t>
      </w:r>
      <w:proofErr w:type="gramStart"/>
      <w:r>
        <w:rPr>
          <w:bCs/>
        </w:rPr>
        <w:t>for</w:t>
      </w:r>
      <w:proofErr w:type="gramEnd"/>
      <w:r>
        <w:rPr>
          <w:bCs/>
        </w:rPr>
        <w:t xml:space="preserve"> A. thaliana, diversity of Order </w:t>
      </w:r>
      <w:proofErr w:type="spellStart"/>
      <w:r>
        <w:rPr>
          <w:bCs/>
        </w:rPr>
        <w:t>rhizobiales</w:t>
      </w:r>
      <w:proofErr w:type="spellEnd"/>
      <w:r>
        <w:rPr>
          <w:bCs/>
        </w:rPr>
        <w:t xml:space="preserve"> is high at </w:t>
      </w:r>
      <w:proofErr w:type="spellStart"/>
      <w:r>
        <w:rPr>
          <w:bCs/>
        </w:rPr>
        <w:t>MeJA</w:t>
      </w:r>
      <w:proofErr w:type="spellEnd"/>
      <w:r>
        <w:rPr>
          <w:bCs/>
        </w:rPr>
        <w:t xml:space="preserve"> 0.1, but similar across other treatments.</w:t>
      </w:r>
      <w:commentRangeEnd w:id="1"/>
      <w:r>
        <w:rPr>
          <w:rStyle w:val="CommentReference"/>
        </w:rPr>
        <w:commentReference w:id="1"/>
      </w:r>
      <w:r>
        <w:rPr>
          <w:bCs/>
        </w:rPr>
        <w:t xml:space="preserve"> PEDRO YOU SHOULD ADD A PLOT FOR ORDER XHANTOMONADALES AND MICROCOCALES, SHOWING BOTH THE ABOVE-EXPECTED AND FULL DIVERSITY</w:t>
      </w:r>
    </w:p>
    <w:p w:rsidR="006D0D40" w:rsidRDefault="006D0D40">
      <w:r>
        <w:t>Differential abundance</w:t>
      </w:r>
    </w:p>
    <w:p w:rsidR="006D0D40" w:rsidRPr="00EF0578" w:rsidRDefault="006D0D40" w:rsidP="006D0D40">
      <w:r>
        <w:rPr>
          <w:bCs/>
        </w:rPr>
        <w:t>(</w:t>
      </w:r>
      <w:proofErr w:type="spellStart"/>
      <w:proofErr w:type="gramStart"/>
      <w:r>
        <w:rPr>
          <w:bCs/>
        </w:rPr>
        <w:t>obs</w:t>
      </w:r>
      <w:proofErr w:type="spellEnd"/>
      <w:proofErr w:type="gramEnd"/>
      <w:r>
        <w:rPr>
          <w:bCs/>
        </w:rPr>
        <w:t>: Deseq2 comparisons focused on Control VS treatment comparisons, not treatment VS treatment pairwise comparisons. Fisher tests will later include any ASV tagged as differentially abundant in any treatment-control comparisons. No ASV differentially abundant in treatment-treatment comparisons are added to the fisher test)</w:t>
      </w:r>
    </w:p>
    <w:p w:rsidR="006D0D40" w:rsidRDefault="00BB6A1B">
      <w:r>
        <w:t>Random Forest</w:t>
      </w:r>
    </w:p>
    <w:p w:rsidR="00BB6A1B" w:rsidRDefault="00BB6A1B" w:rsidP="00BB6A1B">
      <w:pPr>
        <w:rPr>
          <w:iCs/>
        </w:rPr>
      </w:pPr>
      <w:commentRangeStart w:id="2"/>
      <w:r>
        <w:rPr>
          <w:iCs/>
        </w:rPr>
        <w:t>Here, accuracy refers to how often the model correctly classifies a sample according the stress (</w:t>
      </w:r>
      <w:proofErr w:type="spellStart"/>
      <w:r>
        <w:rPr>
          <w:iCs/>
        </w:rPr>
        <w:t>MeJA</w:t>
      </w:r>
      <w:proofErr w:type="spellEnd"/>
      <w:r>
        <w:rPr>
          <w:iCs/>
        </w:rPr>
        <w:t xml:space="preserve"> 1.0, </w:t>
      </w:r>
      <w:proofErr w:type="spellStart"/>
      <w:r>
        <w:rPr>
          <w:iCs/>
        </w:rPr>
        <w:t>Meja</w:t>
      </w:r>
      <w:proofErr w:type="spellEnd"/>
      <w:r>
        <w:rPr>
          <w:iCs/>
        </w:rPr>
        <w:t xml:space="preserve"> 0.1, Control or Oral secretion) when compared to the test set. These sample classifications are based on the abundances of the ASVs tagged as important in each sample partition. K</w:t>
      </w:r>
      <w:r w:rsidRPr="00AD4031">
        <w:rPr>
          <w:iCs/>
        </w:rPr>
        <w:t xml:space="preserve">appa </w:t>
      </w:r>
      <w:r>
        <w:rPr>
          <w:iCs/>
        </w:rPr>
        <w:t>refers to a measure of agreement by two classification models (in this case, the ground truth and the RF-based classifications) by considering the observed accuracy and an expected accuracy based on random classifications. A higher Kappa indicates high agreement, and thus, better model performance.</w:t>
      </w:r>
      <w:commentRangeEnd w:id="2"/>
      <w:r>
        <w:rPr>
          <w:rStyle w:val="CommentReference"/>
        </w:rPr>
        <w:commentReference w:id="2"/>
      </w:r>
      <w:r>
        <w:rPr>
          <w:iCs/>
        </w:rPr>
        <w:t xml:space="preserve"> Without feature selection by </w:t>
      </w:r>
      <w:proofErr w:type="spellStart"/>
      <w:r>
        <w:rPr>
          <w:iCs/>
        </w:rPr>
        <w:t>Boruta</w:t>
      </w:r>
      <w:proofErr w:type="spellEnd"/>
      <w:r>
        <w:rPr>
          <w:iCs/>
        </w:rPr>
        <w:t xml:space="preserve">, the RF models performs far worse, with accuracy between 0.328 and 0.489 </w:t>
      </w:r>
      <w:proofErr w:type="gramStart"/>
      <w:r>
        <w:rPr>
          <w:iCs/>
        </w:rPr>
        <w:t xml:space="preserve">and </w:t>
      </w:r>
      <w:r w:rsidRPr="00AD4031">
        <w:rPr>
          <w:iCs/>
        </w:rPr>
        <w:t xml:space="preserve"> kappa</w:t>
      </w:r>
      <w:proofErr w:type="gramEnd"/>
      <w:r w:rsidRPr="00AD4031">
        <w:rPr>
          <w:iCs/>
        </w:rPr>
        <w:t xml:space="preserve"> </w:t>
      </w:r>
      <w:r>
        <w:rPr>
          <w:iCs/>
        </w:rPr>
        <w:t>of 0.090 and 0.335.</w:t>
      </w:r>
      <w:r w:rsidRPr="00BB6A1B">
        <w:rPr>
          <w:iCs/>
        </w:rPr>
        <w:t xml:space="preserve"> </w:t>
      </w:r>
      <w:commentRangeStart w:id="3"/>
      <w:r>
        <w:rPr>
          <w:iCs/>
        </w:rPr>
        <w:t xml:space="preserve">Model </w:t>
      </w:r>
      <w:proofErr w:type="spellStart"/>
      <w:r>
        <w:rPr>
          <w:iCs/>
        </w:rPr>
        <w:t>Overfitting</w:t>
      </w:r>
      <w:proofErr w:type="spellEnd"/>
      <w:r>
        <w:rPr>
          <w:iCs/>
        </w:rPr>
        <w:t xml:space="preserve"> could occur, but as slight differences in experimental design can change the community structure, it is not so relevant to anticipate finding the same taxa as important in another dataset</w:t>
      </w:r>
      <w:commentRangeEnd w:id="3"/>
      <w:r>
        <w:rPr>
          <w:rStyle w:val="CommentReference"/>
        </w:rPr>
        <w:commentReference w:id="3"/>
      </w:r>
      <w:r>
        <w:rPr>
          <w:iCs/>
        </w:rPr>
        <w:t xml:space="preserve">. It can be seen that several important ASVs have low total abundances, such as ASV_1367 with only 16 occurrences in </w:t>
      </w:r>
      <w:proofErr w:type="spellStart"/>
      <w:r w:rsidRPr="00BD4A2F">
        <w:rPr>
          <w:i/>
          <w:iCs/>
        </w:rPr>
        <w:t>A.thaliana</w:t>
      </w:r>
      <w:proofErr w:type="spellEnd"/>
      <w:r>
        <w:rPr>
          <w:iCs/>
        </w:rPr>
        <w:t xml:space="preserve"> roots</w:t>
      </w:r>
    </w:p>
    <w:p w:rsidR="00830CAE" w:rsidRDefault="00830CAE" w:rsidP="00BB6A1B">
      <w:pPr>
        <w:rPr>
          <w:iCs/>
        </w:rPr>
      </w:pPr>
      <w:proofErr w:type="spellStart"/>
      <w:r>
        <w:rPr>
          <w:iCs/>
        </w:rPr>
        <w:t>Netowrk</w:t>
      </w:r>
      <w:proofErr w:type="spellEnd"/>
      <w:r>
        <w:rPr>
          <w:iCs/>
        </w:rPr>
        <w:t xml:space="preserve"> analysis</w:t>
      </w:r>
    </w:p>
    <w:p w:rsidR="00830CAE" w:rsidRDefault="00830CAE" w:rsidP="00830CAE">
      <w:commentRangeStart w:id="4"/>
      <w:r>
        <w:t>There were 8 ASVs tagged as keystone taxa</w:t>
      </w:r>
      <w:commentRangeEnd w:id="4"/>
      <w:r>
        <w:t xml:space="preserve"> according degree, </w:t>
      </w:r>
      <w:proofErr w:type="spellStart"/>
      <w:r>
        <w:t>betweness</w:t>
      </w:r>
      <w:proofErr w:type="spellEnd"/>
      <w:r>
        <w:t xml:space="preserve"> centrality and closeness centrality.</w:t>
      </w:r>
      <w:r>
        <w:rPr>
          <w:rStyle w:val="CommentReference"/>
        </w:rPr>
        <w:commentReference w:id="4"/>
      </w:r>
      <w:r>
        <w:t xml:space="preserve"> Four of them are found in the rhizosphere communities of </w:t>
      </w:r>
      <w:r w:rsidRPr="004E10C6">
        <w:rPr>
          <w:i/>
        </w:rPr>
        <w:t xml:space="preserve">B. </w:t>
      </w:r>
      <w:proofErr w:type="spellStart"/>
      <w:r w:rsidRPr="004E10C6">
        <w:rPr>
          <w:i/>
        </w:rPr>
        <w:t>oleraceae</w:t>
      </w:r>
      <w:proofErr w:type="spellEnd"/>
      <w:r>
        <w:t xml:space="preserve">. From these four keystone taxa, one ASV from order </w:t>
      </w:r>
      <w:proofErr w:type="spellStart"/>
      <w:r w:rsidRPr="00FD311E">
        <w:t>Burkholderiales</w:t>
      </w:r>
      <w:proofErr w:type="spellEnd"/>
      <w:r>
        <w:t xml:space="preserve">, genus </w:t>
      </w:r>
      <w:proofErr w:type="spellStart"/>
      <w:r w:rsidRPr="00FD311E">
        <w:t>Massilia</w:t>
      </w:r>
      <w:proofErr w:type="spellEnd"/>
      <w:r>
        <w:t xml:space="preserve">, was also classified as a </w:t>
      </w:r>
      <w:r>
        <w:lastRenderedPageBreak/>
        <w:t xml:space="preserve">module hub and was occurring above the predictions of the neutral model in all stress treatments. One ASV from genus </w:t>
      </w:r>
      <w:proofErr w:type="spellStart"/>
      <w:r w:rsidRPr="008F79DF">
        <w:t>Flavobacterium</w:t>
      </w:r>
      <w:proofErr w:type="spellEnd"/>
      <w:r>
        <w:t xml:space="preserve"> was also tagged as a module connector. A </w:t>
      </w:r>
      <w:proofErr w:type="spellStart"/>
      <w:r w:rsidRPr="008F79DF">
        <w:t>Methylobacterium-Methylorubrum</w:t>
      </w:r>
      <w:proofErr w:type="spellEnd"/>
      <w:r>
        <w:t xml:space="preserve"> ASV from order </w:t>
      </w:r>
      <w:proofErr w:type="spellStart"/>
      <w:r>
        <w:t>Rhizobiales</w:t>
      </w:r>
      <w:proofErr w:type="spellEnd"/>
      <w:r>
        <w:t xml:space="preserve"> was both a module connector and above predictions of the neutral models in all stress treatments. Finally, ASV_410, from genus </w:t>
      </w:r>
      <w:proofErr w:type="spellStart"/>
      <w:r w:rsidRPr="008F79DF">
        <w:t>Nocardioides</w:t>
      </w:r>
      <w:proofErr w:type="spellEnd"/>
      <w:r>
        <w:t xml:space="preserve">, was classified as above neutral model predictions in all treatments and as a predictor of treatment classification by the random forest algorithm. These independent importance tags suggests that those 4 keystone taxa, which together account for only 0.27% of the total reads in </w:t>
      </w:r>
      <w:proofErr w:type="spellStart"/>
      <w:r>
        <w:t>B.oleraceae</w:t>
      </w:r>
      <w:proofErr w:type="spellEnd"/>
      <w:r>
        <w:t xml:space="preserve"> rhizosphere samples, may strongly influence the rest of the microbial communities. </w:t>
      </w:r>
    </w:p>
    <w:p w:rsidR="00DF1A3B" w:rsidRDefault="00DF1A3B" w:rsidP="00DF1A3B">
      <w:r>
        <w:t xml:space="preserve">These independent importance tags suggests that those 4 keystone taxa, which together account for only 0.27% of the total reads in </w:t>
      </w:r>
      <w:proofErr w:type="spellStart"/>
      <w:r>
        <w:t>B.oleraceae</w:t>
      </w:r>
      <w:proofErr w:type="spellEnd"/>
      <w:r>
        <w:t xml:space="preserve"> rhizosphere samples, may strongly influence the rest of the microbial communities. </w:t>
      </w:r>
    </w:p>
    <w:p w:rsidR="00DF1A3B" w:rsidRDefault="00DF1A3B" w:rsidP="00830CAE"/>
    <w:p w:rsidR="00830CAE" w:rsidRDefault="00830CAE" w:rsidP="00BB6A1B">
      <w:r>
        <w:t xml:space="preserve">These independent importance tags suggests that those 4 keystone taxa, which together account for only 0.27% of the total reads in </w:t>
      </w:r>
      <w:proofErr w:type="spellStart"/>
      <w:r>
        <w:t>B.oleraceae</w:t>
      </w:r>
      <w:proofErr w:type="spellEnd"/>
      <w:r>
        <w:t xml:space="preserve"> rhizosphere samples, may strongly influence the rest of the microbial communities.</w:t>
      </w:r>
    </w:p>
    <w:p w:rsidR="00830CAE" w:rsidRDefault="00830CAE" w:rsidP="00830CAE">
      <w:r>
        <w:t xml:space="preserve">Network modules, groups of nodes forming a highly connected cluster, can be correlated to sample metadata once the </w:t>
      </w:r>
      <w:proofErr w:type="spellStart"/>
      <w:r>
        <w:t>abudance</w:t>
      </w:r>
      <w:proofErr w:type="spellEnd"/>
      <w:r>
        <w:t xml:space="preserve"> of the ASVs that compose the module are summarized in a single principal component in </w:t>
      </w:r>
      <w:proofErr w:type="spellStart"/>
      <w:r>
        <w:t>eingengene</w:t>
      </w:r>
      <w:proofErr w:type="spellEnd"/>
      <w:r>
        <w:t xml:space="preserve"> analysis. In our analysis, several network modules had significant or near significant (p&lt;0.1) correlations with leaf dry weight, MYC2 expression, and LOX2 expression </w:t>
      </w:r>
      <w:commentRangeStart w:id="5"/>
      <w:r>
        <w:t xml:space="preserve">(figure </w:t>
      </w:r>
      <w:proofErr w:type="spellStart"/>
      <w:r w:rsidRPr="00BE46F2">
        <w:t>Module_eingengene_correlations_to_plant_metadata</w:t>
      </w:r>
      <w:proofErr w:type="spellEnd"/>
      <w:r>
        <w:t xml:space="preserve">). </w:t>
      </w:r>
      <w:commentRangeEnd w:id="5"/>
      <w:r>
        <w:rPr>
          <w:rStyle w:val="CommentReference"/>
        </w:rPr>
        <w:commentReference w:id="5"/>
      </w:r>
      <w:r>
        <w:t xml:space="preserve"> We highlight module 3 in both endosphere and </w:t>
      </w:r>
      <w:proofErr w:type="spellStart"/>
      <w:r>
        <w:t>rhizoplane</w:t>
      </w:r>
      <w:proofErr w:type="spellEnd"/>
      <w:r>
        <w:t xml:space="preserve"> of </w:t>
      </w:r>
      <w:r w:rsidRPr="00B822E5">
        <w:rPr>
          <w:i/>
        </w:rPr>
        <w:t>A. thaliana</w:t>
      </w:r>
      <w:r>
        <w:t xml:space="preserve">. </w:t>
      </w:r>
      <w:commentRangeStart w:id="6"/>
      <w:r>
        <w:t xml:space="preserve">These modules had positive correlations to MYC2 and negative correlations to plant dry weight. </w:t>
      </w:r>
      <w:commentRangeEnd w:id="6"/>
      <w:r>
        <w:rPr>
          <w:rStyle w:val="CommentReference"/>
        </w:rPr>
        <w:commentReference w:id="6"/>
      </w:r>
      <w:r>
        <w:t xml:space="preserve"> These two </w:t>
      </w:r>
      <w:r w:rsidRPr="00B822E5">
        <w:rPr>
          <w:i/>
        </w:rPr>
        <w:t>A. thaliana</w:t>
      </w:r>
      <w:r>
        <w:t xml:space="preserve"> modules have different ASV </w:t>
      </w:r>
      <w:proofErr w:type="spellStart"/>
      <w:r>
        <w:t>abudances</w:t>
      </w:r>
      <w:proofErr w:type="spellEnd"/>
      <w:r>
        <w:t xml:space="preserve"> when compared to other modules. The endosphere module has lower </w:t>
      </w:r>
      <w:proofErr w:type="gramStart"/>
      <w:r>
        <w:t>medias</w:t>
      </w:r>
      <w:proofErr w:type="gramEnd"/>
      <w:r>
        <w:t xml:space="preserve"> for class </w:t>
      </w:r>
      <w:proofErr w:type="spellStart"/>
      <w:r>
        <w:t>actinobacteria</w:t>
      </w:r>
      <w:proofErr w:type="spellEnd"/>
      <w:r>
        <w:t xml:space="preserve"> and </w:t>
      </w:r>
      <w:proofErr w:type="spellStart"/>
      <w:r>
        <w:t>Gammaproteobacteria</w:t>
      </w:r>
      <w:proofErr w:type="spellEnd"/>
      <w:r>
        <w:t xml:space="preserve">, but higher </w:t>
      </w:r>
      <w:proofErr w:type="spellStart"/>
      <w:r>
        <w:t>abudnace</w:t>
      </w:r>
      <w:proofErr w:type="spellEnd"/>
      <w:r>
        <w:t xml:space="preserve"> in class </w:t>
      </w:r>
      <w:proofErr w:type="spellStart"/>
      <w:r>
        <w:t>Bacteroidia</w:t>
      </w:r>
      <w:proofErr w:type="spellEnd"/>
      <w:r>
        <w:t xml:space="preserve">. The rhizosphere module instead has higher abundance in Class </w:t>
      </w:r>
      <w:proofErr w:type="spellStart"/>
      <w:r>
        <w:t>Verrucomicrobiae</w:t>
      </w:r>
      <w:proofErr w:type="spellEnd"/>
      <w:r>
        <w:t xml:space="preserve">, </w:t>
      </w:r>
      <w:proofErr w:type="spellStart"/>
      <w:r>
        <w:t>Thermoleophilia</w:t>
      </w:r>
      <w:proofErr w:type="spellEnd"/>
      <w:r>
        <w:t xml:space="preserve"> and </w:t>
      </w:r>
      <w:proofErr w:type="spellStart"/>
      <w:r>
        <w:t>Bdellovibrionia</w:t>
      </w:r>
      <w:proofErr w:type="spellEnd"/>
      <w:r>
        <w:t xml:space="preserve">. The endosphere module also has low abundance of Order </w:t>
      </w:r>
      <w:proofErr w:type="spellStart"/>
      <w:r>
        <w:t>Burkholderiales</w:t>
      </w:r>
      <w:proofErr w:type="spellEnd"/>
      <w:r>
        <w:t xml:space="preserve">, Family </w:t>
      </w:r>
      <w:proofErr w:type="spellStart"/>
      <w:r>
        <w:t>Commonadaceae</w:t>
      </w:r>
      <w:proofErr w:type="spellEnd"/>
      <w:r>
        <w:t xml:space="preserve">, and Genus </w:t>
      </w:r>
      <w:proofErr w:type="spellStart"/>
      <w:r>
        <w:t>Massilia</w:t>
      </w:r>
      <w:proofErr w:type="spellEnd"/>
      <w:r>
        <w:t xml:space="preserve">. Meanwhile, while the rhizosphere module has high abundance in order </w:t>
      </w:r>
      <w:proofErr w:type="spellStart"/>
      <w:r>
        <w:t>Solirubrobacterales</w:t>
      </w:r>
      <w:proofErr w:type="spellEnd"/>
      <w:r>
        <w:t xml:space="preserve">, family </w:t>
      </w:r>
      <w:proofErr w:type="spellStart"/>
      <w:r>
        <w:t>Rhizobiaceae</w:t>
      </w:r>
      <w:proofErr w:type="spellEnd"/>
      <w:r>
        <w:t xml:space="preserve"> and genus </w:t>
      </w:r>
      <w:proofErr w:type="spellStart"/>
      <w:r>
        <w:t>Mesorhizobium</w:t>
      </w:r>
      <w:proofErr w:type="spellEnd"/>
      <w:r>
        <w:t xml:space="preserve">. It is also possible that the ASVs found in these modules are more present in the </w:t>
      </w:r>
      <w:proofErr w:type="spellStart"/>
      <w:r>
        <w:t>MeJA</w:t>
      </w:r>
      <w:proofErr w:type="spellEnd"/>
      <w:r>
        <w:t xml:space="preserve"> 1.0mM treatment, where MYC2 and LOX2 expression was high for A. thaliana.</w:t>
      </w:r>
    </w:p>
    <w:p w:rsidR="00830CAE" w:rsidRDefault="00830CAE" w:rsidP="00830CAE">
      <w:r>
        <w:t xml:space="preserve">On </w:t>
      </w:r>
      <w:r w:rsidRPr="004E10C6">
        <w:rPr>
          <w:i/>
        </w:rPr>
        <w:t xml:space="preserve">B. </w:t>
      </w:r>
      <w:proofErr w:type="spellStart"/>
      <w:r w:rsidRPr="004E10C6">
        <w:rPr>
          <w:i/>
        </w:rPr>
        <w:t>oleracea</w:t>
      </w:r>
      <w:r>
        <w:t>e</w:t>
      </w:r>
      <w:proofErr w:type="spellEnd"/>
      <w:r>
        <w:t xml:space="preserve"> </w:t>
      </w:r>
      <w:proofErr w:type="spellStart"/>
      <w:r>
        <w:t>rhizoplane</w:t>
      </w:r>
      <w:proofErr w:type="spellEnd"/>
      <w:r>
        <w:t xml:space="preserve"> samples, module 5 positively correlated (r = 0.425, p = 0.054) with LOX2 expressions. We note that this module had 2 keystone taxa, 5 ASVs tagged as important in the random forest algorithm and 7 ASVs tagged as module connectors. Thus the sub-community of ASVs in this module might indeed have a major role in stress-impacted community structure. This compared to other modules in the same network, this module presented high frequency of ASVs in class </w:t>
      </w:r>
      <w:proofErr w:type="spellStart"/>
      <w:r>
        <w:t>Alphaproteobacteria</w:t>
      </w:r>
      <w:proofErr w:type="spellEnd"/>
      <w:r>
        <w:t xml:space="preserve">, orders </w:t>
      </w:r>
      <w:proofErr w:type="spellStart"/>
      <w:r>
        <w:t>Rhizobiales</w:t>
      </w:r>
      <w:proofErr w:type="spellEnd"/>
      <w:r>
        <w:t xml:space="preserve"> and </w:t>
      </w:r>
      <w:proofErr w:type="spellStart"/>
      <w:r>
        <w:t>Sphingobacteriales</w:t>
      </w:r>
      <w:proofErr w:type="spellEnd"/>
      <w:r>
        <w:t xml:space="preserve">, family </w:t>
      </w:r>
      <w:proofErr w:type="spellStart"/>
      <w:r>
        <w:t>Xanthobacteriaceae</w:t>
      </w:r>
      <w:proofErr w:type="spellEnd"/>
      <w:r>
        <w:t xml:space="preserve">, and genus </w:t>
      </w:r>
      <w:proofErr w:type="spellStart"/>
      <w:r>
        <w:t>Mesorhizobium</w:t>
      </w:r>
      <w:proofErr w:type="spellEnd"/>
      <w:r>
        <w:t>.</w:t>
      </w:r>
    </w:p>
    <w:p w:rsidR="00830CAE" w:rsidRDefault="00830CAE" w:rsidP="00830CAE">
      <w:r>
        <w:lastRenderedPageBreak/>
        <w:t xml:space="preserve">While our analysis focuses in the connected components of the network, the 3-nodes fragmented module 13 in the A. Thaliana </w:t>
      </w:r>
      <w:proofErr w:type="spellStart"/>
      <w:r>
        <w:t>endophyte</w:t>
      </w:r>
      <w:proofErr w:type="spellEnd"/>
      <w:r>
        <w:t xml:space="preserve"> network requires mention. The 3 ASVs in that </w:t>
      </w:r>
      <w:proofErr w:type="spellStart"/>
      <w:r>
        <w:t>modedule</w:t>
      </w:r>
      <w:proofErr w:type="spellEnd"/>
      <w:r>
        <w:t xml:space="preserve"> have been tagged as important by </w:t>
      </w:r>
      <w:proofErr w:type="spellStart"/>
      <w:r>
        <w:t>boruta</w:t>
      </w:r>
      <w:proofErr w:type="spellEnd"/>
      <w:r>
        <w:t xml:space="preserve">, are positively correlated between each other and negatively correlated to MYC2 and LOX2 expression ( r = -0.488 and -0.465;  p = 0.033 and 0.044, respectively). These 3 ASVs have low abundances in the </w:t>
      </w:r>
      <w:proofErr w:type="spellStart"/>
      <w:r>
        <w:t>MeJA</w:t>
      </w:r>
      <w:proofErr w:type="spellEnd"/>
      <w:r>
        <w:t xml:space="preserve"> 1.0 Treatment (figure_ASV_mod13) </w:t>
      </w:r>
    </w:p>
    <w:p w:rsidR="00830CAE" w:rsidRDefault="00830CAE" w:rsidP="00830CAE">
      <w:commentRangeStart w:id="7"/>
      <w:proofErr w:type="spellStart"/>
      <w:r>
        <w:t>AT_soil</w:t>
      </w:r>
      <w:proofErr w:type="spellEnd"/>
      <w:r>
        <w:t xml:space="preserve"> module 2 has multiple relevant nodes and all the keystones from that network, but as the module correlates positively with plant biomass these may be simply beneficial bacteria, not directly related to </w:t>
      </w:r>
      <w:proofErr w:type="spellStart"/>
      <w:r>
        <w:t>MeJA</w:t>
      </w:r>
      <w:proofErr w:type="spellEnd"/>
      <w:r>
        <w:t xml:space="preserve"> stress responses. However, as it is well established, plants must balance defense and growth regulation. </w:t>
      </w:r>
      <w:commentRangeEnd w:id="7"/>
      <w:r>
        <w:rPr>
          <w:rStyle w:val="CommentReference"/>
        </w:rPr>
        <w:commentReference w:id="7"/>
      </w:r>
    </w:p>
    <w:p w:rsidR="00830CAE" w:rsidRDefault="00830CAE" w:rsidP="00830CAE">
      <w:commentRangeStart w:id="8"/>
      <w:r>
        <w:t xml:space="preserve">Finally, we note a significant role of ASVs from genus </w:t>
      </w:r>
      <w:proofErr w:type="spellStart"/>
      <w:r>
        <w:t>Mucilaginibacter</w:t>
      </w:r>
      <w:proofErr w:type="spellEnd"/>
      <w:r>
        <w:t xml:space="preserve">, composing 12 nodes across 8 modules (27 edges total) for </w:t>
      </w:r>
      <w:proofErr w:type="spellStart"/>
      <w:r>
        <w:t>AT_soil</w:t>
      </w:r>
      <w:proofErr w:type="spellEnd"/>
      <w:r>
        <w:t xml:space="preserve"> and in 13 nodes across 5 modules in </w:t>
      </w:r>
      <w:proofErr w:type="spellStart"/>
      <w:r>
        <w:t>BO_soil</w:t>
      </w:r>
      <w:proofErr w:type="spellEnd"/>
      <w:r>
        <w:t xml:space="preserve"> (67 edges total) but only 2 nodes across 2 modules (5 edges total) in </w:t>
      </w:r>
      <w:proofErr w:type="spellStart"/>
      <w:r>
        <w:t>AT_root</w:t>
      </w:r>
      <w:proofErr w:type="spellEnd"/>
      <w:r>
        <w:t xml:space="preserve"> and 8 nodes </w:t>
      </w:r>
      <w:proofErr w:type="spellStart"/>
      <w:r>
        <w:t>croos</w:t>
      </w:r>
      <w:proofErr w:type="spellEnd"/>
      <w:r>
        <w:t xml:space="preserve"> 5 modules (19 edges total) in </w:t>
      </w:r>
      <w:proofErr w:type="spellStart"/>
      <w:r>
        <w:t>BO_roots</w:t>
      </w:r>
      <w:proofErr w:type="spellEnd"/>
      <w:r>
        <w:t xml:space="preserve">. </w:t>
      </w:r>
      <w:proofErr w:type="gramStart"/>
      <w:r>
        <w:t>given</w:t>
      </w:r>
      <w:proofErr w:type="gramEnd"/>
      <w:r>
        <w:t xml:space="preserve"> their potential role in formation of biofilms….. </w:t>
      </w:r>
      <w:commentRangeEnd w:id="8"/>
      <w:r>
        <w:rPr>
          <w:rStyle w:val="CommentReference"/>
        </w:rPr>
        <w:commentReference w:id="8"/>
      </w:r>
    </w:p>
    <w:p w:rsidR="00830CAE" w:rsidRPr="00B8743A" w:rsidRDefault="00830CAE" w:rsidP="00BB6A1B">
      <w:pPr>
        <w:rPr>
          <w:iCs/>
        </w:rPr>
      </w:pPr>
    </w:p>
    <w:p w:rsidR="00BB6A1B" w:rsidRDefault="00B40E8B">
      <w:proofErr w:type="gramStart"/>
      <w:r>
        <w:t>Supplementary discussion (?)</w:t>
      </w:r>
      <w:proofErr w:type="gramEnd"/>
    </w:p>
    <w:p w:rsidR="00AE5377" w:rsidRPr="005B4D69" w:rsidRDefault="00B40E8B" w:rsidP="00AE5377">
      <w:pPr>
        <w:rPr>
          <w:rFonts w:cstheme="minorHAnsi"/>
          <w:bCs/>
        </w:rPr>
      </w:pPr>
      <w:r>
        <w:rPr>
          <w:bCs/>
        </w:rPr>
        <w:fldChar w:fldCharType="begin" w:fldLock="1"/>
      </w:r>
      <w:r>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1F5C15">
        <w:rPr>
          <w:bCs/>
          <w:noProof/>
        </w:rPr>
        <w:t>(Liu et al., 2017)</w:t>
      </w:r>
      <w:r>
        <w:rPr>
          <w:bCs/>
        </w:rPr>
        <w:fldChar w:fldCharType="end"/>
      </w:r>
      <w:r>
        <w:rPr>
          <w:bCs/>
        </w:rPr>
        <w:t xml:space="preserve"> also indicates both increase and decreases in relative abundances of </w:t>
      </w:r>
      <w:r w:rsidRPr="0032668A">
        <w:rPr>
          <w:bCs/>
          <w:i/>
        </w:rPr>
        <w:t>Streptomyces</w:t>
      </w:r>
      <w:r>
        <w:rPr>
          <w:bCs/>
        </w:rPr>
        <w:t xml:space="preserve"> in roots of wheat due to </w:t>
      </w:r>
      <w:proofErr w:type="spellStart"/>
      <w:r>
        <w:rPr>
          <w:bCs/>
        </w:rPr>
        <w:t>MeJA</w:t>
      </w:r>
      <w:proofErr w:type="spellEnd"/>
      <w:r>
        <w:rPr>
          <w:bCs/>
        </w:rPr>
        <w:t xml:space="preserve">. Here, we report neutrally-selected </w:t>
      </w:r>
      <w:r w:rsidRPr="0032668A">
        <w:rPr>
          <w:bCs/>
          <w:i/>
        </w:rPr>
        <w:t>Streptomyces</w:t>
      </w:r>
      <w:r>
        <w:rPr>
          <w:bCs/>
        </w:rPr>
        <w:t xml:space="preserve"> as increasing in all treatments of A. thaliana when compared to controls. The study highlights that all differentially abundant OTUs are part of Class </w:t>
      </w:r>
      <w:proofErr w:type="spellStart"/>
      <w:r>
        <w:rPr>
          <w:bCs/>
        </w:rPr>
        <w:t>Actinobacteria</w:t>
      </w:r>
      <w:proofErr w:type="spellEnd"/>
      <w:r>
        <w:rPr>
          <w:bCs/>
        </w:rPr>
        <w:t xml:space="preserve">. Here, we see that the diversity of </w:t>
      </w:r>
      <w:proofErr w:type="spellStart"/>
      <w:r>
        <w:rPr>
          <w:bCs/>
        </w:rPr>
        <w:t>actinobracteria</w:t>
      </w:r>
      <w:proofErr w:type="spellEnd"/>
      <w:r>
        <w:rPr>
          <w:bCs/>
        </w:rPr>
        <w:t xml:space="preserve"> </w:t>
      </w:r>
      <w:proofErr w:type="spellStart"/>
      <w:r>
        <w:rPr>
          <w:bCs/>
        </w:rPr>
        <w:t>si</w:t>
      </w:r>
      <w:proofErr w:type="spellEnd"/>
      <w:r>
        <w:rPr>
          <w:bCs/>
        </w:rPr>
        <w:t xml:space="preserve"> relatively high in the neutrally-selected ASVs when compared to the full dataset. </w:t>
      </w:r>
      <w:r w:rsidR="00AE5377">
        <w:rPr>
          <w:bCs/>
        </w:rPr>
        <w:t xml:space="preserve">As per </w:t>
      </w:r>
      <w:r w:rsidR="00AE5377" w:rsidRPr="005B4D69">
        <w:rPr>
          <w:rFonts w:cstheme="minorHAnsi"/>
          <w:i/>
          <w:iCs/>
          <w:color w:val="222222"/>
          <w:shd w:val="clear" w:color="auto" w:fill="FFFFFF"/>
        </w:rPr>
        <w:fldChar w:fldCharType="begin" w:fldLock="1"/>
      </w:r>
      <w:r w:rsidR="00AE5377">
        <w:rPr>
          <w:rFonts w:cstheme="minorHAnsi"/>
          <w:i/>
          <w:iCs/>
          <w:color w:val="222222"/>
          <w:shd w:val="clear" w:color="auto" w:fill="FFFFFF"/>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AE5377" w:rsidRPr="005B4D69">
        <w:rPr>
          <w:rFonts w:cstheme="minorHAnsi"/>
          <w:i/>
          <w:iCs/>
          <w:color w:val="222222"/>
          <w:shd w:val="clear" w:color="auto" w:fill="FFFFFF"/>
        </w:rPr>
        <w:fldChar w:fldCharType="separate"/>
      </w:r>
      <w:r w:rsidR="00AE5377" w:rsidRPr="005B4D69">
        <w:rPr>
          <w:rFonts w:cstheme="minorHAnsi"/>
          <w:iCs/>
          <w:noProof/>
          <w:color w:val="222222"/>
          <w:shd w:val="clear" w:color="auto" w:fill="FFFFFF"/>
        </w:rPr>
        <w:t>(Liu et al., 2017)</w:t>
      </w:r>
      <w:r w:rsidR="00AE5377" w:rsidRPr="005B4D69">
        <w:rPr>
          <w:rFonts w:cstheme="minorHAnsi"/>
          <w:i/>
          <w:iCs/>
          <w:color w:val="222222"/>
          <w:shd w:val="clear" w:color="auto" w:fill="FFFFFF"/>
        </w:rPr>
        <w:fldChar w:fldCharType="end"/>
      </w:r>
      <w:r w:rsidR="00AE5377" w:rsidRPr="005B4D69">
        <w:rPr>
          <w:rFonts w:cstheme="minorHAnsi"/>
          <w:i/>
          <w:iCs/>
          <w:color w:val="222222"/>
          <w:shd w:val="clear" w:color="auto" w:fill="FFFFFF"/>
        </w:rPr>
        <w:t>“</w:t>
      </w:r>
      <w:proofErr w:type="spellStart"/>
      <w:r w:rsidR="00AE5377" w:rsidRPr="005B4D69">
        <w:rPr>
          <w:rFonts w:cstheme="minorHAnsi"/>
          <w:i/>
          <w:iCs/>
          <w:color w:val="222222"/>
          <w:shd w:val="clear" w:color="auto" w:fill="FFFFFF"/>
        </w:rPr>
        <w:t>Streptomycetaceae</w:t>
      </w:r>
      <w:proofErr w:type="spellEnd"/>
      <w:r w:rsidR="00AE5377" w:rsidRPr="005B4D69">
        <w:rPr>
          <w:rFonts w:cstheme="minorHAnsi"/>
          <w:color w:val="222222"/>
          <w:shd w:val="clear" w:color="auto" w:fill="FFFFFF"/>
        </w:rPr>
        <w:t xml:space="preserve"> are key components of </w:t>
      </w:r>
      <w:proofErr w:type="spellStart"/>
      <w:r w:rsidR="00AE5377" w:rsidRPr="005B4D69">
        <w:rPr>
          <w:rFonts w:cstheme="minorHAnsi"/>
          <w:color w:val="222222"/>
          <w:shd w:val="clear" w:color="auto" w:fill="FFFFFF"/>
        </w:rPr>
        <w:t>endophytic</w:t>
      </w:r>
      <w:proofErr w:type="spellEnd"/>
      <w:r w:rsidR="00AE5377" w:rsidRPr="005B4D69">
        <w:rPr>
          <w:rFonts w:cstheme="minorHAnsi"/>
          <w:color w:val="222222"/>
          <w:shd w:val="clear" w:color="auto" w:fill="FFFFFF"/>
        </w:rPr>
        <w:t xml:space="preserve"> communities in </w:t>
      </w:r>
      <w:r w:rsidR="00AE5377" w:rsidRPr="005B4D69">
        <w:rPr>
          <w:rFonts w:cstheme="minorHAnsi"/>
          <w:i/>
          <w:iCs/>
          <w:color w:val="222222"/>
          <w:shd w:val="clear" w:color="auto" w:fill="FFFFFF"/>
        </w:rPr>
        <w:t>Arabidopsis thaliana</w:t>
      </w:r>
      <w:r w:rsidR="00AE5377" w:rsidRPr="005B4D69">
        <w:rPr>
          <w:rFonts w:cstheme="minorHAnsi"/>
          <w:color w:val="222222"/>
          <w:shd w:val="clear" w:color="auto" w:fill="FFFFFF"/>
        </w:rPr>
        <w:t xml:space="preserve"> roots” </w:t>
      </w:r>
    </w:p>
    <w:p w:rsidR="00B40E8B" w:rsidRDefault="00B40E8B" w:rsidP="00B40E8B">
      <w:pPr>
        <w:rPr>
          <w:bCs/>
        </w:rPr>
      </w:pPr>
    </w:p>
    <w:p w:rsidR="00B40E8B" w:rsidRDefault="00B40E8B" w:rsidP="00B40E8B">
      <w:pPr>
        <w:rPr>
          <w:bCs/>
        </w:rPr>
      </w:pPr>
      <w:r>
        <w:rPr>
          <w:bCs/>
        </w:rPr>
        <w:t xml:space="preserve">This report </w:t>
      </w:r>
      <w:r>
        <w:rPr>
          <w:bCs/>
        </w:rPr>
        <w:fldChar w:fldCharType="begin" w:fldLock="1"/>
      </w:r>
      <w:r>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1F5C15">
        <w:rPr>
          <w:bCs/>
          <w:noProof/>
        </w:rPr>
        <w:t>(Liu et al., 2017)</w:t>
      </w:r>
      <w:r>
        <w:rPr>
          <w:bCs/>
        </w:rPr>
        <w:fldChar w:fldCharType="end"/>
      </w:r>
      <w:r>
        <w:rPr>
          <w:bCs/>
        </w:rPr>
        <w:t xml:space="preserve"> also shows that bulk soil alpha diversity was not affected by </w:t>
      </w:r>
      <w:proofErr w:type="spellStart"/>
      <w:r>
        <w:rPr>
          <w:bCs/>
        </w:rPr>
        <w:t>MeJA</w:t>
      </w:r>
      <w:proofErr w:type="spellEnd"/>
      <w:r>
        <w:rPr>
          <w:bCs/>
        </w:rPr>
        <w:t xml:space="preserve">. </w:t>
      </w:r>
      <w:proofErr w:type="gramStart"/>
      <w:r>
        <w:rPr>
          <w:bCs/>
        </w:rPr>
        <w:t>our</w:t>
      </w:r>
      <w:proofErr w:type="gramEnd"/>
      <w:r>
        <w:rPr>
          <w:bCs/>
        </w:rPr>
        <w:t xml:space="preserve"> results show that the full rhizosphere communities have, also, not been affected by </w:t>
      </w:r>
      <w:proofErr w:type="spellStart"/>
      <w:r>
        <w:rPr>
          <w:bCs/>
        </w:rPr>
        <w:t>MeJA</w:t>
      </w:r>
      <w:proofErr w:type="spellEnd"/>
      <w:r>
        <w:rPr>
          <w:bCs/>
        </w:rPr>
        <w:t xml:space="preserve"> treatments. The neutrally-selected microbial communities, however, show that </w:t>
      </w:r>
      <w:proofErr w:type="spellStart"/>
      <w:r>
        <w:rPr>
          <w:bCs/>
        </w:rPr>
        <w:t>MeJA</w:t>
      </w:r>
      <w:proofErr w:type="spellEnd"/>
      <w:r>
        <w:rPr>
          <w:bCs/>
        </w:rPr>
        <w:t xml:space="preserve"> 0.1 increases diversity of the rhizospheric communities in both plant species. The report also mentions that JA signaling had no effect on alpha diversity of rhizosphere communities.</w:t>
      </w:r>
    </w:p>
    <w:p w:rsidR="00B40E8B" w:rsidRDefault="00B40E8B" w:rsidP="00B40E8B">
      <w:pPr>
        <w:rPr>
          <w:bCs/>
        </w:rPr>
      </w:pPr>
      <w:r>
        <w:rPr>
          <w:bCs/>
        </w:rPr>
        <w:t>As mentioned in</w:t>
      </w:r>
      <w:r>
        <w:rPr>
          <w:bCs/>
        </w:rPr>
        <w:fldChar w:fldCharType="begin" w:fldLock="1"/>
      </w:r>
      <w:r>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753C4E">
        <w:rPr>
          <w:bCs/>
          <w:noProof/>
        </w:rPr>
        <w:t>(Liu et al., 2017)</w:t>
      </w:r>
      <w:r>
        <w:rPr>
          <w:bCs/>
        </w:rPr>
        <w:fldChar w:fldCharType="end"/>
      </w:r>
      <w:r>
        <w:rPr>
          <w:bCs/>
        </w:rPr>
        <w:t xml:space="preserve">  “</w:t>
      </w:r>
      <w:r w:rsidRPr="00E847C3">
        <w:rPr>
          <w:bCs/>
        </w:rPr>
        <w:t>When grown in soil collected from areas where A. thaliana grows naturally, stimulation of the A. thaliana JA pathway led to a significant alteration in rhizosphere bacterial community</w:t>
      </w:r>
      <w:r>
        <w:rPr>
          <w:bCs/>
        </w:rPr>
        <w:t xml:space="preserve"> </w:t>
      </w:r>
      <w:r w:rsidRPr="00753C4E">
        <w:rPr>
          <w:bCs/>
        </w:rPr>
        <w:t>composition</w:t>
      </w:r>
      <w:r w:rsidRPr="00E847C3">
        <w:rPr>
          <w:bCs/>
        </w:rPr>
        <w:t xml:space="preserve"> </w:t>
      </w:r>
      <w:r>
        <w:rPr>
          <w:bCs/>
        </w:rPr>
        <w:fldChar w:fldCharType="begin" w:fldLock="1"/>
      </w:r>
      <w:r>
        <w:rPr>
          <w:b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Pr>
          <w:bCs/>
        </w:rPr>
        <w:fldChar w:fldCharType="separate"/>
      </w:r>
      <w:r w:rsidRPr="00753C4E">
        <w:rPr>
          <w:bCs/>
          <w:noProof/>
        </w:rPr>
        <w:t>(Carvalhais et al., 2013)</w:t>
      </w:r>
      <w:r>
        <w:rPr>
          <w:bCs/>
        </w:rPr>
        <w:fldChar w:fldCharType="end"/>
      </w:r>
      <w:r w:rsidRPr="00753C4E">
        <w:rPr>
          <w:bCs/>
        </w:rPr>
        <w:t xml:space="preserve">. </w:t>
      </w:r>
      <w:r w:rsidRPr="00E847C3">
        <w:rPr>
          <w:bCs/>
        </w:rPr>
        <w:t>However, when grown in ‘non-native’ soils, induction of the A. thaliana JA pathway had no effect on the composition of rhizosphere bacterial communities</w:t>
      </w:r>
      <w:r>
        <w:rPr>
          <w:bCs/>
        </w:rPr>
        <w:t xml:space="preserve"> </w:t>
      </w:r>
      <w:r>
        <w:rPr>
          <w:bCs/>
        </w:rPr>
        <w:fldChar w:fldCharType="begin" w:fldLock="1"/>
      </w:r>
      <w:r>
        <w:rPr>
          <w:bCs/>
        </w:rPr>
        <w:instrText>ADDIN CSL_CITATION {"citationItems":[{"id":"ITEM-1","itemData":{"DOI":"10.1094/MPMI-05-10-0115","ISSN":"0894-0282","PMID":"21171889","abstract":"Systemically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MPMI","id":"ITEM-1","issue":"4","issued":{"date-parts":[["2011","4"]]},"page":"395-407","publisher":"Mol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thaliana","type":"article-journal","volume":"24"},"uris":["http://www.mendeley.com/documents/?uuid=fed15c09-e71b-3029-91ae-aeae1fd4506c"]}],"mendeley":{"formattedCitation":"(Doornbos et al., 2011)","plainTextFormattedCitation":"(Doornbos et al., 2011)","previouslyFormattedCitation":"(Doornbos et al., 2011)"},"properties":{"noteIndex":0},"schema":"https://github.com/citation-style-language/schema/raw/master/csl-citation.json"}</w:instrText>
      </w:r>
      <w:r>
        <w:rPr>
          <w:bCs/>
        </w:rPr>
        <w:fldChar w:fldCharType="separate"/>
      </w:r>
      <w:r w:rsidRPr="00753C4E">
        <w:rPr>
          <w:bCs/>
          <w:noProof/>
        </w:rPr>
        <w:t>(Doornbos et al., 2011)</w:t>
      </w:r>
      <w:r>
        <w:rPr>
          <w:bCs/>
        </w:rPr>
        <w:fldChar w:fldCharType="end"/>
      </w:r>
    </w:p>
    <w:p w:rsidR="00B40E8B" w:rsidRDefault="00B40E8B" w:rsidP="00B40E8B">
      <w:pPr>
        <w:rPr>
          <w:bCs/>
        </w:rPr>
      </w:pPr>
      <w:r>
        <w:rPr>
          <w:bCs/>
        </w:rPr>
        <w:t xml:space="preserve">As we can see in this JA-microbiome review by a </w:t>
      </w:r>
      <w:proofErr w:type="spellStart"/>
      <w:r>
        <w:rPr>
          <w:bCs/>
        </w:rPr>
        <w:t>brazilian</w:t>
      </w:r>
      <w:proofErr w:type="spellEnd"/>
      <w:r>
        <w:rPr>
          <w:bCs/>
        </w:rPr>
        <w:t xml:space="preserve"> author </w:t>
      </w:r>
      <w:r>
        <w:rPr>
          <w:bCs/>
        </w:rPr>
        <w:fldChar w:fldCharType="begin" w:fldLock="1"/>
      </w:r>
      <w:r>
        <w:rPr>
          <w:bCs/>
        </w:rPr>
        <w:instrText>ADDIN CSL_CITATION {"citationItems":[{"id":"ITEM-1","itemData":{"DOI":"10.1016/j.mib.2017.03.009","ISSN":"18790364","PMID":"28437665","abstract":"The plant holobiont – which is the plant and its associated microbiome – is increasingly viewed as an evolving entity. Some interacting microbes that compose the microbiome assist plants in combating pathogens and herbivorous insects. However, knowledge of the factors that influence the microbiome in the context of defence signalling pathways is still in its infancy. Recent research reported that changes in jasmonic acid (JA) and salicylic acid signalling affects the root microbiome of Arabidopsis thaliana. This review aims to present the hypothesis that the JA pathway represents a novel mechanism for microbiome engineering for improved holobiont fitness in agricultural systems.","author":[{"dropping-particle":"","family":"Carvalhais","given":"Lilia C.","non-dropping-particle":"","parse-names":false,"suffix":""},{"dropping-particle":"","family":"Schenk","given":"Peer M.","non-dropping-particle":"","parse-names":false,"suffix":""},{"dropping-particle":"","family":"Dennis","given":"Paul G.","non-dropping-particle":"","parse-names":false,"suffix":""}],"container-title":"Current Opinion in Microbiology","id":"ITEM-1","issued":{"date-parts":[["2017","6","1"]]},"page":"42-47","publisher":"Elsevier Current Trends","title":"Jasmonic acid signalling and the plant holobiont","type":"article","volume":"37"},"uris":["http://www.mendeley.com/documents/?uuid=d7b13459-d35c-3533-8cfc-46fc7f181939"]}],"mendeley":{"formattedCitation":"(Carvalhais et al., 2017)","plainTextFormattedCitation":"(Carvalhais et al., 2017)","previouslyFormattedCitation":"(Carvalhais et al., 2017)"},"properties":{"noteIndex":0},"schema":"https://github.com/citation-style-language/schema/raw/master/csl-citation.json"}</w:instrText>
      </w:r>
      <w:r>
        <w:rPr>
          <w:bCs/>
        </w:rPr>
        <w:fldChar w:fldCharType="separate"/>
      </w:r>
      <w:r w:rsidRPr="001E254F">
        <w:rPr>
          <w:bCs/>
          <w:noProof/>
        </w:rPr>
        <w:t>(Carvalhais et al., 2017)</w:t>
      </w:r>
      <w:r>
        <w:rPr>
          <w:bCs/>
        </w:rPr>
        <w:fldChar w:fldCharType="end"/>
      </w:r>
      <w:r>
        <w:rPr>
          <w:bCs/>
        </w:rPr>
        <w:t>… It talks most about the mechanisms and is a bit outdated</w:t>
      </w:r>
    </w:p>
    <w:p w:rsidR="00B40E8B" w:rsidRDefault="00B40E8B" w:rsidP="00B40E8B">
      <w:pPr>
        <w:rPr>
          <w:bCs/>
        </w:rPr>
      </w:pPr>
      <w:r>
        <w:rPr>
          <w:bCs/>
        </w:rPr>
        <w:lastRenderedPageBreak/>
        <w:t xml:space="preserve">Pedro also has to read this one, which says that </w:t>
      </w:r>
      <w:proofErr w:type="spellStart"/>
      <w:r>
        <w:rPr>
          <w:bCs/>
        </w:rPr>
        <w:t>MeJA</w:t>
      </w:r>
      <w:proofErr w:type="spellEnd"/>
      <w:r>
        <w:rPr>
          <w:bCs/>
        </w:rPr>
        <w:t xml:space="preserve"> increases </w:t>
      </w:r>
      <w:proofErr w:type="spellStart"/>
      <w:r>
        <w:rPr>
          <w:bCs/>
        </w:rPr>
        <w:t>glucosinolates</w:t>
      </w:r>
      <w:proofErr w:type="spellEnd"/>
      <w:r>
        <w:rPr>
          <w:bCs/>
        </w:rPr>
        <w:t xml:space="preserve"> production and exudation </w:t>
      </w:r>
      <w:r>
        <w:rPr>
          <w:bCs/>
        </w:rPr>
        <w:fldChar w:fldCharType="begin" w:fldLock="1"/>
      </w:r>
      <w:r>
        <w:rPr>
          <w:bCs/>
        </w:rPr>
        <w:instrText>ADDIN CSL_CITATION {"citationItems":[{"id":"ITEM-1","itemData":{"DOI":"10.1016/J.SCIENTA.2021.110027","ISSN":"0304-4238","abstract":"The rhizosphere is the closest area of soil around plant roots. Root exudates are the main plant factor responsible for changes in microbial communities. As brassica plants have a defence system based on secondary metabolites such as glucosinolates (GLS) and isothiocyanates (ITC), the aim of this study was to determine the root exudation of these metabolites by broccoli plants and the influence of elicitors on this process. Also, the effect of these exudates on plant pathogens Fusarium oxysporum, Pseudomonas syringae and Sphingomonas suberifaciens. Broccoli plants were grown under controlled conditions. Biostimulation treatment with methyl-jasmonate (MeJA) with/without NaCl conditions were applied. The glucosinolates and isothiocyanates were measured in the leaves, roots and growth solution. Also, these compounds present in the exudates were applied to cultures of pathogens to check the effect on their growth. The results indicate that broccoli plants exude both GLS and ITC, and that foliar application of MeJA has a systematic positive effect, enhancing their biosynthesis and exudation by root cells, however, the biostimulation produced a less plant growth under salinity conditions. The intact GLS plus the ITC detected in the growth solution showed a strong effect against the pathogens F. oxysporum, P. syringae, S. suberifaciens, providing the first evidence of their suppression to be implemented under agronomical conditions.","author":[{"dropping-particle":"","family":"Rios","given":"J. J.","non-dropping-particle":"","parse-names":false,"suffix":""},{"dropping-particle":"","family":"Pascual","given":"J. A.","non-dropping-particle":"","parse-names":false,"suffix":""},{"dropping-particle":"","family":"Guillen","given":"M.","non-dropping-particle":"","parse-names":false,"suffix":""},{"dropping-particle":"","family":"Lopez-Martinez","given":"A.","non-dropping-particle":"","parse-names":false,"suffix":""},{"dropping-particle":"","family":"Carvajal","given":"M.","non-dropping-particle":"","parse-names":false,"suffix":""}],"container-title":"Scientia Horticulturae","id":"ITEM-1","issued":{"date-parts":[["2021","5","10"]]},"page":"110027","publisher":"Elsevier","title":"Influence of foliar Methyl-jasmonate biostimulation on exudation of glucosinolates and their effect on root pathogens of broccoli plants under salinity condition","type":"article-journal","volume":"282"},"uris":["http://www.mendeley.com/documents/?uuid=478e23eb-2eaa-3b88-8a60-d455bdcf6b1d"]}],"mendeley":{"formattedCitation":"(Rios et al., 2021)","plainTextFormattedCitation":"(Rios et al., 2021)","previouslyFormattedCitation":"(Rios et al., 2021)"},"properties":{"noteIndex":0},"schema":"https://github.com/citation-style-language/schema/raw/master/csl-citation.json"}</w:instrText>
      </w:r>
      <w:r>
        <w:rPr>
          <w:bCs/>
        </w:rPr>
        <w:fldChar w:fldCharType="separate"/>
      </w:r>
      <w:r w:rsidRPr="001E254F">
        <w:rPr>
          <w:bCs/>
          <w:noProof/>
        </w:rPr>
        <w:t>(Rios et al., 2021)</w:t>
      </w:r>
      <w:r>
        <w:rPr>
          <w:bCs/>
        </w:rPr>
        <w:fldChar w:fldCharType="end"/>
      </w:r>
      <w:r>
        <w:rPr>
          <w:bCs/>
        </w:rPr>
        <w:t xml:space="preserve"> </w:t>
      </w:r>
    </w:p>
    <w:p w:rsidR="00AE5377" w:rsidRDefault="00AE5377" w:rsidP="00AE5377">
      <w:pPr>
        <w:rPr>
          <w:bCs/>
        </w:rPr>
      </w:pPr>
      <w:r>
        <w:rPr>
          <w:bCs/>
        </w:rPr>
        <w:t xml:space="preserve">Some microbes produce JA with unknown pathways. Fungi and bacteria can directly influence JA synthesis pathways for increased virulence </w:t>
      </w:r>
      <w:r>
        <w:rPr>
          <w:bCs/>
        </w:rPr>
        <w:fldChar w:fldCharType="begin" w:fldLock="1"/>
      </w:r>
      <w:r>
        <w:rPr>
          <w:bCs/>
        </w:rPr>
        <w:instrText>ADDIN CSL_CITATION {"citationItems":[{"id":"ITEM-1","itemData":{"DOI":"10.1016/J.PBI.2022.102258","ISSN":"1369-5266","author":[{"dropping-particle":"","family":"Nakano","given":"Masahito","non-dropping-particle":"","parse-names":false,"suffix":""},{"dropping-particle":"","family":"Omae","given":"Natsuki","non-dropping-particle":"","parse-names":false,"suffix":""},{"dropping-particle":"","family":"Tsuda","given":"Kenichi","non-dropping-particle":"","parse-names":false,"suffix":""}],"container-title":"Current Opinion in Plant Biology","id":"ITEM-1","issued":{"date-parts":[["2022","8","1"]]},"page":"102258","publisher":"Elsevier Current Trends","title":"Inter-organismal phytohormone networks in plant-microbe interactions","type":"article-journal","volume":"68"},"uris":["http://www.mendeley.com/documents/?uuid=71c89154-290f-31c3-88ac-6e128572a068"]}],"mendeley":{"formattedCitation":"(Nakano et al., 2022)","plainTextFormattedCitation":"(Nakano et al., 2022)","previouslyFormattedCitation":"(Nakano et al., 2022)"},"properties":{"noteIndex":0},"schema":"https://github.com/citation-style-language/schema/raw/master/csl-citation.json"}</w:instrText>
      </w:r>
      <w:r>
        <w:rPr>
          <w:bCs/>
        </w:rPr>
        <w:fldChar w:fldCharType="separate"/>
      </w:r>
      <w:r w:rsidRPr="00191E4C">
        <w:rPr>
          <w:bCs/>
          <w:noProof/>
        </w:rPr>
        <w:t>(Nakano et al., 2022)</w:t>
      </w:r>
      <w:r>
        <w:rPr>
          <w:bCs/>
        </w:rPr>
        <w:fldChar w:fldCharType="end"/>
      </w:r>
    </w:p>
    <w:p w:rsidR="00AE5377" w:rsidRPr="0032668A" w:rsidRDefault="00AE5377" w:rsidP="00AE5377">
      <w:pPr>
        <w:rPr>
          <w:bCs/>
        </w:rPr>
      </w:pPr>
      <w:r>
        <w:rPr>
          <w:bCs/>
        </w:rPr>
        <w:t xml:space="preserve">As mentioned in  </w:t>
      </w:r>
      <w:r>
        <w:rPr>
          <w:bCs/>
        </w:rPr>
        <w:fldChar w:fldCharType="begin" w:fldLock="1"/>
      </w:r>
      <w:r>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1E254F">
        <w:rPr>
          <w:bCs/>
          <w:noProof/>
        </w:rPr>
        <w:t>(Liu et al., 2017)</w:t>
      </w:r>
      <w:r>
        <w:rPr>
          <w:bCs/>
        </w:rPr>
        <w:fldChar w:fldCharType="end"/>
      </w:r>
      <w:r>
        <w:rPr>
          <w:bCs/>
        </w:rPr>
        <w:t>, “</w:t>
      </w:r>
      <w:r w:rsidRPr="00841EDC">
        <w:rPr>
          <w:bCs/>
        </w:rPr>
        <w:t xml:space="preserve">Effects of JA </w:t>
      </w:r>
      <w:proofErr w:type="spellStart"/>
      <w:r w:rsidRPr="00841EDC">
        <w:rPr>
          <w:bCs/>
        </w:rPr>
        <w:t>signalling</w:t>
      </w:r>
      <w:proofErr w:type="spellEnd"/>
      <w:r w:rsidRPr="00841EDC">
        <w:rPr>
          <w:bCs/>
        </w:rPr>
        <w:t xml:space="preserve"> on root and shoot biomass</w:t>
      </w:r>
      <w:r>
        <w:rPr>
          <w:bCs/>
        </w:rPr>
        <w:t xml:space="preserve">: </w:t>
      </w:r>
      <w:r w:rsidRPr="00841EDC">
        <w:rPr>
          <w:bCs/>
        </w:rPr>
        <w:t xml:space="preserve">Relative to the controls, </w:t>
      </w:r>
      <w:proofErr w:type="spellStart"/>
      <w:r w:rsidRPr="00841EDC">
        <w:rPr>
          <w:bCs/>
        </w:rPr>
        <w:t>MeJA</w:t>
      </w:r>
      <w:proofErr w:type="spellEnd"/>
      <w:r w:rsidRPr="00841EDC">
        <w:rPr>
          <w:bCs/>
        </w:rPr>
        <w:t xml:space="preserve"> treatment led to a 14% reduction in root dry weight (P = 0.015) but shoot biomass was not affected (Fig. S7). This is consistent with previous studies in Arabidopsis thaliana</w:t>
      </w:r>
      <w:r>
        <w:rPr>
          <w:bCs/>
        </w:rPr>
        <w:t xml:space="preserve"> </w:t>
      </w:r>
      <w:r w:rsidRPr="00841EDC">
        <w:rPr>
          <w:bCs/>
        </w:rPr>
        <w:t xml:space="preserve">and sunflower (Helianthus </w:t>
      </w:r>
      <w:proofErr w:type="spellStart"/>
      <w:r w:rsidRPr="00841EDC">
        <w:rPr>
          <w:bCs/>
        </w:rPr>
        <w:t>annuus</w:t>
      </w:r>
      <w:proofErr w:type="spellEnd"/>
      <w:r w:rsidRPr="00841EDC">
        <w:rPr>
          <w:bCs/>
        </w:rPr>
        <w:t xml:space="preserve"> L.), which reported root inhibition upon activation of JA </w:t>
      </w:r>
      <w:r>
        <w:rPr>
          <w:bCs/>
        </w:rPr>
        <w:t>signaling”</w:t>
      </w:r>
    </w:p>
    <w:p w:rsidR="00AE5377" w:rsidRDefault="00AE5377" w:rsidP="00AE5377">
      <w:pPr>
        <w:rPr>
          <w:bCs/>
        </w:rPr>
      </w:pPr>
      <w:r>
        <w:rPr>
          <w:bCs/>
        </w:rPr>
        <w:t xml:space="preserve">Use of </w:t>
      </w:r>
      <w:proofErr w:type="spellStart"/>
      <w:r>
        <w:rPr>
          <w:bCs/>
        </w:rPr>
        <w:t>cohens</w:t>
      </w:r>
      <w:proofErr w:type="spellEnd"/>
      <w:r>
        <w:rPr>
          <w:bCs/>
        </w:rPr>
        <w:t xml:space="preserve"> D to compare multiple experiments/controls in </w:t>
      </w:r>
      <w:r>
        <w:rPr>
          <w:bCs/>
        </w:rPr>
        <w:fldChar w:fldCharType="begin" w:fldLock="1"/>
      </w:r>
      <w:r>
        <w:rPr>
          <w:bCs/>
        </w:rPr>
        <w:instrText>ADDIN CSL_CITATION {"citationItems":[{"id":"ITEM-1","itemData":{"DOI":"10.1111/NPH.15504","ISSN":"1469-8137","PMID":"30276818","abstract":"All terrestrial plants are colonized by foliar endophytic fungi that can affect plant growth and physiology, but the prediction of these effects on the plant host remains a challenge. Here, we examined three paradigms that potentially control how endophytes affect plant hosts: habitat adaptation, evolutionary history and functional traits. We screened 35 plant–endophyte pairings in a microcosm experiment under well-watered and drought conditions with Panicum virgatum as the host. We related the measured plant responses to fungal phylogenetic relatedness, characteristics of fungal habitats across a rainfall gradient and functional traits of the fungi related to stress tolerance and resource use. The functional traits and habitat characteristics of the fungi predicted 26–53% of endophyte-mediated effects on measures of plant growth, physiology and survival. Overall, survival was higher for plants grown with more stress-tolerant fungi, and aboveground biomass was enhanced by fungi from warmer and drier habitats. Plant growth and physiology were also dependent on fungal resource use indicators; however, specific predictors were dependent on water availability. Simple ecological traits of foliar endophytic fungi observed in culture can translate to symbiotic lifestyles. These findings offer new insights and key testable predictions for likely pathways by which endophytes benefit the plant host.","author":[{"dropping-particle":"","family":"Giauque","given":"Hannah","non-dropping-particle":"","parse-names":false,"suffix":""},{"dropping-particle":"","family":"Connor","given":"Elise W.","non-dropping-particle":"","parse-names":false,"suffix":""},{"dropping-particle":"V.","family":"Hawkes","given":"Christine","non-dropping-particle":"","parse-names":false,"suffix":""}],"container-title":"New Phytologist","id":"ITEM-1","issue":"4","issued":{"date-parts":[["2019","3","1"]]},"page":"2239-2249","publisher":"John Wiley &amp; Sons, Ltd","title":"Endophyte traits relevant to stress tolerance, resource use and habitat of origin predict effects on host plants","type":"article-journal","volume":"221"},"uris":["http://www.mendeley.com/documents/?uuid=7961f772-e006-302c-a8d5-7094dfb7fede"]}],"mendeley":{"formattedCitation":"(Giauque et al., 2019)","plainTextFormattedCitation":"(Giauque et al., 2019)","previouslyFormattedCitation":"(Giauque et al., 2019)"},"properties":{"noteIndex":0},"schema":"https://github.com/citation-style-language/schema/raw/master/csl-citation.json"}</w:instrText>
      </w:r>
      <w:r>
        <w:rPr>
          <w:bCs/>
        </w:rPr>
        <w:fldChar w:fldCharType="separate"/>
      </w:r>
      <w:r w:rsidRPr="005B4D69">
        <w:rPr>
          <w:bCs/>
          <w:noProof/>
        </w:rPr>
        <w:t>(Giauque et al., 2019)</w:t>
      </w:r>
      <w:r>
        <w:rPr>
          <w:bCs/>
        </w:rPr>
        <w:fldChar w:fldCharType="end"/>
      </w:r>
      <w:r>
        <w:rPr>
          <w:bCs/>
        </w:rPr>
        <w:t xml:space="preserve"> </w:t>
      </w:r>
    </w:p>
    <w:p w:rsidR="00AE5377" w:rsidRDefault="00AE5377" w:rsidP="00AE5377">
      <w:pPr>
        <w:rPr>
          <w:rFonts w:cstheme="minorHAnsi"/>
          <w:bCs/>
        </w:rPr>
      </w:pPr>
      <w:r>
        <w:rPr>
          <w:rFonts w:cstheme="minorHAnsi"/>
          <w:bCs/>
        </w:rPr>
        <w:t xml:space="preserve">Indole-3-acetic acid originated in ancient bacterial and was, apparently, horizontally transferred to land plants by </w:t>
      </w:r>
      <w:proofErr w:type="spellStart"/>
      <w:r>
        <w:rPr>
          <w:rFonts w:cstheme="minorHAnsi"/>
          <w:bCs/>
        </w:rPr>
        <w:t>algeae</w:t>
      </w:r>
      <w:proofErr w:type="spellEnd"/>
      <w:r>
        <w:rPr>
          <w:rFonts w:cstheme="minorHAnsi"/>
          <w:bCs/>
        </w:rPr>
        <w:t xml:space="preserve"> metabolism </w:t>
      </w:r>
      <w:r>
        <w:rPr>
          <w:rFonts w:cstheme="minorHAnsi"/>
          <w:bCs/>
        </w:rPr>
        <w:fldChar w:fldCharType="begin" w:fldLock="1"/>
      </w:r>
      <w:r>
        <w:rPr>
          <w:rFonts w:cstheme="minorHAnsi"/>
          <w:bCs/>
        </w:rPr>
        <w:instrText>ADDIN CSL_CITATION {"citationItems":[{"id":"ITEM-1","itemData":{"DOI":"10.1101/CSHPERSPECT.A040048","ISSN":"1943-0264","PMID":"33558368","abstract":"Indole-3-acetic acid, that is, auxin, is a molecule found in a broad phylogenetic distribution of organisms, from bacteria to eukaryotes. In the ancestral land plant auxin was co-opted to be the paramount phytohormone mediating tropic responses and acting as a facilitator of developmental decisions throughout the life cycle. The evolutionary origins of land plant auxin biology genes can now be traced with reasonable clarity. Genes encoding the two enzymes of the land plant auxin biosynthetic pathway arose in the ancestral land plant by a combina-tion of horizontal gene transfer from bacteria and possible neofunctionalization following gene duplication. Components of the auxin transcriptional signaling network have their origins in ancestral alga genes, with gene duplication and neofunctionalization of key domains allowing integration of a portion of the preexisting transcriptional network with auxin. Knowledge of the roles of orthologous genes in extant charophycean algae is lacking, but could illuminate the ancestral functions of both auxin and the co-opted transcriptional network.","author":[{"dropping-particle":"","family":"Bowman","given":"John L.","non-dropping-particle":"","parse-names":false,"suffix":""},{"dropping-particle":"","family":"Sandoval","given":"Eduardo Flores","non-dropping-particle":"","parse-names":false,"suffix":""},{"dropping-particle":"","family":"Kato","given":"Hirotaka","non-dropping-particle":"","parse-names":false,"suffix":""}],"container-title":"Cold Spring Harbor perspectives in biology","id":"ITEM-1","issue":"6","issued":{"date-parts":[["2021","6","1"]]},"publisher":"Cold Spring Harb Perspect Biol","title":"On the Evolutionary Origins of Land Plant Auxin Biology","type":"article-journal","volume":"13"},"uris":["http://www.mendeley.com/documents/?uuid=0d39def7-8bac-36a4-a3f4-ca7608d80b85"]}],"mendeley":{"formattedCitation":"(Bowman et al., 2021)","plainTextFormattedCitation":"(Bowman et al., 2021)","previouslyFormattedCitation":"(Bowman et al., 2021)"},"properties":{"noteIndex":0},"schema":"https://github.com/citation-style-language/schema/raw/master/csl-citation.json"}</w:instrText>
      </w:r>
      <w:r>
        <w:rPr>
          <w:rFonts w:cstheme="minorHAnsi"/>
          <w:bCs/>
        </w:rPr>
        <w:fldChar w:fldCharType="separate"/>
      </w:r>
      <w:r w:rsidRPr="00F759BC">
        <w:rPr>
          <w:rFonts w:cstheme="minorHAnsi"/>
          <w:bCs/>
          <w:noProof/>
        </w:rPr>
        <w:t>(Bowman et al., 2021)</w:t>
      </w:r>
      <w:r>
        <w:rPr>
          <w:rFonts w:cstheme="minorHAnsi"/>
          <w:bCs/>
        </w:rPr>
        <w:fldChar w:fldCharType="end"/>
      </w:r>
    </w:p>
    <w:p w:rsidR="008F504D" w:rsidRPr="00A64FDE" w:rsidRDefault="008F504D" w:rsidP="008F504D">
      <w:pPr>
        <w:rPr>
          <w:rFonts w:cstheme="minorHAnsi"/>
          <w:b/>
          <w:bCs/>
        </w:rPr>
      </w:pPr>
      <w:proofErr w:type="spellStart"/>
      <w:r w:rsidRPr="005B4D69">
        <w:rPr>
          <w:rFonts w:cstheme="minorHAnsi"/>
          <w:bCs/>
        </w:rPr>
        <w:t>Comamonadaceae</w:t>
      </w:r>
      <w:proofErr w:type="spellEnd"/>
      <w:r w:rsidRPr="005B4D69">
        <w:rPr>
          <w:rFonts w:cstheme="minorHAnsi"/>
          <w:bCs/>
        </w:rPr>
        <w:t xml:space="preserve"> (and </w:t>
      </w:r>
      <w:proofErr w:type="spellStart"/>
      <w:r w:rsidRPr="005B4D69">
        <w:rPr>
          <w:rFonts w:cstheme="minorHAnsi"/>
          <w:bCs/>
        </w:rPr>
        <w:t>rhizobiaceae</w:t>
      </w:r>
      <w:proofErr w:type="spellEnd"/>
      <w:r w:rsidRPr="005B4D69">
        <w:rPr>
          <w:rFonts w:cstheme="minorHAnsi"/>
          <w:bCs/>
        </w:rPr>
        <w:t xml:space="preserve">) acting as antifungal agents in root networks of </w:t>
      </w:r>
      <w:proofErr w:type="spellStart"/>
      <w:proofErr w:type="gramStart"/>
      <w:r w:rsidRPr="005B4D69">
        <w:rPr>
          <w:rFonts w:cstheme="minorHAnsi"/>
          <w:bCs/>
        </w:rPr>
        <w:t>A.thaliana</w:t>
      </w:r>
      <w:proofErr w:type="spellEnd"/>
      <w:r w:rsidRPr="005B4D69">
        <w:rPr>
          <w:rFonts w:cstheme="minorHAnsi"/>
          <w:b/>
          <w:bCs/>
        </w:rPr>
        <w:t>[</w:t>
      </w:r>
      <w:proofErr w:type="gramEnd"/>
      <w:r>
        <w:rPr>
          <w:rFonts w:cstheme="minorHAnsi"/>
          <w:b/>
          <w:bCs/>
        </w:rPr>
        <w:t>already cited in manuscript]</w:t>
      </w:r>
      <w:bookmarkStart w:id="9" w:name="_GoBack"/>
      <w:bookmarkEnd w:id="9"/>
      <w:r w:rsidRPr="005B4D69">
        <w:rPr>
          <w:rFonts w:cstheme="minorHAnsi"/>
          <w:bCs/>
        </w:rPr>
        <w:t xml:space="preserve"> </w:t>
      </w:r>
      <w:r>
        <w:rPr>
          <w:rFonts w:cstheme="minorHAnsi"/>
          <w:bCs/>
        </w:rPr>
        <w:t xml:space="preserve">in this </w:t>
      </w:r>
      <w:proofErr w:type="spellStart"/>
      <w:r>
        <w:rPr>
          <w:rFonts w:cstheme="minorHAnsi"/>
          <w:bCs/>
        </w:rPr>
        <w:t>eference</w:t>
      </w:r>
      <w:proofErr w:type="spellEnd"/>
      <w:r>
        <w:rPr>
          <w:rFonts w:cstheme="minorHAnsi"/>
          <w:bCs/>
        </w:rPr>
        <w:t xml:space="preserve"> negative co-</w:t>
      </w:r>
      <w:proofErr w:type="spellStart"/>
      <w:r>
        <w:rPr>
          <w:rFonts w:cstheme="minorHAnsi"/>
          <w:bCs/>
        </w:rPr>
        <w:t>occurences</w:t>
      </w:r>
      <w:proofErr w:type="spellEnd"/>
      <w:r>
        <w:rPr>
          <w:rFonts w:cstheme="minorHAnsi"/>
          <w:bCs/>
        </w:rPr>
        <w:t xml:space="preserve"> between </w:t>
      </w:r>
      <w:proofErr w:type="spellStart"/>
      <w:r>
        <w:rPr>
          <w:rFonts w:cstheme="minorHAnsi"/>
          <w:bCs/>
        </w:rPr>
        <w:t>comamonadace</w:t>
      </w:r>
      <w:proofErr w:type="spellEnd"/>
      <w:r>
        <w:rPr>
          <w:rFonts w:cstheme="minorHAnsi"/>
          <w:bCs/>
        </w:rPr>
        <w:t xml:space="preserve"> and pathogenic fungi were </w:t>
      </w:r>
      <w:proofErr w:type="spellStart"/>
      <w:r>
        <w:rPr>
          <w:rFonts w:cstheme="minorHAnsi"/>
          <w:bCs/>
        </w:rPr>
        <w:t>specially</w:t>
      </w:r>
      <w:proofErr w:type="spellEnd"/>
      <w:r>
        <w:rPr>
          <w:rFonts w:cstheme="minorHAnsi"/>
          <w:bCs/>
        </w:rPr>
        <w:t xml:space="preserve"> high. Follow-up strain based </w:t>
      </w:r>
      <w:proofErr w:type="spellStart"/>
      <w:r>
        <w:rPr>
          <w:rFonts w:cstheme="minorHAnsi"/>
          <w:bCs/>
        </w:rPr>
        <w:t>interkingdom</w:t>
      </w:r>
      <w:proofErr w:type="spellEnd"/>
      <w:r>
        <w:rPr>
          <w:rFonts w:cstheme="minorHAnsi"/>
          <w:bCs/>
        </w:rPr>
        <w:t xml:space="preserve"> reconstruction shows that strains from these groups have a significant, but not exclusive role in suppressing a wide range of fungal pathogens. Still, they can be classified as biocontrol candidates that </w:t>
      </w:r>
      <w:proofErr w:type="spellStart"/>
      <w:r>
        <w:rPr>
          <w:rFonts w:cstheme="minorHAnsi"/>
          <w:bCs/>
        </w:rPr>
        <w:t>steractc</w:t>
      </w:r>
      <w:proofErr w:type="spellEnd"/>
      <w:r>
        <w:rPr>
          <w:rFonts w:cstheme="minorHAnsi"/>
          <w:bCs/>
        </w:rPr>
        <w:t xml:space="preserve"> strongly with the rest of the bacterial community to, together, suppress fungal pathogens.</w:t>
      </w:r>
    </w:p>
    <w:p w:rsidR="008F504D" w:rsidRPr="005B4D69" w:rsidRDefault="008F504D" w:rsidP="00AE5377">
      <w:pPr>
        <w:rPr>
          <w:rFonts w:cstheme="minorHAnsi"/>
          <w:bCs/>
        </w:rPr>
      </w:pPr>
    </w:p>
    <w:p w:rsidR="00AE5377" w:rsidRDefault="00AE5377" w:rsidP="00B40E8B">
      <w:pPr>
        <w:rPr>
          <w:bCs/>
        </w:rPr>
      </w:pPr>
    </w:p>
    <w:p w:rsidR="00B40E8B" w:rsidRDefault="00B40E8B" w:rsidP="00B40E8B">
      <w:pPr>
        <w:rPr>
          <w:bCs/>
        </w:rPr>
      </w:pPr>
    </w:p>
    <w:p w:rsidR="00B40E8B" w:rsidRDefault="00B40E8B"/>
    <w:sectPr w:rsidR="00B40E8B">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dro" w:date="2022-08-05T15:40:00Z" w:initials="p">
    <w:p w:rsidR="0014691F" w:rsidRDefault="0014691F" w:rsidP="0014691F">
      <w:pPr>
        <w:pStyle w:val="CommentText"/>
      </w:pPr>
      <w:r>
        <w:rPr>
          <w:rStyle w:val="CommentReference"/>
        </w:rPr>
        <w:annotationRef/>
      </w:r>
      <w:r>
        <w:t>Got to check for that</w:t>
      </w:r>
    </w:p>
  </w:comment>
  <w:comment w:id="1" w:author="pedro" w:date="2022-08-05T17:13:00Z" w:initials="p">
    <w:p w:rsidR="006D0D40" w:rsidRDefault="006D0D40" w:rsidP="006D0D40">
      <w:pPr>
        <w:pStyle w:val="CommentText"/>
      </w:pPr>
      <w:r>
        <w:rPr>
          <w:rStyle w:val="CommentReference"/>
        </w:rPr>
        <w:annotationRef/>
      </w:r>
      <w:r>
        <w:t>I have to better mix this results with the fisher heat trees</w:t>
      </w:r>
    </w:p>
  </w:comment>
  <w:comment w:id="2" w:author="pedro" w:date="2022-08-05T17:17:00Z" w:initials="p">
    <w:p w:rsidR="00BB6A1B" w:rsidRDefault="00BB6A1B" w:rsidP="00BB6A1B">
      <w:pPr>
        <w:pStyle w:val="CommentText"/>
      </w:pPr>
      <w:r>
        <w:rPr>
          <w:rStyle w:val="CommentReference"/>
        </w:rPr>
        <w:annotationRef/>
      </w:r>
      <w:r>
        <w:t>Should we leave this kind of stuff in a box? It might be better placed in methods?</w:t>
      </w:r>
    </w:p>
  </w:comment>
  <w:comment w:id="3" w:author="Beschoren da Costa, Pedro" w:date="2022-08-05T17:18:00Z" w:initials="BdCP">
    <w:p w:rsidR="00BB6A1B" w:rsidRDefault="00BB6A1B" w:rsidP="00BB6A1B">
      <w:pPr>
        <w:pStyle w:val="CommentText"/>
      </w:pPr>
      <w:r>
        <w:rPr>
          <w:rStyle w:val="CommentReference"/>
        </w:rPr>
        <w:annotationRef/>
      </w:r>
      <w:r>
        <w:t xml:space="preserve">I need help from </w:t>
      </w:r>
      <w:proofErr w:type="spellStart"/>
      <w:r>
        <w:t>Chrasts</w:t>
      </w:r>
      <w:proofErr w:type="spellEnd"/>
      <w:r>
        <w:t xml:space="preserve"> here; maybe I won’t even mention this</w:t>
      </w:r>
    </w:p>
  </w:comment>
  <w:comment w:id="4" w:author="pedro" w:date="2022-08-05T17:28:00Z" w:initials="p">
    <w:p w:rsidR="00830CAE" w:rsidRDefault="00830CAE" w:rsidP="00830CAE">
      <w:pPr>
        <w:pStyle w:val="CommentText"/>
      </w:pPr>
      <w:r>
        <w:rPr>
          <w:rStyle w:val="CommentReference"/>
        </w:rPr>
        <w:annotationRef/>
      </w:r>
      <w:r>
        <w:t>This paragraph is largely descriptive. It highlights the keystone taxa that also had other classifications</w:t>
      </w:r>
    </w:p>
  </w:comment>
  <w:comment w:id="5" w:author="pedro" w:date="2022-08-05T17:35:00Z" w:initials="p">
    <w:p w:rsidR="00830CAE" w:rsidRDefault="00830CAE" w:rsidP="00830CAE">
      <w:pPr>
        <w:pStyle w:val="CommentText"/>
      </w:pPr>
      <w:r>
        <w:rPr>
          <w:rStyle w:val="CommentReference"/>
        </w:rPr>
        <w:annotationRef/>
      </w:r>
      <w:r>
        <w:t xml:space="preserve">I should better explore the composition of these modules, there is rather little mentions of </w:t>
      </w:r>
      <w:proofErr w:type="spellStart"/>
      <w:r>
        <w:t>MeJA</w:t>
      </w:r>
      <w:proofErr w:type="spellEnd"/>
      <w:r>
        <w:t xml:space="preserve"> effects across the paper!</w:t>
      </w:r>
    </w:p>
  </w:comment>
  <w:comment w:id="6" w:author="pedro" w:date="2022-08-05T17:35:00Z" w:initials="p">
    <w:p w:rsidR="00830CAE" w:rsidRDefault="00830CAE" w:rsidP="00830CAE">
      <w:pPr>
        <w:pStyle w:val="CommentText"/>
      </w:pPr>
      <w:r>
        <w:rPr>
          <w:rStyle w:val="CommentReference"/>
        </w:rPr>
        <w:annotationRef/>
      </w:r>
      <w:r>
        <w:t>What taxonomies do they have in common? How are they different from other modules? Are they specially diverse? At which taxa level?</w:t>
      </w:r>
    </w:p>
    <w:p w:rsidR="00830CAE" w:rsidRDefault="00830CAE" w:rsidP="00830CAE">
      <w:pPr>
        <w:pStyle w:val="CommentText"/>
      </w:pPr>
    </w:p>
    <w:p w:rsidR="00830CAE" w:rsidRDefault="00830CAE" w:rsidP="00830CAE">
      <w:pPr>
        <w:pStyle w:val="CommentText"/>
      </w:pPr>
      <w:r>
        <w:t>Add module number to taxonomies</w:t>
      </w:r>
    </w:p>
  </w:comment>
  <w:comment w:id="7" w:author="pedro" w:date="2022-08-05T17:35:00Z" w:initials="p">
    <w:p w:rsidR="00830CAE" w:rsidRDefault="00830CAE" w:rsidP="00830CAE">
      <w:pPr>
        <w:pStyle w:val="CommentText"/>
      </w:pPr>
      <w:r>
        <w:rPr>
          <w:rStyle w:val="CommentReference"/>
        </w:rPr>
        <w:annotationRef/>
      </w:r>
      <w:r>
        <w:t xml:space="preserve">Interesting but we must focus the results into direct </w:t>
      </w:r>
      <w:proofErr w:type="spellStart"/>
      <w:r>
        <w:t>meJA</w:t>
      </w:r>
      <w:proofErr w:type="spellEnd"/>
      <w:r>
        <w:t xml:space="preserve"> responses</w:t>
      </w:r>
    </w:p>
  </w:comment>
  <w:comment w:id="8" w:author="pedro" w:date="2022-08-05T17:35:00Z" w:initials="p">
    <w:p w:rsidR="00830CAE" w:rsidRDefault="00830CAE" w:rsidP="00830CAE">
      <w:pPr>
        <w:pStyle w:val="CommentText"/>
      </w:pPr>
      <w:r>
        <w:rPr>
          <w:rStyle w:val="CommentReference"/>
        </w:rPr>
        <w:annotationRef/>
      </w:r>
      <w:r>
        <w:t xml:space="preserve">I might put this in the discussion, not results, as </w:t>
      </w:r>
      <w:proofErr w:type="spellStart"/>
      <w:r>
        <w:t>mucilaginibacter</w:t>
      </w:r>
      <w:proofErr w:type="spellEnd"/>
      <w:r>
        <w:t xml:space="preserve"> is highlighted in our fisher summarization method. Also, this is not compared to the roles of other genera in the network. How many nodes and modules are related to for example bacillus?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CA8"/>
    <w:rsid w:val="000545B2"/>
    <w:rsid w:val="0014691F"/>
    <w:rsid w:val="002865C8"/>
    <w:rsid w:val="00534822"/>
    <w:rsid w:val="0060503B"/>
    <w:rsid w:val="006D0D40"/>
    <w:rsid w:val="00704F5B"/>
    <w:rsid w:val="007A40EF"/>
    <w:rsid w:val="00830CAE"/>
    <w:rsid w:val="00864DFF"/>
    <w:rsid w:val="008F504D"/>
    <w:rsid w:val="008F59CD"/>
    <w:rsid w:val="00AE5377"/>
    <w:rsid w:val="00B40E8B"/>
    <w:rsid w:val="00BB6A1B"/>
    <w:rsid w:val="00C72CA8"/>
    <w:rsid w:val="00D94331"/>
    <w:rsid w:val="00DF1A3B"/>
    <w:rsid w:val="00EC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40EF"/>
    <w:rPr>
      <w:sz w:val="16"/>
      <w:szCs w:val="16"/>
    </w:rPr>
  </w:style>
  <w:style w:type="paragraph" w:styleId="CommentText">
    <w:name w:val="annotation text"/>
    <w:basedOn w:val="Normal"/>
    <w:link w:val="CommentTextChar"/>
    <w:uiPriority w:val="99"/>
    <w:semiHidden/>
    <w:unhideWhenUsed/>
    <w:rsid w:val="007A40EF"/>
    <w:pPr>
      <w:spacing w:line="240" w:lineRule="auto"/>
    </w:pPr>
    <w:rPr>
      <w:sz w:val="20"/>
      <w:szCs w:val="20"/>
    </w:rPr>
  </w:style>
  <w:style w:type="character" w:customStyle="1" w:styleId="CommentTextChar">
    <w:name w:val="Comment Text Char"/>
    <w:basedOn w:val="DefaultParagraphFont"/>
    <w:link w:val="CommentText"/>
    <w:uiPriority w:val="99"/>
    <w:semiHidden/>
    <w:rsid w:val="007A40EF"/>
    <w:rPr>
      <w:sz w:val="20"/>
      <w:szCs w:val="20"/>
    </w:rPr>
  </w:style>
  <w:style w:type="paragraph" w:styleId="BalloonText">
    <w:name w:val="Balloon Text"/>
    <w:basedOn w:val="Normal"/>
    <w:link w:val="BalloonTextChar"/>
    <w:uiPriority w:val="99"/>
    <w:semiHidden/>
    <w:unhideWhenUsed/>
    <w:rsid w:val="007A4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0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40EF"/>
    <w:rPr>
      <w:sz w:val="16"/>
      <w:szCs w:val="16"/>
    </w:rPr>
  </w:style>
  <w:style w:type="paragraph" w:styleId="CommentText">
    <w:name w:val="annotation text"/>
    <w:basedOn w:val="Normal"/>
    <w:link w:val="CommentTextChar"/>
    <w:uiPriority w:val="99"/>
    <w:semiHidden/>
    <w:unhideWhenUsed/>
    <w:rsid w:val="007A40EF"/>
    <w:pPr>
      <w:spacing w:line="240" w:lineRule="auto"/>
    </w:pPr>
    <w:rPr>
      <w:sz w:val="20"/>
      <w:szCs w:val="20"/>
    </w:rPr>
  </w:style>
  <w:style w:type="character" w:customStyle="1" w:styleId="CommentTextChar">
    <w:name w:val="Comment Text Char"/>
    <w:basedOn w:val="DefaultParagraphFont"/>
    <w:link w:val="CommentText"/>
    <w:uiPriority w:val="99"/>
    <w:semiHidden/>
    <w:rsid w:val="007A40EF"/>
    <w:rPr>
      <w:sz w:val="20"/>
      <w:szCs w:val="20"/>
    </w:rPr>
  </w:style>
  <w:style w:type="paragraph" w:styleId="BalloonText">
    <w:name w:val="Balloon Text"/>
    <w:basedOn w:val="Normal"/>
    <w:link w:val="BalloonTextChar"/>
    <w:uiPriority w:val="99"/>
    <w:semiHidden/>
    <w:unhideWhenUsed/>
    <w:rsid w:val="007A4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0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412483FFC35649B797435CD3F0398D" ma:contentTypeVersion="16" ma:contentTypeDescription="Create a new document." ma:contentTypeScope="" ma:versionID="d1ef06f25ed612914346073c669f3d57">
  <xsd:schema xmlns:xsd="http://www.w3.org/2001/XMLSchema" xmlns:xs="http://www.w3.org/2001/XMLSchema" xmlns:p="http://schemas.microsoft.com/office/2006/metadata/properties" xmlns:ns2="c547a812-ac17-4a6a-8bd9-a75acfa31021" xmlns:ns3="814e9f69-708b-42d1-b772-2ece2c1b39da" targetNamespace="http://schemas.microsoft.com/office/2006/metadata/properties" ma:root="true" ma:fieldsID="8df51d0651151a8208a9da934d0771e3" ns2:_="" ns3:_="">
    <xsd:import namespace="c547a812-ac17-4a6a-8bd9-a75acfa31021"/>
    <xsd:import namespace="814e9f69-708b-42d1-b772-2ece2c1b39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7a812-ac17-4a6a-8bd9-a75acfa31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e9f69-708b-42d1-b772-2ece2c1b39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9faeb6-52d7-4144-9b03-0dbc3402ce3f}" ma:internalName="TaxCatchAll" ma:showField="CatchAllData" ma:web="814e9f69-708b-42d1-b772-2ece2c1b39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9BB1A8-A2FE-4A41-B560-DABE51110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7a812-ac17-4a6a-8bd9-a75acfa31021"/>
    <ds:schemaRef ds:uri="814e9f69-708b-42d1-b772-2ece2c1b3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CEBC9B-9A76-4482-8B1A-93955FDC7A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6194</Words>
  <Characters>35312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8</cp:revision>
  <dcterms:created xsi:type="dcterms:W3CDTF">2022-08-05T10:33:00Z</dcterms:created>
  <dcterms:modified xsi:type="dcterms:W3CDTF">2022-08-15T19:40:00Z</dcterms:modified>
</cp:coreProperties>
</file>