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Table X. PERMANOVA for Plant Phytohormones</w:t>
            </w:r>
          </w:p>
        </w:tc>
      </w:tr>
      <w:tr>
        <w:trPr>
          <w:trHeight w:val="360" w:hRule="auto"/>
          <w:tblHeader/>
        </w:trPr>
        header2
        <w:tc>
          <w:tcPr>
            <w:gridSpan w:val="6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Feedback phase</w:t>
            </w:r>
          </w:p>
        </w:tc>
      </w:tr>
      <w:tr>
        <w:trPr>
          <w:trHeight w:val="360" w:hRule="auto"/>
          <w:tblHeader/>
        </w:trPr>
        header3
        <w:tc>
          <w:tcPr>
            <w:gridSpan w:val="6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DistanceMatrix~soil_inocula+herbivory+Experiment</w:t>
            </w:r>
          </w:p>
        </w:tc>
      </w:tr>
      <w:tr>
        <w:trPr>
          <w:trHeight w:val="360" w:hRule="auto"/>
          <w:tblHeader/>
        </w:trPr>
        header4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SumOfSqs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vertAlign w:val="superscript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Experiment(E)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32.72439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0.04812411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13.589241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14.11573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0.02075842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2.930872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235.82166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0.34679656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48.964046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397.33822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0.58432091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680.00000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1.00000000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999 number of permutations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2024-11-27T17:01:14Z</dcterms:modified>
  <cp:category/>
</cp:coreProperties>
</file>