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i w:val="0"/>
          <w:color w:val="000000"/>
          <w:sz w:val="20"/>
        </w:rPr>
        <w:t>NOTE D'HYPOTHÈSES</w:t>
      </w:r>
    </w:p>
    <w:p>
      <w:pPr>
        <w:jc w:val="center"/>
      </w:pPr>
      <w:r>
        <w:rPr>
          <w:rFonts w:ascii="Arial" w:hAnsi="Arial" w:cs="Arial" w:eastAsia="Arial"/>
          <w:b w:val="0"/>
          <w:i w:val="0"/>
          <w:color w:val="000000"/>
          <w:sz w:val="20"/>
        </w:rPr>
        <w:t>DALLE-APPUYEE-01 (dalle_appuyee_01)</w:t>
      </w:r>
    </w:p>
    <w:p>
      <w:pPr>
        <w:pStyle w:val="Heading1"/>
      </w:pPr>
      <w:r>
        <w:rPr>
          <w:rFonts w:ascii="Arial" w:hAnsi="Arial" w:cs="Arial" w:eastAsia="Arial"/>
          <w:b/>
          <w:i w:val="0"/>
          <w:color w:val="000000"/>
          <w:sz w:val="20"/>
        </w:rPr>
        <w:t>1. En-tête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Ouvrage</w:t>
            </w:r>
          </w:p>
        </w:tc>
        <w:tc>
          <w:tcPr>
            <w:tcW w:type="dxa" w:w="6803"/>
          </w:tcPr>
          <w:p>
            <w:pPr>
              <w:spacing w:after="20"/>
            </w:pPr>
            <w:r>
              <w:rPr>
                <w:rFonts w:ascii="Arial" w:hAnsi="Arial" w:cs="Arial" w:eastAsia="Arial"/>
                <w:b w:val="0"/>
                <w:i w:val="0"/>
                <w:color w:val="000000"/>
                <w:sz w:val="20"/>
              </w:rPr>
              <w:t>DALLE-APPUYEE-01</w:t>
            </w:r>
          </w:p>
        </w:tc>
      </w:tr>
      <w:tr>
        <w:trPr>
          <w:cantSplit/>
        </w:trPr>
        <w:tc>
          <w:tcPr>
            <w:tcW w:type="dxa" w:w="2835"/>
          </w:tcPr>
          <w:p>
            <w:pPr>
              <w:spacing w:after="20"/>
            </w:pPr>
            <w:r>
              <w:rPr>
                <w:rFonts w:ascii="Arial" w:hAnsi="Arial" w:cs="Arial" w:eastAsia="Arial"/>
                <w:b w:val="0"/>
                <w:i w:val="0"/>
                <w:color w:val="000000"/>
                <w:sz w:val="20"/>
              </w:rPr>
              <w:t>Projet</w:t>
            </w:r>
          </w:p>
        </w:tc>
        <w:tc>
          <w:tcPr>
            <w:tcW w:type="dxa" w:w="6803"/>
          </w:tcPr>
          <w:p>
            <w:pPr>
              <w:spacing w:after="20"/>
            </w:pPr>
            <w:r>
              <w:rPr>
                <w:rFonts w:ascii="Arial" w:hAnsi="Arial" w:cs="Arial" w:eastAsia="Arial"/>
                <w:b w:val="0"/>
                <w:i w:val="0"/>
                <w:color w:val="000000"/>
                <w:sz w:val="20"/>
              </w:rPr>
              <w:t>dalle_appuyee_01</w:t>
            </w:r>
          </w:p>
        </w:tc>
      </w:tr>
      <w:tr>
        <w:trPr>
          <w:cantSplit/>
        </w:trPr>
        <w:tc>
          <w:tcPr>
            <w:tcW w:type="dxa" w:w="2835"/>
          </w:tcPr>
          <w:p>
            <w:pPr>
              <w:spacing w:after="20"/>
            </w:pPr>
            <w:r>
              <w:rPr>
                <w:rFonts w:ascii="Arial" w:hAnsi="Arial" w:cs="Arial" w:eastAsia="Arial"/>
                <w:b w:val="0"/>
                <w:i w:val="0"/>
                <w:color w:val="000000"/>
                <w:sz w:val="20"/>
              </w:rPr>
              <w:t>Fiche</w:t>
            </w:r>
          </w:p>
        </w:tc>
        <w:tc>
          <w:tcPr>
            <w:tcW w:type="dxa" w:w="6803"/>
          </w:tcPr>
          <w:p>
            <w:pPr>
              <w:spacing w:after="20"/>
            </w:pPr>
            <w:r>
              <w:rPr>
                <w:rFonts w:ascii="Arial" w:hAnsi="Arial" w:cs="Arial" w:eastAsia="Arial"/>
                <w:b w:val="0"/>
                <w:i w:val="0"/>
                <w:color w:val="000000"/>
                <w:sz w:val="20"/>
              </w:rPr>
              <w:t>DALLE-APPUYEE-01</w:t>
            </w:r>
          </w:p>
        </w:tc>
      </w:tr>
      <w:tr>
        <w:trPr>
          <w:cantSplit/>
        </w:trPr>
        <w:tc>
          <w:tcPr>
            <w:tcW w:type="dxa" w:w="2835"/>
          </w:tcPr>
          <w:p>
            <w:pPr>
              <w:spacing w:after="20"/>
            </w:pPr>
            <w:r>
              <w:rPr>
                <w:rFonts w:ascii="Arial" w:hAnsi="Arial" w:cs="Arial" w:eastAsia="Arial"/>
                <w:b w:val="0"/>
                <w:i w:val="0"/>
                <w:color w:val="000000"/>
                <w:sz w:val="20"/>
              </w:rPr>
              <w:t>Date de génération</w:t>
            </w:r>
          </w:p>
        </w:tc>
        <w:tc>
          <w:tcPr>
            <w:tcW w:type="dxa" w:w="6803"/>
          </w:tcPr>
          <w:p>
            <w:pPr>
              <w:spacing w:after="20"/>
            </w:pPr>
            <w:r>
              <w:rPr>
                <w:rFonts w:ascii="Arial" w:hAnsi="Arial" w:cs="Arial" w:eastAsia="Arial"/>
                <w:b w:val="0"/>
                <w:i w:val="0"/>
                <w:color w:val="000000"/>
                <w:sz w:val="20"/>
              </w:rPr>
              <w:t>2026-10-08</w:t>
            </w:r>
          </w:p>
        </w:tc>
      </w:tr>
      <w:tr>
        <w:trPr>
          <w:cantSplit/>
        </w:trPr>
        <w:tc>
          <w:tcPr>
            <w:tcW w:type="dxa" w:w="2835"/>
          </w:tcPr>
          <w:p>
            <w:pPr>
              <w:spacing w:after="20"/>
            </w:pPr>
            <w:r>
              <w:rPr>
                <w:rFonts w:ascii="Arial" w:hAnsi="Arial" w:cs="Arial" w:eastAsia="Arial"/>
                <w:b w:val="0"/>
                <w:i w:val="0"/>
                <w:color w:val="000000"/>
                <w:sz w:val="20"/>
              </w:rPr>
              <w:t>Code_Aster</w:t>
            </w:r>
          </w:p>
        </w:tc>
        <w:tc>
          <w:tcPr>
            <w:tcW w:type="dxa" w:w="6803"/>
          </w:tcPr>
          <w:p>
            <w:pPr>
              <w:spacing w:after="20"/>
            </w:pPr>
            <w:r>
              <w:rPr>
                <w:rFonts w:ascii="Arial" w:hAnsi="Arial" w:cs="Arial" w:eastAsia="Arial"/>
                <w:b w:val="0"/>
                <w:i w:val="0"/>
                <w:color w:val="000000"/>
                <w:sz w:val="20"/>
              </w:rPr>
              <w:t>17.4.0</w:t>
            </w:r>
          </w:p>
        </w:tc>
      </w:tr>
      <w:tr>
        <w:trPr>
          <w:cantSplit/>
        </w:trPr>
        <w:tc>
          <w:tcPr>
            <w:tcW w:type="dxa" w:w="2835"/>
          </w:tcPr>
          <w:p>
            <w:pPr>
              <w:spacing w:after="20"/>
            </w:pPr>
            <w:r>
              <w:rPr>
                <w:rFonts w:ascii="Arial" w:hAnsi="Arial" w:cs="Arial" w:eastAsia="Arial"/>
                <w:b w:val="0"/>
                <w:i w:val="0"/>
                <w:color w:val="000000"/>
                <w:sz w:val="20"/>
              </w:rPr>
              <w:t>Digest de l'image</w:t>
            </w:r>
          </w:p>
        </w:tc>
        <w:tc>
          <w:tcPr>
            <w:tcW w:type="dxa" w:w="6803"/>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2835"/>
          </w:tcPr>
          <w:p>
            <w:pPr>
              <w:spacing w:after="20"/>
            </w:pPr>
            <w:r>
              <w:rPr>
                <w:rFonts w:ascii="Arial" w:hAnsi="Arial" w:cs="Arial" w:eastAsia="Arial"/>
                <w:b w:val="0"/>
                <w:i w:val="0"/>
                <w:color w:val="000000"/>
                <w:sz w:val="20"/>
              </w:rPr>
              <w:t>Empreinte de la fiche (SHA-256)</w:t>
            </w:r>
          </w:p>
        </w:tc>
        <w:tc>
          <w:tcPr>
            <w:tcW w:type="dxa" w:w="6803"/>
          </w:tcPr>
          <w:p>
            <w:pPr>
              <w:spacing w:after="20"/>
            </w:pPr>
            <w:r>
              <w:rPr>
                <w:rFonts w:ascii="Arial" w:hAnsi="Arial" w:cs="Arial" w:eastAsia="Arial"/>
                <w:b w:val="0"/>
                <w:i w:val="0"/>
                <w:color w:val="000000"/>
                <w:sz w:val="20"/>
              </w:rPr>
              <w:t>9305d12b2aa869cc32f47df634a25211f4b478159ed62a31cf1ea5b3640a57bf</w:t>
            </w:r>
          </w:p>
        </w:tc>
      </w:tr>
      <w:tr>
        <w:trPr>
          <w:cantSplit/>
        </w:trPr>
        <w:tc>
          <w:tcPr>
            <w:tcW w:type="dxa" w:w="2835"/>
          </w:tcPr>
          <w:p>
            <w:pPr>
              <w:spacing w:after="20"/>
            </w:pPr>
            <w:r>
              <w:rPr>
                <w:rFonts w:ascii="Arial" w:hAnsi="Arial" w:cs="Arial" w:eastAsia="Arial"/>
                <w:b w:val="0"/>
                <w:i w:val="0"/>
                <w:color w:val="000000"/>
                <w:sz w:val="20"/>
              </w:rPr>
              <w:t>Empreinte des données (SHA-256)</w:t>
            </w:r>
          </w:p>
        </w:tc>
        <w:tc>
          <w:tcPr>
            <w:tcW w:type="dxa" w:w="6803"/>
          </w:tcPr>
          <w:p>
            <w:pPr>
              <w:spacing w:after="20"/>
            </w:pPr>
            <w:r>
              <w:rPr>
                <w:rFonts w:ascii="Arial" w:hAnsi="Arial" w:cs="Arial" w:eastAsia="Arial"/>
                <w:b w:val="0"/>
                <w:i w:val="0"/>
                <w:color w:val="000000"/>
                <w:sz w:val="20"/>
              </w:rPr>
              <w:t>0e8a787373d5adc798e8321a7cd518a2f3476dea356a4809295812934a7d9db2</w:t>
            </w:r>
          </w:p>
        </w:tc>
      </w:tr>
      <w:tr>
        <w:trPr>
          <w:cantSplit/>
        </w:trPr>
        <w:tc>
          <w:tcPr>
            <w:tcW w:type="dxa" w:w="2835"/>
          </w:tcPr>
          <w:p>
            <w:pPr>
              <w:spacing w:after="20"/>
            </w:pPr>
            <w:r>
              <w:rPr>
                <w:rFonts w:ascii="Arial" w:hAnsi="Arial" w:cs="Arial" w:eastAsia="Arial"/>
                <w:b w:val="0"/>
                <w:i w:val="0"/>
                <w:color w:val="000000"/>
                <w:sz w:val="20"/>
              </w:rPr>
              <w:t>Commit du dépôt à la génération</w:t>
            </w:r>
          </w:p>
        </w:tc>
        <w:tc>
          <w:tcPr>
            <w:tcW w:type="dxa" w:w="6803"/>
          </w:tcPr>
          <w:p>
            <w:pPr>
              <w:spacing w:after="20"/>
            </w:pPr>
            <w:r>
              <w:rPr>
                <w:rFonts w:ascii="Arial" w:hAnsi="Arial" w:cs="Arial" w:eastAsia="Arial"/>
                <w:b w:val="0"/>
                <w:i w:val="0"/>
                <w:color w:val="000000"/>
                <w:sz w:val="20"/>
              </w:rPr>
              <w:t>59bc038395cb60c917f2b1bae56f4e22db2dd772</w:t>
            </w:r>
          </w:p>
        </w:tc>
      </w:tr>
      <w:tr>
        <w:trPr>
          <w:cantSplit/>
        </w:trPr>
        <w:tc>
          <w:tcPr>
            <w:tcW w:type="dxa" w:w="2835"/>
          </w:tcPr>
          <w:p>
            <w:pPr>
              <w:spacing w:after="20"/>
            </w:pPr>
            <w:r>
              <w:rPr>
                <w:rFonts w:ascii="Arial" w:hAnsi="Arial" w:cs="Arial" w:eastAsia="Arial"/>
                <w:b w:val="0"/>
                <w:i w:val="0"/>
                <w:color w:val="000000"/>
                <w:sz w:val="20"/>
              </w:rPr>
              <w:t>Empreinte du .comm de l'exécution décrite (SHA-256)</w:t>
            </w:r>
          </w:p>
        </w:tc>
        <w:tc>
          <w:tcPr>
            <w:tcW w:type="dxa" w:w="6803"/>
          </w:tcPr>
          <w:p>
            <w:pPr>
              <w:spacing w:after="20"/>
            </w:pPr>
            <w:r>
              <w:rPr>
                <w:rFonts w:ascii="Arial" w:hAnsi="Arial" w:cs="Arial" w:eastAsia="Arial"/>
                <w:b w:val="0"/>
                <w:i w:val="0"/>
                <w:color w:val="000000"/>
                <w:sz w:val="20"/>
              </w:rPr>
              <w:t>70ae851c380a4dad612adad6962b2611feea61485fe096aeb533e39d75e09848</w:t>
            </w:r>
          </w:p>
        </w:tc>
      </w:tr>
      <w:tr>
        <w:trPr>
          <w:cantSplit/>
        </w:trPr>
        <w:tc>
          <w:tcPr>
            <w:tcW w:type="dxa" w:w="2835"/>
          </w:tcPr>
          <w:p>
            <w:pPr>
              <w:spacing w:after="20"/>
            </w:pPr>
            <w:r>
              <w:rPr>
                <w:rFonts w:ascii="Arial" w:hAnsi="Arial" w:cs="Arial" w:eastAsia="Arial"/>
                <w:b w:val="0"/>
                <w:i w:val="0"/>
                <w:color w:val="000000"/>
                <w:sz w:val="20"/>
              </w:rPr>
              <w:t>Empreinte du maillage (SHA-256)</w:t>
            </w:r>
          </w:p>
        </w:tc>
        <w:tc>
          <w:tcPr>
            <w:tcW w:type="dxa" w:w="6803"/>
          </w:tcPr>
          <w:p>
            <w:pPr>
              <w:spacing w:after="20"/>
            </w:pPr>
            <w:r>
              <w:rPr>
                <w:rFonts w:ascii="Arial" w:hAnsi="Arial" w:cs="Arial" w:eastAsia="Arial"/>
                <w:b w:val="0"/>
                <w:i w:val="0"/>
                <w:color w:val="000000"/>
                <w:sz w:val="20"/>
              </w:rPr>
              <w:t>0a3868d78543f1db72b01c1d7e90fe9af6a31780ff2af0a81dc83ad7ade9737e</w:t>
            </w:r>
          </w:p>
        </w:tc>
      </w:tr>
      <w:tr>
        <w:trPr>
          <w:cantSplit/>
        </w:trPr>
        <w:tc>
          <w:tcPr>
            <w:tcW w:type="dxa" w:w="2835"/>
          </w:tcPr>
          <w:p>
            <w:pPr>
              <w:spacing w:after="20"/>
            </w:pPr>
            <w:r>
              <w:rPr>
                <w:rFonts w:ascii="Arial" w:hAnsi="Arial" w:cs="Arial" w:eastAsia="Arial"/>
                <w:b w:val="0"/>
                <w:i w:val="0"/>
                <w:color w:val="000000"/>
                <w:sz w:val="20"/>
              </w:rPr>
              <w:t>Empreinte du compte rendu d'exécution (SHA-256)</w:t>
            </w:r>
          </w:p>
        </w:tc>
        <w:tc>
          <w:tcPr>
            <w:tcW w:type="dxa" w:w="6803"/>
          </w:tcPr>
          <w:p>
            <w:pPr>
              <w:spacing w:after="20"/>
            </w:pPr>
            <w:r>
              <w:rPr>
                <w:rFonts w:ascii="Arial" w:hAnsi="Arial" w:cs="Arial" w:eastAsia="Arial"/>
                <w:b w:val="0"/>
                <w:i w:val="0"/>
                <w:color w:val="000000"/>
                <w:sz w:val="20"/>
              </w:rPr>
              <w:t>d9e7497ee7b98089ec10b66cecd2a57555c4896676689102b7d5e2260f6dea31</w:t>
            </w:r>
          </w:p>
        </w:tc>
      </w:tr>
      <w:tr>
        <w:trPr>
          <w:cantSplit/>
        </w:trPr>
        <w:tc>
          <w:tcPr>
            <w:tcW w:type="dxa" w:w="2835"/>
          </w:tcPr>
          <w:p>
            <w:pPr>
              <w:spacing w:after="20"/>
            </w:pPr>
            <w:r>
              <w:rPr>
                <w:rFonts w:ascii="Arial" w:hAnsi="Arial" w:cs="Arial" w:eastAsia="Arial"/>
                <w:b w:val="0"/>
                <w:i w:val="0"/>
                <w:color w:val="000000"/>
                <w:sz w:val="20"/>
              </w:rPr>
              <w:t>Empreinte de la fiche à l'exportation du paquet (SHA-256)</w:t>
            </w:r>
          </w:p>
        </w:tc>
        <w:tc>
          <w:tcPr>
            <w:tcW w:type="dxa" w:w="6803"/>
          </w:tcPr>
          <w:p>
            <w:pPr>
              <w:spacing w:after="20"/>
            </w:pPr>
            <w:r>
              <w:rPr>
                <w:rFonts w:ascii="Arial" w:hAnsi="Arial" w:cs="Arial" w:eastAsia="Arial"/>
                <w:b w:val="0"/>
                <w:i w:val="0"/>
                <w:color w:val="000000"/>
                <w:sz w:val="20"/>
              </w:rPr>
              <w:t>9305d12b2aa869cc32f47df634a25211f4b478159ed62a31cf1ea5b3640a57bf</w:t>
            </w:r>
          </w:p>
        </w:tc>
      </w:tr>
      <w:tr>
        <w:trPr>
          <w:cantSplit/>
        </w:trPr>
        <w:tc>
          <w:tcPr>
            <w:tcW w:type="dxa" w:w="2835"/>
          </w:tcPr>
          <w:p>
            <w:pPr>
              <w:spacing w:after="20"/>
            </w:pPr>
            <w:r>
              <w:rPr>
                <w:rFonts w:ascii="Arial" w:hAnsi="Arial" w:cs="Arial" w:eastAsia="Arial"/>
                <w:b w:val="0"/>
                <w:i w:val="0"/>
                <w:color w:val="000000"/>
                <w:sz w:val="20"/>
              </w:rPr>
              <w:t>Empreinte des données à l'exportation du paquet (SHA-256)</w:t>
            </w:r>
          </w:p>
        </w:tc>
        <w:tc>
          <w:tcPr>
            <w:tcW w:type="dxa" w:w="6803"/>
          </w:tcPr>
          <w:p>
            <w:pPr>
              <w:spacing w:after="20"/>
            </w:pPr>
            <w:r>
              <w:rPr>
                <w:rFonts w:ascii="Arial" w:hAnsi="Arial" w:cs="Arial" w:eastAsia="Arial"/>
                <w:b w:val="0"/>
                <w:i w:val="0"/>
                <w:color w:val="000000"/>
                <w:sz w:val="20"/>
              </w:rPr>
              <w:t>0e8a787373d5adc798e8321a7cd518a2f3476dea356a4809295812934a7d9db2</w:t>
            </w:r>
          </w:p>
        </w:tc>
      </w:tr>
    </w:tbl>
    <w:p>
      <w:pPr>
        <w:spacing w:after="40"/>
      </w:pPr>
    </w:p>
    <w:p>
      <w:pPr>
        <w:pStyle w:val="Heading1"/>
      </w:pPr>
      <w:r>
        <w:rPr>
          <w:rFonts w:ascii="Arial" w:hAnsi="Arial" w:cs="Arial" w:eastAsia="Arial"/>
          <w:b/>
          <w:i w:val="0"/>
          <w:color w:val="000000"/>
          <w:sz w:val="20"/>
        </w:rPr>
        <w:t>2. Objet et périmètre</w:t>
      </w:r>
    </w:p>
    <w:p>
      <w:r>
        <w:rPr>
          <w:rFonts w:ascii="Arial" w:hAnsi="Arial" w:cs="Arial" w:eastAsia="Arial"/>
          <w:b/>
          <w:i w:val="0"/>
          <w:color w:val="000000"/>
          <w:sz w:val="20"/>
        </w:rPr>
        <w:t xml:space="preserve">Ouvrage : </w:t>
      </w:r>
      <w:r>
        <w:rPr>
          <w:rFonts w:ascii="Arial" w:hAnsi="Arial" w:cs="Arial" w:eastAsia="Arial"/>
          <w:b w:val="0"/>
          <w:i w:val="0"/>
          <w:color w:val="000000"/>
          <w:sz w:val="20"/>
        </w:rPr>
        <w:t>Dalle en béton armé C30/37 de 6,00 m × 4,00 m et 0,30 m d'épaisseur, simplement appuyée sur ses quatre côtés ; poids propre et exploitation uniforme de 10 kPa ; déplacements, moments et ferraillage (ELU, ELS en XC1, enrobage 30 mm), avec comparaison à la solution analytique (description de MM, lot 43).</w:t>
      </w:r>
    </w:p>
    <w:p>
      <w:r>
        <w:rPr>
          <w:rFonts w:ascii="Arial" w:hAnsi="Arial" w:cs="Arial" w:eastAsia="Arial"/>
          <w:b/>
          <w:i w:val="0"/>
          <w:color w:val="000000"/>
          <w:sz w:val="20"/>
        </w:rPr>
        <w:t xml:space="preserve">Description du projet : </w:t>
      </w:r>
      <w:r>
        <w:rPr>
          <w:rFonts w:ascii="Arial" w:hAnsi="Arial" w:cs="Arial" w:eastAsia="Arial"/>
          <w:b w:val="0"/>
          <w:i w:val="0"/>
          <w:color w:val="000000"/>
          <w:sz w:val="20"/>
        </w:rPr>
        <w:t>Dalle en béton armé C30/37 de 6,00 m x 4,00 m x 0,30 m, simplement appuyée sur ses quatre côtés (appui bilatéral), DKT, élasticité linéaire non fissurée ; poids propre et exploitation de 10 kPa ; comparaison à Navier (niveau E) et ferraillage 2D.</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Nombre</w:t>
            </w:r>
          </w:p>
        </w:tc>
      </w:tr>
      <w:tr>
        <w:trPr>
          <w:cantSplit/>
        </w:trPr>
        <w:tc>
          <w:tcPr>
            <w:tcW w:type="dxa" w:w="2835"/>
          </w:tcPr>
          <w:p>
            <w:pPr>
              <w:spacing w:after="20"/>
            </w:pPr>
            <w:r>
              <w:rPr>
                <w:rFonts w:ascii="Arial" w:hAnsi="Arial" w:cs="Arial" w:eastAsia="Arial"/>
                <w:b w:val="0"/>
                <w:i w:val="0"/>
                <w:color w:val="000000"/>
                <w:sz w:val="20"/>
              </w:rPr>
              <w:t>Points de la fiche</w:t>
            </w:r>
          </w:p>
        </w:tc>
        <w:tc>
          <w:tcPr>
            <w:tcW w:type="dxa" w:w="6803"/>
          </w:tcPr>
          <w:p>
            <w:pPr>
              <w:spacing w:after="20"/>
            </w:pPr>
            <w:r>
              <w:rPr>
                <w:rFonts w:ascii="Arial" w:hAnsi="Arial" w:cs="Arial" w:eastAsia="Arial"/>
                <w:b w:val="0"/>
                <w:i w:val="0"/>
                <w:color w:val="000000"/>
                <w:sz w:val="20"/>
              </w:rPr>
              <w:t>9</w:t>
            </w:r>
          </w:p>
        </w:tc>
      </w:tr>
      <w:tr>
        <w:trPr>
          <w:cantSplit/>
        </w:trPr>
        <w:tc>
          <w:tcPr>
            <w:tcW w:type="dxa" w:w="2835"/>
          </w:tcPr>
          <w:p>
            <w:pPr>
              <w:spacing w:after="20"/>
            </w:pPr>
            <w:r>
              <w:rPr>
                <w:rFonts w:ascii="Arial" w:hAnsi="Arial" w:cs="Arial" w:eastAsia="Arial"/>
                <w:b w:val="0"/>
                <w:i w:val="0"/>
                <w:color w:val="000000"/>
                <w:sz w:val="20"/>
              </w:rPr>
              <w:t>Décisions tranchées (hors choix de l'agent)</w:t>
            </w:r>
          </w:p>
        </w:tc>
        <w:tc>
          <w:tcPr>
            <w:tcW w:type="dxa" w:w="6803"/>
          </w:tcPr>
          <w:p>
            <w:pPr>
              <w:spacing w:after="20"/>
            </w:pPr>
            <w:r>
              <w:rPr>
                <w:rFonts w:ascii="Arial" w:hAnsi="Arial" w:cs="Arial" w:eastAsia="Arial"/>
                <w:b w:val="0"/>
                <w:i w:val="0"/>
                <w:color w:val="000000"/>
                <w:sz w:val="20"/>
              </w:rPr>
              <w:t>10</w:t>
            </w:r>
          </w:p>
        </w:tc>
      </w:tr>
      <w:tr>
        <w:trPr>
          <w:cantSplit/>
        </w:trPr>
        <w:tc>
          <w:tcPr>
            <w:tcW w:type="dxa" w:w="2835"/>
          </w:tcPr>
          <w:p>
            <w:pPr>
              <w:spacing w:after="20"/>
            </w:pPr>
            <w:r>
              <w:rPr>
                <w:rFonts w:ascii="Arial" w:hAnsi="Arial" w:cs="Arial" w:eastAsia="Arial"/>
                <w:b w:val="0"/>
                <w:i w:val="0"/>
                <w:color w:val="000000"/>
                <w:sz w:val="20"/>
              </w:rPr>
              <w:t>Choix de l'agent</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Questions non tranchées</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Constats Code_Aster cités</w:t>
            </w:r>
          </w:p>
        </w:tc>
        <w:tc>
          <w:tcPr>
            <w:tcW w:type="dxa" w:w="6803"/>
          </w:tcPr>
          <w:p>
            <w:pPr>
              <w:spacing w:after="20"/>
            </w:pPr>
            <w:r>
              <w:rPr>
                <w:rFonts w:ascii="Arial" w:hAnsi="Arial" w:cs="Arial" w:eastAsia="Arial"/>
                <w:b w:val="0"/>
                <w:i w:val="0"/>
                <w:color w:val="000000"/>
                <w:sz w:val="20"/>
              </w:rPr>
              <w:t>15</w:t>
            </w:r>
          </w:p>
        </w:tc>
      </w:tr>
      <w:tr>
        <w:trPr>
          <w:cantSplit/>
        </w:trPr>
        <w:tc>
          <w:tcPr>
            <w:tcW w:type="dxa" w:w="2835"/>
          </w:tcPr>
          <w:p>
            <w:pPr>
              <w:spacing w:after="20"/>
            </w:pPr>
            <w:r>
              <w:rPr>
                <w:rFonts w:ascii="Arial" w:hAnsi="Arial" w:cs="Arial" w:eastAsia="Arial"/>
                <w:b w:val="0"/>
                <w:i w:val="0"/>
                <w:color w:val="000000"/>
                <w:sz w:val="20"/>
              </w:rPr>
              <w:t>Valeurs de données fournies</w:t>
            </w:r>
          </w:p>
        </w:tc>
        <w:tc>
          <w:tcPr>
            <w:tcW w:type="dxa" w:w="6803"/>
          </w:tcPr>
          <w:p>
            <w:pPr>
              <w:spacing w:after="20"/>
            </w:pPr>
            <w:r>
              <w:rPr>
                <w:rFonts w:ascii="Arial" w:hAnsi="Arial" w:cs="Arial" w:eastAsia="Arial"/>
                <w:b w:val="0"/>
                <w:i w:val="0"/>
                <w:color w:val="000000"/>
                <w:sz w:val="20"/>
              </w:rPr>
              <w:t>38</w:t>
            </w:r>
          </w:p>
        </w:tc>
      </w:tr>
      <w:tr>
        <w:trPr>
          <w:cantSplit/>
        </w:trPr>
        <w:tc>
          <w:tcPr>
            <w:tcW w:type="dxa" w:w="2835"/>
          </w:tcPr>
          <w:p>
            <w:pPr>
              <w:spacing w:after="20"/>
            </w:pPr>
            <w:r>
              <w:rPr>
                <w:rFonts w:ascii="Arial" w:hAnsi="Arial" w:cs="Arial" w:eastAsia="Arial"/>
                <w:b w:val="0"/>
                <w:i w:val="0"/>
                <w:color w:val="000000"/>
                <w:sz w:val="20"/>
              </w:rPr>
              <w:t>Valeurs de données à fournir</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Groupes nommés</w:t>
            </w:r>
          </w:p>
        </w:tc>
        <w:tc>
          <w:tcPr>
            <w:tcW w:type="dxa" w:w="6803"/>
          </w:tcPr>
          <w:p>
            <w:pPr>
              <w:spacing w:after="20"/>
            </w:pPr>
            <w:r>
              <w:rPr>
                <w:rFonts w:ascii="Arial" w:hAnsi="Arial" w:cs="Arial" w:eastAsia="Arial"/>
                <w:b w:val="0"/>
                <w:i w:val="0"/>
                <w:color w:val="000000"/>
                <w:sz w:val="20"/>
              </w:rPr>
              <w:t>9</w:t>
            </w:r>
          </w:p>
        </w:tc>
      </w:tr>
    </w:tbl>
    <w:p>
      <w:pPr>
        <w:spacing w:after="40"/>
      </w:pPr>
    </w:p>
    <w:p>
      <w:r>
        <w:rPr>
          <w:rFonts w:ascii="Arial" w:hAnsi="Arial" w:cs="Arial" w:eastAsia="Arial"/>
          <w:b/>
          <w:i w:val="0"/>
          <w:color w:val="000000"/>
          <w:sz w:val="20"/>
        </w:rPr>
        <w:t>Commandes Code_Aster prévues</w:t>
      </w:r>
    </w:p>
    <w:tbl>
      <w:tblPr>
        <w:tblStyle w:val="TableGrid"/>
        <w:tblW w:type="auto" w:w="0"/>
        <w:jc w:val="center"/>
        <w:tblLayout w:type="fixed"/>
        <w:tblLook w:firstColumn="1" w:firstRow="1" w:lastColumn="0" w:lastRow="0" w:noHBand="0" w:noVBand="1" w:val="04A0"/>
      </w:tblPr>
      <w:tblGrid>
        <w:gridCol w:w="2268"/>
        <w:gridCol w:w="850"/>
        <w:gridCol w:w="3402"/>
        <w:gridCol w:w="3118"/>
      </w:tblGrid>
      <w:tr>
        <w:trPr>
          <w:tblHeader w:val="true"/>
        </w:trPr>
        <w:tc>
          <w:tcPr>
            <w:tcW w:type="dxa" w:w="2268"/>
            <w:shd w:val="clear" w:color="auto" w:fill="D9D9D9"/>
          </w:tcPr>
          <w:p>
            <w:pPr>
              <w:spacing w:after="20"/>
            </w:pPr>
            <w:r>
              <w:rPr>
                <w:rFonts w:ascii="Arial" w:hAnsi="Arial" w:cs="Arial" w:eastAsia="Arial"/>
                <w:b/>
                <w:i w:val="0"/>
                <w:color w:val="000000"/>
                <w:sz w:val="20"/>
              </w:rPr>
              <w:t>Commande prévue</w:t>
            </w:r>
          </w:p>
        </w:tc>
        <w:tc>
          <w:tcPr>
            <w:tcW w:type="dxa" w:w="850"/>
            <w:shd w:val="clear" w:color="auto" w:fill="D9D9D9"/>
          </w:tcPr>
          <w:p>
            <w:pPr>
              <w:spacing w:after="20"/>
            </w:pPr>
            <w:r>
              <w:rPr>
                <w:rFonts w:ascii="Arial" w:hAnsi="Arial" w:cs="Arial" w:eastAsia="Arial"/>
                <w:b/>
                <w:i w:val="0"/>
                <w:color w:val="000000"/>
                <w:sz w:val="20"/>
              </w:rPr>
              <w:t>Point</w:t>
            </w:r>
          </w:p>
        </w:tc>
        <w:tc>
          <w:tcPr>
            <w:tcW w:type="dxa" w:w="3402"/>
            <w:shd w:val="clear" w:color="auto" w:fill="D9D9D9"/>
          </w:tcPr>
          <w:p>
            <w:pPr>
              <w:spacing w:after="20"/>
            </w:pPr>
            <w:r>
              <w:rPr>
                <w:rFonts w:ascii="Arial" w:hAnsi="Arial" w:cs="Arial" w:eastAsia="Arial"/>
                <w:b/>
                <w:i w:val="0"/>
                <w:color w:val="000000"/>
                <w:sz w:val="20"/>
              </w:rPr>
              <w:t>Options</w:t>
            </w:r>
          </w:p>
        </w:tc>
        <w:tc>
          <w:tcPr>
            <w:tcW w:type="dxa" w:w="3118"/>
            <w:shd w:val="clear" w:color="auto" w:fill="D9D9D9"/>
          </w:tcPr>
          <w:p>
            <w:pPr>
              <w:spacing w:after="20"/>
            </w:pPr>
            <w:r>
              <w:rPr>
                <w:rFonts w:ascii="Arial" w:hAnsi="Arial" w:cs="Arial" w:eastAsia="Arial"/>
                <w:b/>
                <w:i w:val="0"/>
                <w:color w:val="000000"/>
                <w:sz w:val="20"/>
              </w:rPr>
              <w:t>Couverture</w:t>
            </w:r>
          </w:p>
        </w:tc>
      </w:tr>
      <w:tr>
        <w:trPr>
          <w:cantSplit/>
        </w:trPr>
        <w:tc>
          <w:tcPr>
            <w:tcW w:type="dxa" w:w="2268"/>
          </w:tcPr>
          <w:p>
            <w:pPr>
              <w:spacing w:after="20"/>
            </w:pPr>
            <w:r>
              <w:rPr>
                <w:rFonts w:ascii="Arial" w:hAnsi="Arial" w:cs="Arial" w:eastAsia="Arial"/>
                <w:b w:val="0"/>
                <w:i w:val="0"/>
                <w:color w:val="000000"/>
                <w:sz w:val="20"/>
              </w:rPr>
              <w:t>AFFE_CARA_ELEM</w:t>
            </w:r>
          </w:p>
        </w:tc>
        <w:tc>
          <w:tcPr>
            <w:tcW w:type="dxa" w:w="850"/>
          </w:tcPr>
          <w:p>
            <w:pPr>
              <w:spacing w:after="20"/>
            </w:pPr>
            <w:r>
              <w:rPr>
                <w:rFonts w:ascii="Arial" w:hAnsi="Arial" w:cs="Arial" w:eastAsia="Arial"/>
                <w:b w:val="0"/>
                <w:i w:val="0"/>
                <w:color w:val="000000"/>
                <w:sz w:val="20"/>
              </w:rPr>
              <w:t>1</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AFFE_CHAR_MECA</w:t>
            </w:r>
          </w:p>
        </w:tc>
        <w:tc>
          <w:tcPr>
            <w:tcW w:type="dxa" w:w="850"/>
          </w:tcPr>
          <w:p>
            <w:pPr>
              <w:spacing w:after="20"/>
            </w:pPr>
            <w:r>
              <w:rPr>
                <w:rFonts w:ascii="Arial" w:hAnsi="Arial" w:cs="Arial" w:eastAsia="Arial"/>
                <w:b w:val="0"/>
                <w:i w:val="0"/>
                <w:color w:val="000000"/>
                <w:sz w:val="20"/>
              </w:rPr>
              <w:t>4</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AFFE_MATERIAU</w:t>
            </w:r>
          </w:p>
        </w:tc>
        <w:tc>
          <w:tcPr>
            <w:tcW w:type="dxa" w:w="850"/>
          </w:tcPr>
          <w:p>
            <w:pPr>
              <w:spacing w:after="20"/>
            </w:pPr>
            <w:r>
              <w:rPr>
                <w:rFonts w:ascii="Arial" w:hAnsi="Arial" w:cs="Arial" w:eastAsia="Arial"/>
                <w:b w:val="0"/>
                <w:i w:val="0"/>
                <w:color w:val="000000"/>
                <w:sz w:val="20"/>
              </w:rPr>
              <w:t>0</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AFFE_MODELE</w:t>
            </w:r>
          </w:p>
        </w:tc>
        <w:tc>
          <w:tcPr>
            <w:tcW w:type="dxa" w:w="850"/>
          </w:tcPr>
          <w:p>
            <w:pPr>
              <w:spacing w:after="20"/>
            </w:pPr>
            <w:r>
              <w:rPr>
                <w:rFonts w:ascii="Arial" w:hAnsi="Arial" w:cs="Arial" w:eastAsia="Arial"/>
                <w:b w:val="0"/>
                <w:i w:val="0"/>
                <w:color w:val="000000"/>
                <w:sz w:val="20"/>
              </w:rPr>
              <w:t>1</w:t>
            </w:r>
          </w:p>
        </w:tc>
        <w:tc>
          <w:tcPr>
            <w:tcW w:type="dxa" w:w="3402"/>
          </w:tcPr>
          <w:p>
            <w:pPr>
              <w:spacing w:after="20"/>
            </w:pPr>
            <w:r>
              <w:rPr>
                <w:rFonts w:ascii="Arial" w:hAnsi="Arial" w:cs="Arial" w:eastAsia="Arial"/>
                <w:b w:val="0"/>
                <w:i w:val="0"/>
                <w:color w:val="000000"/>
                <w:sz w:val="20"/>
              </w:rPr>
              <w:t>PHENOMENE = MECANIQUE</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CALC_CHAMP</w:t>
            </w:r>
          </w:p>
        </w:tc>
        <w:tc>
          <w:tcPr>
            <w:tcW w:type="dxa" w:w="850"/>
          </w:tcPr>
          <w:p>
            <w:pPr>
              <w:spacing w:after="20"/>
            </w:pPr>
            <w:r>
              <w:rPr>
                <w:rFonts w:ascii="Arial" w:hAnsi="Arial" w:cs="Arial" w:eastAsia="Arial"/>
                <w:b w:val="0"/>
                <w:i w:val="0"/>
                <w:color w:val="000000"/>
                <w:sz w:val="20"/>
              </w:rPr>
              <w:t>0</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CALC_FERRAILLAGE</w:t>
            </w:r>
          </w:p>
        </w:tc>
        <w:tc>
          <w:tcPr>
            <w:tcW w:type="dxa" w:w="850"/>
          </w:tcPr>
          <w:p>
            <w:pPr>
              <w:spacing w:after="20"/>
            </w:pPr>
            <w:r>
              <w:rPr>
                <w:rFonts w:ascii="Arial" w:hAnsi="Arial" w:cs="Arial" w:eastAsia="Arial"/>
                <w:b w:val="0"/>
                <w:i w:val="0"/>
                <w:color w:val="000000"/>
                <w:sz w:val="20"/>
              </w:rPr>
              <w:t>5</w:t>
            </w:r>
          </w:p>
        </w:tc>
        <w:tc>
          <w:tcPr>
            <w:tcW w:type="dxa" w:w="3402"/>
          </w:tcPr>
          <w:p>
            <w:pPr>
              <w:spacing w:after="20"/>
            </w:pPr>
            <w:r>
              <w:rPr>
                <w:rFonts w:ascii="Arial" w:hAnsi="Arial" w:cs="Arial" w:eastAsia="Arial"/>
                <w:b w:val="0"/>
                <w:i w:val="0"/>
                <w:color w:val="000000"/>
                <w:sz w:val="20"/>
              </w:rPr>
              <w:t>CODIFICATION = EC2; TYPE_COMB = ELU; TYPE_STRUCTURE = 2D</w:t>
            </w:r>
          </w:p>
        </w:tc>
        <w:tc>
          <w:tcPr>
            <w:tcW w:type="dxa" w:w="3118"/>
          </w:tcPr>
          <w:p>
            <w:pPr>
              <w:spacing w:after="20"/>
            </w:pPr>
            <w:r>
              <w:rPr>
                <w:rFonts w:ascii="Arial" w:hAnsi="Arial" w:cs="Arial" w:eastAsia="Arial"/>
                <w:b w:val="0"/>
                <w:i w:val="0"/>
                <w:color w:val="000000"/>
                <w:sz w:val="20"/>
              </w:rPr>
              <w:t>UNITE_CONTRAINTE : point:9; AFFE.C_INF : point:14; AFFE.C_SUP : point:14; AFFE.GAMMA_S : point:14; AFFE.GAMMA_C : point:14; AFFE.FYK : point:14; AFFE.FCK : point:14; AFFE.EYS : point:14</w:t>
            </w:r>
          </w:p>
        </w:tc>
      </w:tr>
      <w:tr>
        <w:trPr>
          <w:cantSplit/>
        </w:trPr>
        <w:tc>
          <w:tcPr>
            <w:tcW w:type="dxa" w:w="2268"/>
          </w:tcPr>
          <w:p>
            <w:pPr>
              <w:spacing w:after="20"/>
            </w:pPr>
            <w:r>
              <w:rPr>
                <w:rFonts w:ascii="Arial" w:hAnsi="Arial" w:cs="Arial" w:eastAsia="Arial"/>
                <w:b w:val="0"/>
                <w:i w:val="0"/>
                <w:color w:val="000000"/>
                <w:sz w:val="20"/>
              </w:rPr>
              <w:t>CALC_FERRAILLAGE</w:t>
            </w:r>
          </w:p>
        </w:tc>
        <w:tc>
          <w:tcPr>
            <w:tcW w:type="dxa" w:w="850"/>
          </w:tcPr>
          <w:p>
            <w:pPr>
              <w:spacing w:after="20"/>
            </w:pPr>
            <w:r>
              <w:rPr>
                <w:rFonts w:ascii="Arial" w:hAnsi="Arial" w:cs="Arial" w:eastAsia="Arial"/>
                <w:b w:val="0"/>
                <w:i w:val="0"/>
                <w:color w:val="000000"/>
                <w:sz w:val="20"/>
              </w:rPr>
              <w:t>5</w:t>
            </w:r>
          </w:p>
        </w:tc>
        <w:tc>
          <w:tcPr>
            <w:tcW w:type="dxa" w:w="3402"/>
          </w:tcPr>
          <w:p>
            <w:pPr>
              <w:spacing w:after="20"/>
            </w:pPr>
            <w:r>
              <w:rPr>
                <w:rFonts w:ascii="Arial" w:hAnsi="Arial" w:cs="Arial" w:eastAsia="Arial"/>
                <w:b w:val="0"/>
                <w:i w:val="0"/>
                <w:color w:val="000000"/>
                <w:sz w:val="20"/>
              </w:rPr>
              <w:t>CODIFICATION = EC2; TYPE_COMB = ELS; TYPE_STRUCTURE = 2D</w:t>
            </w:r>
          </w:p>
        </w:tc>
        <w:tc>
          <w:tcPr>
            <w:tcW w:type="dxa" w:w="3118"/>
          </w:tcPr>
          <w:p>
            <w:pPr>
              <w:spacing w:after="20"/>
            </w:pPr>
            <w:r>
              <w:rPr>
                <w:rFonts w:ascii="Arial" w:hAnsi="Arial" w:cs="Arial" w:eastAsia="Arial"/>
                <w:b w:val="0"/>
                <w:i w:val="0"/>
                <w:color w:val="000000"/>
                <w:sz w:val="20"/>
              </w:rPr>
              <w:t>UNITE_CONTRAINTE : point:9; AFFE.C_INF : point:14; AFFE.C_SUP : point:14; AFFE.ALPHA_E : point:14; AFFE.SIGS_ELS : point:14; AFFE.FCK : point:14; AFFE.SIGC_INF_ELS : point:14; AFFE.SIGC_SUP_ELS : point:14</w:t>
            </w:r>
          </w:p>
        </w:tc>
      </w:tr>
      <w:tr>
        <w:trPr>
          <w:cantSplit/>
        </w:trPr>
        <w:tc>
          <w:tcPr>
            <w:tcW w:type="dxa" w:w="2268"/>
          </w:tcPr>
          <w:p>
            <w:pPr>
              <w:spacing w:after="20"/>
            </w:pPr>
            <w:r>
              <w:rPr>
                <w:rFonts w:ascii="Arial" w:hAnsi="Arial" w:cs="Arial" w:eastAsia="Arial"/>
                <w:b w:val="0"/>
                <w:i w:val="0"/>
                <w:color w:val="000000"/>
                <w:sz w:val="20"/>
              </w:rPr>
              <w:t>CALC_FERRAILLAGE</w:t>
            </w:r>
          </w:p>
        </w:tc>
        <w:tc>
          <w:tcPr>
            <w:tcW w:type="dxa" w:w="850"/>
          </w:tcPr>
          <w:p>
            <w:pPr>
              <w:spacing w:after="20"/>
            </w:pPr>
            <w:r>
              <w:rPr>
                <w:rFonts w:ascii="Arial" w:hAnsi="Arial" w:cs="Arial" w:eastAsia="Arial"/>
                <w:b w:val="0"/>
                <w:i w:val="0"/>
                <w:color w:val="000000"/>
                <w:sz w:val="20"/>
              </w:rPr>
              <w:t>5</w:t>
            </w:r>
          </w:p>
        </w:tc>
        <w:tc>
          <w:tcPr>
            <w:tcW w:type="dxa" w:w="3402"/>
          </w:tcPr>
          <w:p>
            <w:pPr>
              <w:spacing w:after="20"/>
            </w:pPr>
            <w:r>
              <w:rPr>
                <w:rFonts w:ascii="Arial" w:hAnsi="Arial" w:cs="Arial" w:eastAsia="Arial"/>
                <w:b w:val="0"/>
                <w:i w:val="0"/>
                <w:color w:val="000000"/>
                <w:sz w:val="20"/>
              </w:rPr>
              <w:t>CODIFICATION = EC2; TYPE_COMB = ELS_QP; TYPE_STRUCTURE = 2D</w:t>
            </w:r>
          </w:p>
        </w:tc>
        <w:tc>
          <w:tcPr>
            <w:tcW w:type="dxa" w:w="3118"/>
          </w:tcPr>
          <w:p>
            <w:pPr>
              <w:spacing w:after="20"/>
            </w:pPr>
            <w:r>
              <w:rPr>
                <w:rFonts w:ascii="Arial" w:hAnsi="Arial" w:cs="Arial" w:eastAsia="Arial"/>
                <w:b w:val="0"/>
                <w:i w:val="0"/>
                <w:color w:val="000000"/>
                <w:sz w:val="20"/>
              </w:rPr>
              <w:t>UNITE_CONTRAINTE : point:9; AFFE.C_INF : point:14; AFFE.C_SUP : point:14; AFFE.ALPHA_E : point:14; AFFE.FYK : point:14; AFFE.FCK : point:14; AFFE.EYS : point:14; AFFE.SIGC_ELS_QP : point:14; AFFE.KT : point:14; AFFE.WMAX_INF : point:14; AFFE.WMAX_SUP : point:14; AFFE.PHI_INF_X : point:14; AFFE.PHI_SUP_X : point:14; AFFE.PHI_INF_Y : point:14; AFFE.PHI_SUP_Y : point:14</w:t>
            </w:r>
          </w:p>
        </w:tc>
      </w:tr>
      <w:tr>
        <w:trPr>
          <w:cantSplit/>
        </w:trPr>
        <w:tc>
          <w:tcPr>
            <w:tcW w:type="dxa" w:w="2268"/>
          </w:tcPr>
          <w:p>
            <w:pPr>
              <w:spacing w:after="20"/>
            </w:pPr>
            <w:r>
              <w:rPr>
                <w:rFonts w:ascii="Arial" w:hAnsi="Arial" w:cs="Arial" w:eastAsia="Arial"/>
                <w:b w:val="0"/>
                <w:i w:val="0"/>
                <w:color w:val="000000"/>
                <w:sz w:val="20"/>
              </w:rPr>
              <w:t>CREA_TABLE</w:t>
            </w:r>
          </w:p>
        </w:tc>
        <w:tc>
          <w:tcPr>
            <w:tcW w:type="dxa" w:w="850"/>
          </w:tcPr>
          <w:p>
            <w:pPr>
              <w:spacing w:after="20"/>
            </w:pPr>
            <w:r>
              <w:rPr>
                <w:rFonts w:ascii="Arial" w:hAnsi="Arial" w:cs="Arial" w:eastAsia="Arial"/>
                <w:b w:val="0"/>
                <w:i w:val="0"/>
                <w:color w:val="000000"/>
                <w:sz w:val="20"/>
              </w:rPr>
              <w:t>0</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DEBUT</w:t>
            </w:r>
          </w:p>
        </w:tc>
        <w:tc>
          <w:tcPr>
            <w:tcW w:type="dxa" w:w="850"/>
          </w:tcPr>
          <w:p>
            <w:pPr>
              <w:spacing w:after="20"/>
            </w:pPr>
            <w:r>
              <w:rPr>
                <w:rFonts w:ascii="Arial" w:hAnsi="Arial" w:cs="Arial" w:eastAsia="Arial"/>
                <w:b w:val="0"/>
                <w:i w:val="0"/>
                <w:color w:val="000000"/>
                <w:sz w:val="20"/>
              </w:rPr>
              <w:t>0</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DEFI_CONSTANTE</w:t>
            </w:r>
          </w:p>
        </w:tc>
        <w:tc>
          <w:tcPr>
            <w:tcW w:type="dxa" w:w="850"/>
          </w:tcPr>
          <w:p>
            <w:pPr>
              <w:spacing w:after="20"/>
            </w:pPr>
            <w:r>
              <w:rPr>
                <w:rFonts w:ascii="Arial" w:hAnsi="Arial" w:cs="Arial" w:eastAsia="Arial"/>
                <w:b w:val="0"/>
                <w:i w:val="0"/>
                <w:color w:val="000000"/>
                <w:sz w:val="20"/>
              </w:rPr>
              <w:t>0</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VALE : point:13</w:t>
            </w:r>
          </w:p>
        </w:tc>
      </w:tr>
      <w:tr>
        <w:trPr>
          <w:cantSplit/>
        </w:trPr>
        <w:tc>
          <w:tcPr>
            <w:tcW w:type="dxa" w:w="2268"/>
          </w:tcPr>
          <w:p>
            <w:pPr>
              <w:spacing w:after="20"/>
            </w:pPr>
            <w:r>
              <w:rPr>
                <w:rFonts w:ascii="Arial" w:hAnsi="Arial" w:cs="Arial" w:eastAsia="Arial"/>
                <w:b w:val="0"/>
                <w:i w:val="0"/>
                <w:color w:val="000000"/>
                <w:sz w:val="20"/>
              </w:rPr>
              <w:t>DEFI_GROUP</w:t>
            </w:r>
          </w:p>
        </w:tc>
        <w:tc>
          <w:tcPr>
            <w:tcW w:type="dxa" w:w="850"/>
          </w:tcPr>
          <w:p>
            <w:pPr>
              <w:spacing w:after="20"/>
            </w:pPr>
            <w:r>
              <w:rPr>
                <w:rFonts w:ascii="Arial" w:hAnsi="Arial" w:cs="Arial" w:eastAsia="Arial"/>
                <w:b w:val="0"/>
                <w:i w:val="0"/>
                <w:color w:val="000000"/>
                <w:sz w:val="20"/>
              </w:rPr>
              <w:t>0</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DEFI_GROUP</w:t>
            </w:r>
          </w:p>
        </w:tc>
        <w:tc>
          <w:tcPr>
            <w:tcW w:type="dxa" w:w="850"/>
          </w:tcPr>
          <w:p>
            <w:pPr>
              <w:spacing w:after="20"/>
            </w:pPr>
            <w:r>
              <w:rPr>
                <w:rFonts w:ascii="Arial" w:hAnsi="Arial" w:cs="Arial" w:eastAsia="Arial"/>
                <w:b w:val="0"/>
                <w:i w:val="0"/>
                <w:color w:val="000000"/>
                <w:sz w:val="20"/>
              </w:rPr>
              <w:t>0</w:t>
            </w:r>
          </w:p>
        </w:tc>
        <w:tc>
          <w:tcPr>
            <w:tcW w:type="dxa" w:w="3402"/>
          </w:tcPr>
          <w:p>
            <w:pPr>
              <w:spacing w:after="20"/>
            </w:pPr>
            <w:r>
              <w:rPr>
                <w:rFonts w:ascii="Arial" w:hAnsi="Arial" w:cs="Arial" w:eastAsia="Arial"/>
                <w:b w:val="0"/>
                <w:i w:val="0"/>
                <w:color w:val="000000"/>
                <w:sz w:val="20"/>
              </w:rPr>
              <w:t>OPTION = APPUI</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DEFI_MATERIAU</w:t>
            </w:r>
          </w:p>
        </w:tc>
        <w:tc>
          <w:tcPr>
            <w:tcW w:type="dxa" w:w="850"/>
          </w:tcPr>
          <w:p>
            <w:pPr>
              <w:spacing w:after="20"/>
            </w:pPr>
            <w:r>
              <w:rPr>
                <w:rFonts w:ascii="Arial" w:hAnsi="Arial" w:cs="Arial" w:eastAsia="Arial"/>
                <w:b w:val="0"/>
                <w:i w:val="0"/>
                <w:color w:val="000000"/>
                <w:sz w:val="20"/>
              </w:rPr>
              <w:t>4</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FIN</w:t>
            </w:r>
          </w:p>
        </w:tc>
        <w:tc>
          <w:tcPr>
            <w:tcW w:type="dxa" w:w="850"/>
          </w:tcPr>
          <w:p>
            <w:pPr>
              <w:spacing w:after="20"/>
            </w:pPr>
            <w:r>
              <w:rPr>
                <w:rFonts w:ascii="Arial" w:hAnsi="Arial" w:cs="Arial" w:eastAsia="Arial"/>
                <w:b w:val="0"/>
                <w:i w:val="0"/>
                <w:color w:val="000000"/>
                <w:sz w:val="20"/>
              </w:rPr>
              <w:t>1</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IMPR_TABLE</w:t>
            </w:r>
          </w:p>
        </w:tc>
        <w:tc>
          <w:tcPr>
            <w:tcW w:type="dxa" w:w="850"/>
          </w:tcPr>
          <w:p>
            <w:pPr>
              <w:spacing w:after="20"/>
            </w:pPr>
            <w:r>
              <w:rPr>
                <w:rFonts w:ascii="Arial" w:hAnsi="Arial" w:cs="Arial" w:eastAsia="Arial"/>
                <w:b w:val="0"/>
                <w:i w:val="0"/>
                <w:color w:val="000000"/>
                <w:sz w:val="20"/>
              </w:rPr>
              <w:t>0</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LIRE_MAILLAGE</w:t>
            </w:r>
          </w:p>
        </w:tc>
        <w:tc>
          <w:tcPr>
            <w:tcW w:type="dxa" w:w="850"/>
          </w:tcPr>
          <w:p>
            <w:pPr>
              <w:spacing w:after="20"/>
            </w:pPr>
            <w:r>
              <w:rPr>
                <w:rFonts w:ascii="Arial" w:hAnsi="Arial" w:cs="Arial" w:eastAsia="Arial"/>
                <w:b w:val="0"/>
                <w:i w:val="0"/>
                <w:color w:val="000000"/>
                <w:sz w:val="20"/>
              </w:rPr>
              <w:t>0</w:t>
            </w:r>
          </w:p>
        </w:tc>
        <w:tc>
          <w:tcPr>
            <w:tcW w:type="dxa" w:w="3402"/>
          </w:tcPr>
          <w:p>
            <w:pPr>
              <w:spacing w:after="20"/>
            </w:pPr>
            <w:r>
              <w:rPr>
                <w:rFonts w:ascii="Arial" w:hAnsi="Arial" w:cs="Arial" w:eastAsia="Arial"/>
                <w:b w:val="0"/>
                <w:i w:val="0"/>
                <w:color w:val="000000"/>
                <w:sz w:val="20"/>
              </w:rPr>
              <w:t>FORMAT = MED</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MECA_STATIQUE</w:t>
            </w:r>
          </w:p>
        </w:tc>
        <w:tc>
          <w:tcPr>
            <w:tcW w:type="dxa" w:w="850"/>
          </w:tcPr>
          <w:p>
            <w:pPr>
              <w:spacing w:after="20"/>
            </w:pPr>
            <w:r>
              <w:rPr>
                <w:rFonts w:ascii="Arial" w:hAnsi="Arial" w:cs="Arial" w:eastAsia="Arial"/>
                <w:b w:val="0"/>
                <w:i w:val="0"/>
                <w:color w:val="000000"/>
                <w:sz w:val="20"/>
              </w:rPr>
              <w:t>5</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MODI_MAILLAGE</w:t>
            </w:r>
          </w:p>
        </w:tc>
        <w:tc>
          <w:tcPr>
            <w:tcW w:type="dxa" w:w="850"/>
          </w:tcPr>
          <w:p>
            <w:pPr>
              <w:spacing w:after="20"/>
            </w:pPr>
            <w:r>
              <w:rPr>
                <w:rFonts w:ascii="Arial" w:hAnsi="Arial" w:cs="Arial" w:eastAsia="Arial"/>
                <w:b w:val="0"/>
                <w:i w:val="0"/>
                <w:color w:val="000000"/>
                <w:sz w:val="20"/>
              </w:rPr>
              <w:t>4</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r>
        <w:trPr>
          <w:cantSplit/>
        </w:trPr>
        <w:tc>
          <w:tcPr>
            <w:tcW w:type="dxa" w:w="2268"/>
          </w:tcPr>
          <w:p>
            <w:pPr>
              <w:spacing w:after="20"/>
            </w:pPr>
            <w:r>
              <w:rPr>
                <w:rFonts w:ascii="Arial" w:hAnsi="Arial" w:cs="Arial" w:eastAsia="Arial"/>
                <w:b w:val="0"/>
                <w:i w:val="0"/>
                <w:color w:val="000000"/>
                <w:sz w:val="20"/>
              </w:rPr>
              <w:t>POST_RELEVE_T</w:t>
            </w:r>
          </w:p>
        </w:tc>
        <w:tc>
          <w:tcPr>
            <w:tcW w:type="dxa" w:w="850"/>
          </w:tcPr>
          <w:p>
            <w:pPr>
              <w:spacing w:after="20"/>
            </w:pPr>
            <w:r>
              <w:rPr>
                <w:rFonts w:ascii="Arial" w:hAnsi="Arial" w:cs="Arial" w:eastAsia="Arial"/>
                <w:b w:val="0"/>
                <w:i w:val="0"/>
                <w:color w:val="000000"/>
                <w:sz w:val="20"/>
              </w:rPr>
              <w:t>0</w:t>
            </w:r>
          </w:p>
        </w:tc>
        <w:tc>
          <w:tcPr>
            <w:tcW w:type="dxa" w:w="3402"/>
          </w:tcPr>
          <w:p>
            <w:pPr>
              <w:spacing w:after="20"/>
            </w:pPr>
            <w:r>
              <w:rPr>
                <w:rFonts w:ascii="Arial" w:hAnsi="Arial" w:cs="Arial" w:eastAsia="Arial"/>
                <w:b w:val="0"/>
                <w:i w:val="0"/>
                <w:color w:val="000000"/>
                <w:sz w:val="20"/>
              </w:rPr>
              <w:t>—</w:t>
            </w:r>
          </w:p>
        </w:tc>
        <w:tc>
          <w:tcPr>
            <w:tcW w:type="dxa" w:w="3118"/>
          </w:tcPr>
          <w:p>
            <w:pPr>
              <w:spacing w:after="20"/>
            </w:pPr>
            <w:r>
              <w:rPr>
                <w:rFonts w:ascii="Arial" w:hAnsi="Arial" w:cs="Arial" w:eastAsia="Arial"/>
                <w:b w:val="0"/>
                <w:i w:val="0"/>
                <w:color w:val="000000"/>
                <w:sz w:val="20"/>
              </w:rPr>
              <w:t>—</w:t>
            </w:r>
          </w:p>
        </w:tc>
      </w:tr>
    </w:tbl>
    <w:p>
      <w:pPr>
        <w:spacing w:after="40"/>
      </w:pPr>
    </w:p>
    <w:p>
      <w:pPr>
        <w:pStyle w:val="Heading1"/>
      </w:pPr>
      <w:r>
        <w:rPr>
          <w:rFonts w:ascii="Arial" w:hAnsi="Arial" w:cs="Arial" w:eastAsia="Arial"/>
          <w:b/>
          <w:i w:val="0"/>
          <w:color w:val="000000"/>
          <w:sz w:val="20"/>
        </w:rPr>
        <w:t>3. Données</w:t>
      </w:r>
    </w:p>
    <w:p>
      <w:r>
        <w:rPr>
          <w:rFonts w:ascii="Arial" w:hAnsi="Arial" w:cs="Arial" w:eastAsia="Arial"/>
          <w:b/>
          <w:i w:val="0"/>
          <w:color w:val="000000"/>
          <w:sz w:val="20"/>
        </w:rPr>
        <w:t xml:space="preserve">Référence du cas : </w:t>
      </w:r>
      <w:r>
        <w:rPr>
          <w:rFonts w:ascii="Arial" w:hAnsi="Arial" w:cs="Arial" w:eastAsia="Arial"/>
          <w:b w:val="0"/>
          <w:i w:val="0"/>
          <w:color w:val="000000"/>
          <w:sz w:val="20"/>
        </w:rPr>
        <w:t>Description de MM (sources/description_MM_lot43.md) et arbitrage arbitrage_dalle_appuyee_01_v1 ; fiche fiche/hypotheses_dalle_arbitree.json</w:t>
      </w:r>
    </w:p>
    <w:p>
      <w:pPr>
        <w:pStyle w:val="Heading2"/>
      </w:pPr>
      <w:r>
        <w:rPr>
          <w:rFonts w:ascii="Arial" w:hAnsi="Arial" w:cs="Arial" w:eastAsia="Arial"/>
          <w:b/>
          <w:i w:val="0"/>
          <w:color w:val="000000"/>
          <w:sz w:val="20"/>
        </w:rPr>
        <w:t>3.1 Groupe de données : geometrie</w:t>
      </w:r>
    </w:p>
    <w:p>
      <w:r>
        <w:rPr>
          <w:rFonts w:ascii="Arial" w:hAnsi="Arial" w:cs="Arial" w:eastAsia="Arial"/>
          <w:b/>
          <w:i w:val="0"/>
          <w:color w:val="000000"/>
          <w:sz w:val="20"/>
        </w:rPr>
        <w:t>Données — geometrie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longueur</w:t>
            </w:r>
          </w:p>
        </w:tc>
        <w:tc>
          <w:tcPr>
            <w:tcW w:type="dxa" w:w="1701"/>
          </w:tcPr>
          <w:p>
            <w:pPr>
              <w:spacing w:after="20"/>
            </w:pPr>
            <w:r>
              <w:rPr>
                <w:rFonts w:ascii="Arial" w:hAnsi="Arial" w:cs="Arial" w:eastAsia="Arial"/>
                <w:b w:val="0"/>
                <w:i w:val="0"/>
                <w:color w:val="000000"/>
                <w:sz w:val="20"/>
              </w:rPr>
              <w:t>6,0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description_MM_lot43.md, document</w:t>
            </w:r>
          </w:p>
        </w:tc>
        <w:tc>
          <w:tcPr>
            <w:tcW w:type="dxa" w:w="2835"/>
          </w:tcPr>
          <w:p>
            <w:pPr>
              <w:spacing w:after="20"/>
            </w:pPr>
            <w:r>
              <w:rPr>
                <w:rFonts w:ascii="Arial" w:hAnsi="Arial" w:cs="Arial" w:eastAsia="Arial"/>
                <w:b w:val="0"/>
                <w:i w:val="0"/>
                <w:color w:val="000000"/>
                <w:sz w:val="20"/>
              </w:rPr>
              <w:t>Côté selon X (point 9).</w:t>
            </w:r>
          </w:p>
        </w:tc>
      </w:tr>
      <w:tr>
        <w:trPr>
          <w:cantSplit/>
        </w:trPr>
        <w:tc>
          <w:tcPr>
            <w:tcW w:type="dxa" w:w="1928"/>
          </w:tcPr>
          <w:p>
            <w:pPr>
              <w:spacing w:after="20"/>
            </w:pPr>
            <w:r>
              <w:rPr>
                <w:rFonts w:ascii="Arial" w:hAnsi="Arial" w:cs="Arial" w:eastAsia="Arial"/>
                <w:b w:val="0"/>
                <w:i w:val="0"/>
                <w:color w:val="000000"/>
                <w:sz w:val="20"/>
              </w:rPr>
              <w:t>largeur</w:t>
            </w:r>
          </w:p>
        </w:tc>
        <w:tc>
          <w:tcPr>
            <w:tcW w:type="dxa" w:w="1701"/>
          </w:tcPr>
          <w:p>
            <w:pPr>
              <w:spacing w:after="20"/>
            </w:pPr>
            <w:r>
              <w:rPr>
                <w:rFonts w:ascii="Arial" w:hAnsi="Arial" w:cs="Arial" w:eastAsia="Arial"/>
                <w:b w:val="0"/>
                <w:i w:val="0"/>
                <w:color w:val="000000"/>
                <w:sz w:val="20"/>
              </w:rPr>
              <w:t>4,0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description_MM_lot43.md, document</w:t>
            </w:r>
          </w:p>
        </w:tc>
        <w:tc>
          <w:tcPr>
            <w:tcW w:type="dxa" w:w="2835"/>
          </w:tcPr>
          <w:p>
            <w:pPr>
              <w:spacing w:after="20"/>
            </w:pPr>
            <w:r>
              <w:rPr>
                <w:rFonts w:ascii="Arial" w:hAnsi="Arial" w:cs="Arial" w:eastAsia="Arial"/>
                <w:b w:val="0"/>
                <w:i w:val="0"/>
                <w:color w:val="000000"/>
                <w:sz w:val="20"/>
              </w:rPr>
              <w:t>Côté selon Y (point 9).</w:t>
            </w:r>
          </w:p>
        </w:tc>
      </w:tr>
      <w:tr>
        <w:trPr>
          <w:cantSplit/>
        </w:trPr>
        <w:tc>
          <w:tcPr>
            <w:tcW w:type="dxa" w:w="1928"/>
          </w:tcPr>
          <w:p>
            <w:pPr>
              <w:spacing w:after="20"/>
            </w:pPr>
            <w:r>
              <w:rPr>
                <w:rFonts w:ascii="Arial" w:hAnsi="Arial" w:cs="Arial" w:eastAsia="Arial"/>
                <w:b w:val="0"/>
                <w:i w:val="0"/>
                <w:color w:val="000000"/>
                <w:sz w:val="20"/>
              </w:rPr>
              <w:t>epaisseur</w:t>
            </w:r>
          </w:p>
        </w:tc>
        <w:tc>
          <w:tcPr>
            <w:tcW w:type="dxa" w:w="1701"/>
          </w:tcPr>
          <w:p>
            <w:pPr>
              <w:spacing w:after="20"/>
            </w:pPr>
            <w:r>
              <w:rPr>
                <w:rFonts w:ascii="Arial" w:hAnsi="Arial" w:cs="Arial" w:eastAsia="Arial"/>
                <w:b w:val="0"/>
                <w:i w:val="0"/>
                <w:color w:val="000000"/>
                <w:sz w:val="20"/>
              </w:rPr>
              <w:t>0,3</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description_MM_lot43.md, document</w:t>
            </w:r>
          </w:p>
        </w:tc>
        <w:tc>
          <w:tcPr>
            <w:tcW w:type="dxa" w:w="2835"/>
          </w:tcPr>
          <w:p>
            <w:pPr>
              <w:spacing w:after="20"/>
            </w:pPr>
            <w:r>
              <w:rPr>
                <w:rFonts w:ascii="Arial" w:hAnsi="Arial" w:cs="Arial" w:eastAsia="Arial"/>
                <w:b w:val="0"/>
                <w:i w:val="0"/>
                <w:color w:val="000000"/>
                <w:sz w:val="20"/>
              </w:rPr>
            </w:r>
          </w:p>
        </w:tc>
      </w:tr>
    </w:tbl>
    <w:p>
      <w:pPr>
        <w:spacing w:after="40"/>
      </w:pPr>
    </w:p>
    <w:p>
      <w:pPr>
        <w:pStyle w:val="Heading2"/>
      </w:pPr>
      <w:r>
        <w:rPr>
          <w:rFonts w:ascii="Arial" w:hAnsi="Arial" w:cs="Arial" w:eastAsia="Arial"/>
          <w:b/>
          <w:i w:val="0"/>
          <w:color w:val="000000"/>
          <w:sz w:val="20"/>
        </w:rPr>
        <w:t>3.2 Groupe de données : beton</w:t>
      </w:r>
    </w:p>
    <w:p>
      <w:r>
        <w:rPr>
          <w:rFonts w:ascii="Arial" w:hAnsi="Arial" w:cs="Arial" w:eastAsia="Arial"/>
          <w:b/>
          <w:i w:val="0"/>
          <w:color w:val="000000"/>
          <w:sz w:val="20"/>
        </w:rPr>
        <w:t>Données — beton</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classe</w:t>
            </w:r>
          </w:p>
        </w:tc>
        <w:tc>
          <w:tcPr>
            <w:tcW w:type="dxa" w:w="1701"/>
          </w:tcPr>
          <w:p>
            <w:pPr>
              <w:spacing w:after="20"/>
            </w:pPr>
            <w:r>
              <w:rPr>
                <w:rFonts w:ascii="Arial" w:hAnsi="Arial" w:cs="Arial" w:eastAsia="Arial"/>
                <w:b w:val="0"/>
                <w:i w:val="0"/>
                <w:color w:val="000000"/>
                <w:sz w:val="20"/>
              </w:rPr>
              <w:t>C30/37</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description_MM_lot43.md, document</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module_young</w:t>
            </w:r>
          </w:p>
        </w:tc>
        <w:tc>
          <w:tcPr>
            <w:tcW w:type="dxa" w:w="1701"/>
          </w:tcPr>
          <w:p>
            <w:pPr>
              <w:spacing w:after="20"/>
            </w:pPr>
            <w:r>
              <w:rPr>
                <w:rFonts w:ascii="Arial" w:hAnsi="Arial" w:cs="Arial" w:eastAsia="Arial"/>
                <w:b w:val="0"/>
                <w:i w:val="0"/>
                <w:color w:val="000000"/>
                <w:sz w:val="20"/>
              </w:rPr>
              <w:t>33000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décision du point 5 (MM, 2026-10-02)</w:t>
            </w:r>
          </w:p>
        </w:tc>
        <w:tc>
          <w:tcPr>
            <w:tcW w:type="dxa" w:w="2835"/>
          </w:tcPr>
          <w:p>
            <w:pPr>
              <w:spacing w:after="20"/>
            </w:pPr>
            <w:r>
              <w:rPr>
                <w:rFonts w:ascii="Arial" w:hAnsi="Arial" w:cs="Arial" w:eastAsia="Arial"/>
                <w:b w:val="0"/>
                <w:i w:val="0"/>
                <w:color w:val="000000"/>
                <w:sz w:val="20"/>
              </w:rPr>
              <w:t>Ecm.</w:t>
            </w:r>
          </w:p>
        </w:tc>
      </w:tr>
      <w:tr>
        <w:trPr>
          <w:cantSplit/>
        </w:trPr>
        <w:tc>
          <w:tcPr>
            <w:tcW w:type="dxa" w:w="1928"/>
          </w:tcPr>
          <w:p>
            <w:pPr>
              <w:spacing w:after="20"/>
            </w:pPr>
            <w:r>
              <w:rPr>
                <w:rFonts w:ascii="Arial" w:hAnsi="Arial" w:cs="Arial" w:eastAsia="Arial"/>
                <w:b w:val="0"/>
                <w:i w:val="0"/>
                <w:color w:val="000000"/>
                <w:sz w:val="20"/>
              </w:rPr>
              <w:t>coefficient_poisson</w:t>
            </w:r>
          </w:p>
        </w:tc>
        <w:tc>
          <w:tcPr>
            <w:tcW w:type="dxa" w:w="1701"/>
          </w:tcPr>
          <w:p>
            <w:pPr>
              <w:spacing w:after="20"/>
            </w:pPr>
            <w:r>
              <w:rPr>
                <w:rFonts w:ascii="Arial" w:hAnsi="Arial" w:cs="Arial" w:eastAsia="Arial"/>
                <w:b w:val="0"/>
                <w:i w:val="0"/>
                <w:color w:val="000000"/>
                <w:sz w:val="20"/>
              </w:rPr>
              <w:t>0,2</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5 (MM, 2026-10-02)</w:t>
            </w:r>
          </w:p>
        </w:tc>
        <w:tc>
          <w:tcPr>
            <w:tcW w:type="dxa" w:w="2835"/>
          </w:tcPr>
          <w:p>
            <w:pPr>
              <w:spacing w:after="20"/>
            </w:pPr>
            <w:r>
              <w:rPr>
                <w:rFonts w:ascii="Arial" w:hAnsi="Arial" w:cs="Arial" w:eastAsia="Arial"/>
                <w:b w:val="0"/>
                <w:i w:val="0"/>
                <w:color w:val="000000"/>
                <w:sz w:val="20"/>
              </w:rPr>
              <w:t>Béton non fissuré.</w:t>
            </w:r>
          </w:p>
        </w:tc>
      </w:tr>
      <w:tr>
        <w:trPr>
          <w:cantSplit/>
        </w:trPr>
        <w:tc>
          <w:tcPr>
            <w:tcW w:type="dxa" w:w="1928"/>
          </w:tcPr>
          <w:p>
            <w:pPr>
              <w:spacing w:after="20"/>
            </w:pPr>
            <w:r>
              <w:rPr>
                <w:rFonts w:ascii="Arial" w:hAnsi="Arial" w:cs="Arial" w:eastAsia="Arial"/>
                <w:b w:val="0"/>
                <w:i w:val="0"/>
                <w:color w:val="000000"/>
                <w:sz w:val="20"/>
              </w:rPr>
              <w:t>fck</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décision du point 5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fctm</w:t>
            </w:r>
          </w:p>
        </w:tc>
        <w:tc>
          <w:tcPr>
            <w:tcW w:type="dxa" w:w="1701"/>
          </w:tcPr>
          <w:p>
            <w:pPr>
              <w:spacing w:after="20"/>
            </w:pPr>
            <w:r>
              <w:rPr>
                <w:rFonts w:ascii="Arial" w:hAnsi="Arial" w:cs="Arial" w:eastAsia="Arial"/>
                <w:b w:val="0"/>
                <w:i w:val="0"/>
                <w:color w:val="000000"/>
                <w:sz w:val="20"/>
              </w:rPr>
              <w:t>2,9</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décision du point 5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poids_volumique</w:t>
            </w:r>
          </w:p>
        </w:tc>
        <w:tc>
          <w:tcPr>
            <w:tcW w:type="dxa" w:w="1701"/>
          </w:tcPr>
          <w:p>
            <w:pPr>
              <w:spacing w:after="20"/>
            </w:pPr>
            <w:r>
              <w:rPr>
                <w:rFonts w:ascii="Arial" w:hAnsi="Arial" w:cs="Arial" w:eastAsia="Arial"/>
                <w:b w:val="0"/>
                <w:i w:val="0"/>
                <w:color w:val="000000"/>
                <w:sz w:val="20"/>
              </w:rPr>
              <w:t>25</w:t>
            </w:r>
          </w:p>
        </w:tc>
        <w:tc>
          <w:tcPr>
            <w:tcW w:type="dxa" w:w="907"/>
          </w:tcPr>
          <w:p>
            <w:pPr>
              <w:spacing w:after="20"/>
            </w:pPr>
            <w:r>
              <w:rPr>
                <w:rFonts w:ascii="Arial" w:hAnsi="Arial" w:cs="Arial" w:eastAsia="Arial"/>
                <w:b w:val="0"/>
                <w:i w:val="0"/>
                <w:color w:val="000000"/>
                <w:sz w:val="20"/>
              </w:rPr>
              <w:t>kN/m3</w:t>
            </w:r>
          </w:p>
        </w:tc>
        <w:tc>
          <w:tcPr>
            <w:tcW w:type="dxa" w:w="2268"/>
          </w:tcPr>
          <w:p>
            <w:pPr>
              <w:spacing w:after="20"/>
            </w:pPr>
            <w:r>
              <w:rPr>
                <w:rFonts w:ascii="Arial" w:hAnsi="Arial" w:cs="Arial" w:eastAsia="Arial"/>
                <w:b w:val="0"/>
                <w:i w:val="0"/>
                <w:color w:val="000000"/>
                <w:sz w:val="20"/>
              </w:rPr>
              <w:t>décision du point 4 (MM, 2026-10-02)</w:t>
            </w:r>
          </w:p>
        </w:tc>
        <w:tc>
          <w:tcPr>
            <w:tcW w:type="dxa" w:w="2835"/>
          </w:tcPr>
          <w:p>
            <w:pPr>
              <w:spacing w:after="20"/>
            </w:pPr>
            <w:r>
              <w:rPr>
                <w:rFonts w:ascii="Arial" w:hAnsi="Arial" w:cs="Arial" w:eastAsia="Arial"/>
                <w:b w:val="0"/>
                <w:i w:val="0"/>
                <w:color w:val="000000"/>
                <w:sz w:val="20"/>
              </w:rPr>
              <w:t>RHO = poids volumique / g (2 548,42 kg/m³) : calculé par le générateur.</w:t>
            </w:r>
          </w:p>
        </w:tc>
      </w:tr>
    </w:tbl>
    <w:p>
      <w:pPr>
        <w:spacing w:after="40"/>
      </w:pPr>
    </w:p>
    <w:p>
      <w:pPr>
        <w:pStyle w:val="Heading2"/>
      </w:pPr>
      <w:r>
        <w:rPr>
          <w:rFonts w:ascii="Arial" w:hAnsi="Arial" w:cs="Arial" w:eastAsia="Arial"/>
          <w:b/>
          <w:i w:val="0"/>
          <w:color w:val="000000"/>
          <w:sz w:val="20"/>
        </w:rPr>
        <w:t>3.3 Groupe de données : acier</w:t>
      </w:r>
    </w:p>
    <w:p>
      <w:r>
        <w:rPr>
          <w:rFonts w:ascii="Arial" w:hAnsi="Arial" w:cs="Arial" w:eastAsia="Arial"/>
          <w:b/>
          <w:i w:val="0"/>
          <w:color w:val="000000"/>
          <w:sz w:val="20"/>
        </w:rPr>
        <w:t>Données — acier</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nuance</w:t>
            </w:r>
          </w:p>
        </w:tc>
        <w:tc>
          <w:tcPr>
            <w:tcW w:type="dxa" w:w="1701"/>
          </w:tcPr>
          <w:p>
            <w:pPr>
              <w:spacing w:after="20"/>
            </w:pPr>
            <w:r>
              <w:rPr>
                <w:rFonts w:ascii="Arial" w:hAnsi="Arial" w:cs="Arial" w:eastAsia="Arial"/>
                <w:b w:val="0"/>
                <w:i w:val="0"/>
                <w:color w:val="000000"/>
                <w:sz w:val="20"/>
              </w:rPr>
              <w:t>B500B</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fyk</w:t>
            </w:r>
          </w:p>
        </w:tc>
        <w:tc>
          <w:tcPr>
            <w:tcW w:type="dxa" w:w="1701"/>
          </w:tcPr>
          <w:p>
            <w:pPr>
              <w:spacing w:after="20"/>
            </w:pPr>
            <w:r>
              <w:rPr>
                <w:rFonts w:ascii="Arial" w:hAnsi="Arial" w:cs="Arial" w:eastAsia="Arial"/>
                <w:b w:val="0"/>
                <w:i w:val="0"/>
                <w:color w:val="000000"/>
                <w:sz w:val="20"/>
              </w:rPr>
              <w:t>500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diametre_barres</w:t>
            </w:r>
          </w:p>
        </w:tc>
        <w:tc>
          <w:tcPr>
            <w:tcW w:type="dxa" w:w="1701"/>
          </w:tcPr>
          <w:p>
            <w:pPr>
              <w:spacing w:after="20"/>
            </w:pPr>
            <w:r>
              <w:rPr>
                <w:rFonts w:ascii="Arial" w:hAnsi="Arial" w:cs="Arial" w:eastAsia="Arial"/>
                <w:b w:val="0"/>
                <w:i w:val="0"/>
                <w:color w:val="000000"/>
                <w:sz w:val="20"/>
              </w:rPr>
              <w:t>12</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HA12 dans les deux directions, deux nappes.</w:t>
            </w:r>
          </w:p>
        </w:tc>
      </w:tr>
      <w:tr>
        <w:trPr>
          <w:cantSplit/>
        </w:trPr>
        <w:tc>
          <w:tcPr>
            <w:tcW w:type="dxa" w:w="1928"/>
          </w:tcPr>
          <w:p>
            <w:pPr>
              <w:spacing w:after="20"/>
            </w:pPr>
            <w:r>
              <w:rPr>
                <w:rFonts w:ascii="Arial" w:hAnsi="Arial" w:cs="Arial" w:eastAsia="Arial"/>
                <w:b w:val="0"/>
                <w:i w:val="0"/>
                <w:color w:val="000000"/>
                <w:sz w:val="20"/>
              </w:rPr>
              <w:t>gamma_c</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Situation durable.</w:t>
            </w:r>
          </w:p>
        </w:tc>
      </w:tr>
      <w:tr>
        <w:trPr>
          <w:cantSplit/>
        </w:trPr>
        <w:tc>
          <w:tcPr>
            <w:tcW w:type="dxa" w:w="1928"/>
          </w:tcPr>
          <w:p>
            <w:pPr>
              <w:spacing w:after="20"/>
            </w:pPr>
            <w:r>
              <w:rPr>
                <w:rFonts w:ascii="Arial" w:hAnsi="Arial" w:cs="Arial" w:eastAsia="Arial"/>
                <w:b w:val="0"/>
                <w:i w:val="0"/>
                <w:color w:val="000000"/>
                <w:sz w:val="20"/>
              </w:rPr>
              <w:t>gamma_s</w:t>
            </w:r>
          </w:p>
        </w:tc>
        <w:tc>
          <w:tcPr>
            <w:tcW w:type="dxa" w:w="1701"/>
          </w:tcPr>
          <w:p>
            <w:pPr>
              <w:spacing w:after="20"/>
            </w:pPr>
            <w:r>
              <w:rPr>
                <w:rFonts w:ascii="Arial" w:hAnsi="Arial" w:cs="Arial" w:eastAsia="Arial"/>
                <w:b w:val="0"/>
                <w:i w:val="0"/>
                <w:color w:val="000000"/>
                <w:sz w:val="20"/>
              </w:rPr>
              <w:t>1,15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Situation durable.</w:t>
            </w:r>
          </w:p>
        </w:tc>
      </w:tr>
      <w:tr>
        <w:trPr>
          <w:cantSplit/>
        </w:trPr>
        <w:tc>
          <w:tcPr>
            <w:tcW w:type="dxa" w:w="1928"/>
          </w:tcPr>
          <w:p>
            <w:pPr>
              <w:spacing w:after="20"/>
            </w:pPr>
            <w:r>
              <w:rPr>
                <w:rFonts w:ascii="Arial" w:hAnsi="Arial" w:cs="Arial" w:eastAsia="Arial"/>
                <w:b w:val="0"/>
                <w:i w:val="0"/>
                <w:color w:val="000000"/>
                <w:sz w:val="20"/>
              </w:rPr>
              <w:t>alpha_cc</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Écrit explicitement dans le .comm (défaut de Code_Aster : 0,85).</w:t>
            </w:r>
          </w:p>
        </w:tc>
      </w:tr>
      <w:tr>
        <w:trPr>
          <w:cantSplit/>
        </w:trPr>
        <w:tc>
          <w:tcPr>
            <w:tcW w:type="dxa" w:w="1928"/>
          </w:tcPr>
          <w:p>
            <w:pPr>
              <w:spacing w:after="20"/>
            </w:pPr>
            <w:r>
              <w:rPr>
                <w:rFonts w:ascii="Arial" w:hAnsi="Arial" w:cs="Arial" w:eastAsia="Arial"/>
                <w:b w:val="0"/>
                <w:i w:val="0"/>
                <w:color w:val="000000"/>
                <w:sz w:val="20"/>
              </w:rPr>
              <w:t>alpha_e</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Complément d'arbitrage (paramètres ELS).</w:t>
            </w:r>
          </w:p>
        </w:tc>
      </w:tr>
      <w:tr>
        <w:trPr>
          <w:cantSplit/>
        </w:trPr>
        <w:tc>
          <w:tcPr>
            <w:tcW w:type="dxa" w:w="1928"/>
          </w:tcPr>
          <w:p>
            <w:pPr>
              <w:spacing w:after="20"/>
            </w:pPr>
            <w:r>
              <w:rPr>
                <w:rFonts w:ascii="Arial" w:hAnsi="Arial" w:cs="Arial" w:eastAsia="Arial"/>
                <w:b w:val="0"/>
                <w:i w:val="0"/>
                <w:color w:val="000000"/>
                <w:sz w:val="20"/>
              </w:rPr>
              <w:t>sigma_c_els</w:t>
            </w:r>
          </w:p>
        </w:tc>
        <w:tc>
          <w:tcPr>
            <w:tcW w:type="dxa" w:w="1701"/>
          </w:tcPr>
          <w:p>
            <w:pPr>
              <w:spacing w:after="20"/>
            </w:pPr>
            <w:r>
              <w:rPr>
                <w:rFonts w:ascii="Arial" w:hAnsi="Arial" w:cs="Arial" w:eastAsia="Arial"/>
                <w:b w:val="0"/>
                <w:i w:val="0"/>
                <w:color w:val="000000"/>
                <w:sz w:val="20"/>
              </w:rPr>
              <w:t>18</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0,6 fck : artifice de saisie exigé en 2D ; inactivité vérifiée par sensibilité.</w:t>
            </w:r>
          </w:p>
        </w:tc>
      </w:tr>
      <w:tr>
        <w:trPr>
          <w:cantSplit/>
        </w:trPr>
        <w:tc>
          <w:tcPr>
            <w:tcW w:type="dxa" w:w="1928"/>
          </w:tcPr>
          <w:p>
            <w:pPr>
              <w:spacing w:after="20"/>
            </w:pPr>
            <w:r>
              <w:rPr>
                <w:rFonts w:ascii="Arial" w:hAnsi="Arial" w:cs="Arial" w:eastAsia="Arial"/>
                <w:b w:val="0"/>
                <w:i w:val="0"/>
                <w:color w:val="000000"/>
                <w:sz w:val="20"/>
              </w:rPr>
              <w:t>sigma_c_els_qp</w:t>
            </w:r>
          </w:p>
        </w:tc>
        <w:tc>
          <w:tcPr>
            <w:tcW w:type="dxa" w:w="1701"/>
          </w:tcPr>
          <w:p>
            <w:pPr>
              <w:spacing w:after="20"/>
            </w:pPr>
            <w:r>
              <w:rPr>
                <w:rFonts w:ascii="Arial" w:hAnsi="Arial" w:cs="Arial" w:eastAsia="Arial"/>
                <w:b w:val="0"/>
                <w:i w:val="0"/>
                <w:color w:val="000000"/>
                <w:sz w:val="20"/>
              </w:rPr>
              <w:t>13,5</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0,45 fck.</w:t>
            </w:r>
          </w:p>
        </w:tc>
      </w:tr>
      <w:tr>
        <w:trPr>
          <w:cantSplit/>
        </w:trPr>
        <w:tc>
          <w:tcPr>
            <w:tcW w:type="dxa" w:w="1928"/>
          </w:tcPr>
          <w:p>
            <w:pPr>
              <w:spacing w:after="20"/>
            </w:pPr>
            <w:r>
              <w:rPr>
                <w:rFonts w:ascii="Arial" w:hAnsi="Arial" w:cs="Arial" w:eastAsia="Arial"/>
                <w:b w:val="0"/>
                <w:i w:val="0"/>
                <w:color w:val="000000"/>
                <w:sz w:val="20"/>
              </w:rPr>
              <w:t>kt</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Chargement de longue durée.</w:t>
            </w:r>
          </w:p>
        </w:tc>
      </w:tr>
      <w:tr>
        <w:trPr>
          <w:cantSplit/>
        </w:trPr>
        <w:tc>
          <w:tcPr>
            <w:tcW w:type="dxa" w:w="1928"/>
          </w:tcPr>
          <w:p>
            <w:pPr>
              <w:spacing w:after="20"/>
            </w:pPr>
            <w:r>
              <w:rPr>
                <w:rFonts w:ascii="Arial" w:hAnsi="Arial" w:cs="Arial" w:eastAsia="Arial"/>
                <w:b w:val="0"/>
                <w:i w:val="0"/>
                <w:color w:val="000000"/>
                <w:sz w:val="20"/>
              </w:rPr>
              <w:t>module_young</w:t>
            </w:r>
          </w:p>
        </w:tc>
        <w:tc>
          <w:tcPr>
            <w:tcW w:type="dxa" w:w="1701"/>
          </w:tcPr>
          <w:p>
            <w:pPr>
              <w:spacing w:after="20"/>
            </w:pPr>
            <w:r>
              <w:rPr>
                <w:rFonts w:ascii="Arial" w:hAnsi="Arial" w:cs="Arial" w:eastAsia="Arial"/>
                <w:b w:val="0"/>
                <w:i w:val="0"/>
                <w:color w:val="000000"/>
                <w:sz w:val="20"/>
              </w:rPr>
              <w:t>200000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EYS. Lot 44 : 200 GPa (EN 1992-1-1, 3.2.7(4)), décision de MM, au lieu de 210 000 MPa au lot 43.</w:t>
            </w:r>
          </w:p>
        </w:tc>
      </w:tr>
      <w:tr>
        <w:trPr>
          <w:cantSplit/>
        </w:trPr>
        <w:tc>
          <w:tcPr>
            <w:tcW w:type="dxa" w:w="1928"/>
          </w:tcPr>
          <w:p>
            <w:pPr>
              <w:spacing w:after="20"/>
            </w:pPr>
            <w:r>
              <w:rPr>
                <w:rFonts w:ascii="Arial" w:hAnsi="Arial" w:cs="Arial" w:eastAsia="Arial"/>
                <w:b w:val="0"/>
                <w:i w:val="0"/>
                <w:color w:val="000000"/>
                <w:sz w:val="20"/>
              </w:rPr>
              <w:t>rapport_sigma_s_els</w:t>
            </w:r>
          </w:p>
        </w:tc>
        <w:tc>
          <w:tcPr>
            <w:tcW w:type="dxa" w:w="1701"/>
          </w:tcPr>
          <w:p>
            <w:pPr>
              <w:spacing w:after="20"/>
            </w:pPr>
            <w:r>
              <w:rPr>
                <w:rFonts w:ascii="Arial" w:hAnsi="Arial" w:cs="Arial" w:eastAsia="Arial"/>
                <w:b w:val="0"/>
                <w:i w:val="0"/>
                <w:color w:val="000000"/>
                <w:sz w:val="20"/>
              </w:rPr>
              <w:t>0,8</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σs ≤ 0,8 fyk sous combinaison caractéristique.</w:t>
            </w:r>
          </w:p>
        </w:tc>
      </w:tr>
    </w:tbl>
    <w:p>
      <w:pPr>
        <w:spacing w:after="40"/>
      </w:pPr>
    </w:p>
    <w:p>
      <w:pPr>
        <w:pStyle w:val="Heading2"/>
      </w:pPr>
      <w:r>
        <w:rPr>
          <w:rFonts w:ascii="Arial" w:hAnsi="Arial" w:cs="Arial" w:eastAsia="Arial"/>
          <w:b/>
          <w:i w:val="0"/>
          <w:color w:val="000000"/>
          <w:sz w:val="20"/>
        </w:rPr>
        <w:t>3.4 Groupe de données : charges</w:t>
      </w:r>
    </w:p>
    <w:p>
      <w:r>
        <w:rPr>
          <w:rFonts w:ascii="Arial" w:hAnsi="Arial" w:cs="Arial" w:eastAsia="Arial"/>
          <w:b/>
          <w:i w:val="0"/>
          <w:color w:val="000000"/>
          <w:sz w:val="20"/>
        </w:rPr>
        <w:t>Données — charges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exploitation_uniforme</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description_MM_lot43.md, document</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acceleration_pesanteur</w:t>
            </w:r>
          </w:p>
        </w:tc>
        <w:tc>
          <w:tcPr>
            <w:tcW w:type="dxa" w:w="1701"/>
          </w:tcPr>
          <w:p>
            <w:pPr>
              <w:spacing w:after="20"/>
            </w:pPr>
            <w:r>
              <w:rPr>
                <w:rFonts w:ascii="Arial" w:hAnsi="Arial" w:cs="Arial" w:eastAsia="Arial"/>
                <w:b w:val="0"/>
                <w:i w:val="0"/>
                <w:color w:val="000000"/>
                <w:sz w:val="20"/>
              </w:rPr>
              <w:t>9,81</w:t>
            </w:r>
          </w:p>
        </w:tc>
        <w:tc>
          <w:tcPr>
            <w:tcW w:type="dxa" w:w="907"/>
          </w:tcPr>
          <w:p>
            <w:pPr>
              <w:spacing w:after="20"/>
            </w:pPr>
            <w:r>
              <w:rPr>
                <w:rFonts w:ascii="Arial" w:hAnsi="Arial" w:cs="Arial" w:eastAsia="Arial"/>
                <w:b w:val="0"/>
                <w:i w:val="0"/>
                <w:color w:val="000000"/>
                <w:sz w:val="20"/>
              </w:rPr>
              <w:t>m/s2</w:t>
            </w:r>
          </w:p>
        </w:tc>
        <w:tc>
          <w:tcPr>
            <w:tcW w:type="dxa" w:w="2268"/>
          </w:tcPr>
          <w:p>
            <w:pPr>
              <w:spacing w:after="20"/>
            </w:pPr>
            <w:r>
              <w:rPr>
                <w:rFonts w:ascii="Arial" w:hAnsi="Arial" w:cs="Arial" w:eastAsia="Arial"/>
                <w:b w:val="0"/>
                <w:i w:val="0"/>
                <w:color w:val="000000"/>
                <w:sz w:val="20"/>
              </w:rPr>
              <w:t>décision du point 4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resultante_poids_propre_attendue</w:t>
            </w:r>
          </w:p>
        </w:tc>
        <w:tc>
          <w:tcPr>
            <w:tcW w:type="dxa" w:w="1701"/>
          </w:tcPr>
          <w:p>
            <w:pPr>
              <w:spacing w:after="20"/>
            </w:pPr>
            <w:r>
              <w:rPr>
                <w:rFonts w:ascii="Arial" w:hAnsi="Arial" w:cs="Arial" w:eastAsia="Arial"/>
                <w:b w:val="0"/>
                <w:i w:val="0"/>
                <w:color w:val="000000"/>
                <w:sz w:val="20"/>
              </w:rPr>
              <w:t>180,0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décision du point 4 (MM, 2026-10-02)</w:t>
            </w:r>
          </w:p>
        </w:tc>
        <w:tc>
          <w:tcPr>
            <w:tcW w:type="dxa" w:w="2835"/>
          </w:tcPr>
          <w:p>
            <w:pPr>
              <w:spacing w:after="20"/>
            </w:pPr>
            <w:r>
              <w:rPr>
                <w:rFonts w:ascii="Arial" w:hAnsi="Arial" w:cs="Arial" w:eastAsia="Arial"/>
                <w:b w:val="0"/>
                <w:i w:val="0"/>
                <w:color w:val="000000"/>
                <w:sz w:val="20"/>
              </w:rPr>
              <w:t>Contrôle de résultante du cas G (MM).</w:t>
            </w:r>
          </w:p>
        </w:tc>
      </w:tr>
      <w:tr>
        <w:trPr>
          <w:cantSplit/>
        </w:trPr>
        <w:tc>
          <w:tcPr>
            <w:tcW w:type="dxa" w:w="1928"/>
          </w:tcPr>
          <w:p>
            <w:pPr>
              <w:spacing w:after="20"/>
            </w:pPr>
            <w:r>
              <w:rPr>
                <w:rFonts w:ascii="Arial" w:hAnsi="Arial" w:cs="Arial" w:eastAsia="Arial"/>
                <w:b w:val="0"/>
                <w:i w:val="0"/>
                <w:color w:val="000000"/>
                <w:sz w:val="20"/>
              </w:rPr>
              <w:t>resultante_exploitation_attendue</w:t>
            </w:r>
          </w:p>
        </w:tc>
        <w:tc>
          <w:tcPr>
            <w:tcW w:type="dxa" w:w="1701"/>
          </w:tcPr>
          <w:p>
            <w:pPr>
              <w:spacing w:after="20"/>
            </w:pPr>
            <w:r>
              <w:rPr>
                <w:rFonts w:ascii="Arial" w:hAnsi="Arial" w:cs="Arial" w:eastAsia="Arial"/>
                <w:b w:val="0"/>
                <w:i w:val="0"/>
                <w:color w:val="000000"/>
                <w:sz w:val="20"/>
              </w:rPr>
              <w:t>240,0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décision du point 4 (MM, 2026-10-02)</w:t>
            </w:r>
          </w:p>
        </w:tc>
        <w:tc>
          <w:tcPr>
            <w:tcW w:type="dxa" w:w="2835"/>
          </w:tcPr>
          <w:p>
            <w:pPr>
              <w:spacing w:after="20"/>
            </w:pPr>
            <w:r>
              <w:rPr>
                <w:rFonts w:ascii="Arial" w:hAnsi="Arial" w:cs="Arial" w:eastAsia="Arial"/>
                <w:b w:val="0"/>
                <w:i w:val="0"/>
                <w:color w:val="000000"/>
                <w:sz w:val="20"/>
              </w:rPr>
              <w:t>Contrôle de résultante du cas Q (MM).</w:t>
            </w:r>
          </w:p>
        </w:tc>
      </w:tr>
    </w:tbl>
    <w:p>
      <w:pPr>
        <w:spacing w:after="40"/>
      </w:pPr>
    </w:p>
    <w:p>
      <w:pPr>
        <w:pStyle w:val="Heading2"/>
      </w:pPr>
      <w:r>
        <w:rPr>
          <w:rFonts w:ascii="Arial" w:hAnsi="Arial" w:cs="Arial" w:eastAsia="Arial"/>
          <w:b/>
          <w:i w:val="0"/>
          <w:color w:val="000000"/>
          <w:sz w:val="20"/>
        </w:rPr>
        <w:t>3.5 Groupe de données : durabilite</w:t>
      </w:r>
    </w:p>
    <w:p>
      <w:r>
        <w:rPr>
          <w:rFonts w:ascii="Arial" w:hAnsi="Arial" w:cs="Arial" w:eastAsia="Arial"/>
          <w:b/>
          <w:i w:val="0"/>
          <w:color w:val="000000"/>
          <w:sz w:val="20"/>
        </w:rPr>
        <w:t>Données — durabilite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classe_exposition</w:t>
            </w:r>
          </w:p>
        </w:tc>
        <w:tc>
          <w:tcPr>
            <w:tcW w:type="dxa" w:w="1701"/>
          </w:tcPr>
          <w:p>
            <w:pPr>
              <w:spacing w:after="20"/>
            </w:pPr>
            <w:r>
              <w:rPr>
                <w:rFonts w:ascii="Arial" w:hAnsi="Arial" w:cs="Arial" w:eastAsia="Arial"/>
                <w:b w:val="0"/>
                <w:i w:val="0"/>
                <w:color w:val="000000"/>
                <w:sz w:val="20"/>
              </w:rPr>
              <w:t>XC1</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description_MM_lot43.md, document</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enrobage</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Enrobage nominal (P6).</w:t>
            </w:r>
          </w:p>
        </w:tc>
      </w:tr>
      <w:tr>
        <w:trPr>
          <w:cantSplit/>
        </w:trPr>
        <w:tc>
          <w:tcPr>
            <w:tcW w:type="dxa" w:w="1928"/>
          </w:tcPr>
          <w:p>
            <w:pPr>
              <w:spacing w:after="20"/>
            </w:pPr>
            <w:r>
              <w:rPr>
                <w:rFonts w:ascii="Arial" w:hAnsi="Arial" w:cs="Arial" w:eastAsia="Arial"/>
                <w:b w:val="0"/>
                <w:i w:val="0"/>
                <w:color w:val="000000"/>
                <w:sz w:val="20"/>
              </w:rPr>
              <w:t>distance_axe_lit_exterieur</w:t>
            </w:r>
          </w:p>
        </w:tc>
        <w:tc>
          <w:tcPr>
            <w:tcW w:type="dxa" w:w="1701"/>
          </w:tcPr>
          <w:p>
            <w:pPr>
              <w:spacing w:after="20"/>
            </w:pPr>
            <w:r>
              <w:rPr>
                <w:rFonts w:ascii="Arial" w:hAnsi="Arial" w:cs="Arial" w:eastAsia="Arial"/>
                <w:b w:val="0"/>
                <w:i w:val="0"/>
                <w:color w:val="000000"/>
                <w:sz w:val="20"/>
              </w:rPr>
              <w:t>36</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Barres portant selon Y (petite portée).</w:t>
            </w:r>
          </w:p>
        </w:tc>
      </w:tr>
      <w:tr>
        <w:trPr>
          <w:cantSplit/>
        </w:trPr>
        <w:tc>
          <w:tcPr>
            <w:tcW w:type="dxa" w:w="1928"/>
          </w:tcPr>
          <w:p>
            <w:pPr>
              <w:spacing w:after="20"/>
            </w:pPr>
            <w:r>
              <w:rPr>
                <w:rFonts w:ascii="Arial" w:hAnsi="Arial" w:cs="Arial" w:eastAsia="Arial"/>
                <w:b w:val="0"/>
                <w:i w:val="0"/>
                <w:color w:val="000000"/>
                <w:sz w:val="20"/>
              </w:rPr>
              <w:t>distance_axe_lit_interieur</w:t>
            </w:r>
          </w:p>
        </w:tc>
        <w:tc>
          <w:tcPr>
            <w:tcW w:type="dxa" w:w="1701"/>
          </w:tcPr>
          <w:p>
            <w:pPr>
              <w:spacing w:after="20"/>
            </w:pPr>
            <w:r>
              <w:rPr>
                <w:rFonts w:ascii="Arial" w:hAnsi="Arial" w:cs="Arial" w:eastAsia="Arial"/>
                <w:b w:val="0"/>
                <w:i w:val="0"/>
                <w:color w:val="000000"/>
                <w:sz w:val="20"/>
              </w:rPr>
              <w:t>48</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Barres portant selon X (grande portée).</w:t>
            </w:r>
          </w:p>
        </w:tc>
      </w:tr>
      <w:tr>
        <w:trPr>
          <w:cantSplit/>
        </w:trPr>
        <w:tc>
          <w:tcPr>
            <w:tcW w:type="dxa" w:w="1928"/>
          </w:tcPr>
          <w:p>
            <w:pPr>
              <w:spacing w:after="20"/>
            </w:pPr>
            <w:r>
              <w:rPr>
                <w:rFonts w:ascii="Arial" w:hAnsi="Arial" w:cs="Arial" w:eastAsia="Arial"/>
                <w:b w:val="0"/>
                <w:i w:val="0"/>
                <w:color w:val="000000"/>
                <w:sz w:val="20"/>
              </w:rPr>
              <w:t>distance_parement_axe_armatures</w:t>
            </w:r>
          </w:p>
        </w:tc>
        <w:tc>
          <w:tcPr>
            <w:tcW w:type="dxa" w:w="1701"/>
          </w:tcPr>
          <w:p>
            <w:pPr>
              <w:spacing w:after="20"/>
            </w:pPr>
            <w:r>
              <w:rPr>
                <w:rFonts w:ascii="Arial" w:hAnsi="Arial" w:cs="Arial" w:eastAsia="Arial"/>
                <w:b w:val="0"/>
                <w:i w:val="0"/>
                <w:color w:val="000000"/>
                <w:sz w:val="20"/>
              </w:rPr>
              <w:t>48</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C_INF = C_SUP de CALC_FERRAILLAGE : une seule distance par face en 2D (catalogue 17.4), valeur sécuritaire pour les deux directions.</w:t>
            </w:r>
          </w:p>
        </w:tc>
      </w:tr>
      <w:tr>
        <w:trPr>
          <w:cantSplit/>
        </w:trPr>
        <w:tc>
          <w:tcPr>
            <w:tcW w:type="dxa" w:w="1928"/>
          </w:tcPr>
          <w:p>
            <w:pPr>
              <w:spacing w:after="20"/>
            </w:pPr>
            <w:r>
              <w:rPr>
                <w:rFonts w:ascii="Arial" w:hAnsi="Arial" w:cs="Arial" w:eastAsia="Arial"/>
                <w:b w:val="0"/>
                <w:i w:val="0"/>
                <w:color w:val="000000"/>
                <w:sz w:val="20"/>
              </w:rPr>
              <w:t>ouverture_fissure_limite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Sous combinaison quasi permanente (tableau 7.1N ; 7.1NF à vérifier par MM).</w:t>
            </w:r>
          </w:p>
        </w:tc>
      </w:tr>
    </w:tbl>
    <w:p>
      <w:pPr>
        <w:spacing w:after="40"/>
      </w:pPr>
    </w:p>
    <w:p>
      <w:pPr>
        <w:pStyle w:val="Heading2"/>
      </w:pPr>
      <w:r>
        <w:rPr>
          <w:rFonts w:ascii="Arial" w:hAnsi="Arial" w:cs="Arial" w:eastAsia="Arial"/>
          <w:b/>
          <w:i w:val="0"/>
          <w:color w:val="000000"/>
          <w:sz w:val="20"/>
        </w:rPr>
        <w:t>3.6 Groupe de données : combinaisons</w:t>
      </w:r>
    </w:p>
    <w:p>
      <w:r>
        <w:rPr>
          <w:rFonts w:ascii="Arial" w:hAnsi="Arial" w:cs="Arial" w:eastAsia="Arial"/>
          <w:b/>
          <w:i w:val="0"/>
          <w:color w:val="000000"/>
          <w:sz w:val="20"/>
        </w:rPr>
        <w:t>Données — combinaisons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categorie_exploitation</w:t>
            </w:r>
          </w:p>
        </w:tc>
        <w:tc>
          <w:tcPr>
            <w:tcW w:type="dxa" w:w="1701"/>
          </w:tcPr>
          <w:p>
            <w:pPr>
              <w:spacing w:after="20"/>
            </w:pPr>
            <w:r>
              <w:rPr>
                <w:rFonts w:ascii="Arial" w:hAnsi="Arial" w:cs="Arial" w:eastAsia="Arial"/>
                <w:b w:val="0"/>
                <w:i w:val="0"/>
                <w:color w:val="000000"/>
                <w:sz w:val="20"/>
              </w:rPr>
              <w:t>E</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2026-10-02)</w:t>
            </w:r>
          </w:p>
        </w:tc>
        <w:tc>
          <w:tcPr>
            <w:tcW w:type="dxa" w:w="2835"/>
          </w:tcPr>
          <w:p>
            <w:pPr>
              <w:spacing w:after="20"/>
            </w:pPr>
            <w:r>
              <w:rPr>
                <w:rFonts w:ascii="Arial" w:hAnsi="Arial" w:cs="Arial" w:eastAsia="Arial"/>
                <w:b w:val="0"/>
                <w:i w:val="0"/>
                <w:color w:val="000000"/>
                <w:sz w:val="20"/>
              </w:rPr>
              <w:t>Aires de stockage.</w:t>
            </w:r>
          </w:p>
        </w:tc>
      </w:tr>
      <w:tr>
        <w:trPr>
          <w:cantSplit/>
        </w:trPr>
        <w:tc>
          <w:tcPr>
            <w:tcW w:type="dxa" w:w="1928"/>
          </w:tcPr>
          <w:p>
            <w:pPr>
              <w:spacing w:after="20"/>
            </w:pPr>
            <w:r>
              <w:rPr>
                <w:rFonts w:ascii="Arial" w:hAnsi="Arial" w:cs="Arial" w:eastAsia="Arial"/>
                <w:b w:val="0"/>
                <w:i w:val="0"/>
                <w:color w:val="000000"/>
                <w:sz w:val="20"/>
              </w:rPr>
              <w:t>gamma_g_defavorable</w:t>
            </w:r>
          </w:p>
        </w:tc>
        <w:tc>
          <w:tcPr>
            <w:tcW w:type="dxa" w:w="1701"/>
          </w:tcPr>
          <w:p>
            <w:pPr>
              <w:spacing w:after="20"/>
            </w:pPr>
            <w:r>
              <w:rPr>
                <w:rFonts w:ascii="Arial" w:hAnsi="Arial" w:cs="Arial" w:eastAsia="Arial"/>
                <w:b w:val="0"/>
                <w:i w:val="0"/>
                <w:color w:val="000000"/>
                <w:sz w:val="20"/>
              </w:rPr>
              <w:t>1,35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2026-10-02)</w:t>
            </w:r>
          </w:p>
        </w:tc>
        <w:tc>
          <w:tcPr>
            <w:tcW w:type="dxa" w:w="2835"/>
          </w:tcPr>
          <w:p>
            <w:pPr>
              <w:spacing w:after="20"/>
            </w:pPr>
            <w:r>
              <w:rPr>
                <w:rFonts w:ascii="Arial" w:hAnsi="Arial" w:cs="Arial" w:eastAsia="Arial"/>
                <w:b w:val="0"/>
                <w:i w:val="0"/>
                <w:color w:val="000000"/>
                <w:sz w:val="20"/>
              </w:rPr>
              <w:t>G toujours défavorable : aucun γG favorable.</w:t>
            </w:r>
          </w:p>
        </w:tc>
      </w:tr>
      <w:tr>
        <w:trPr>
          <w:cantSplit/>
        </w:trPr>
        <w:tc>
          <w:tcPr>
            <w:tcW w:type="dxa" w:w="1928"/>
          </w:tcPr>
          <w:p>
            <w:pPr>
              <w:spacing w:after="20"/>
            </w:pPr>
            <w:r>
              <w:rPr>
                <w:rFonts w:ascii="Arial" w:hAnsi="Arial" w:cs="Arial" w:eastAsia="Arial"/>
                <w:b w:val="0"/>
                <w:i w:val="0"/>
                <w:color w:val="000000"/>
                <w:sz w:val="20"/>
              </w:rPr>
              <w:t>gamma_q</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q_psi0</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q_psi1</w:t>
            </w:r>
          </w:p>
        </w:tc>
        <w:tc>
          <w:tcPr>
            <w:tcW w:type="dxa" w:w="1701"/>
          </w:tcPr>
          <w:p>
            <w:pPr>
              <w:spacing w:after="20"/>
            </w:pPr>
            <w:r>
              <w:rPr>
                <w:rFonts w:ascii="Arial" w:hAnsi="Arial" w:cs="Arial" w:eastAsia="Arial"/>
                <w:b w:val="0"/>
                <w:i w:val="0"/>
                <w:color w:val="000000"/>
                <w:sz w:val="20"/>
              </w:rPr>
              <w:t>0,9</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q_psi2</w:t>
            </w:r>
          </w:p>
        </w:tc>
        <w:tc>
          <w:tcPr>
            <w:tcW w:type="dxa" w:w="1701"/>
          </w:tcPr>
          <w:p>
            <w:pPr>
              <w:spacing w:after="20"/>
            </w:pPr>
            <w:r>
              <w:rPr>
                <w:rFonts w:ascii="Arial" w:hAnsi="Arial" w:cs="Arial" w:eastAsia="Arial"/>
                <w:b w:val="0"/>
                <w:i w:val="0"/>
                <w:color w:val="000000"/>
                <w:sz w:val="20"/>
              </w:rPr>
              <w:t>0,8</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2026-10-02)</w:t>
            </w:r>
          </w:p>
        </w:tc>
        <w:tc>
          <w:tcPr>
            <w:tcW w:type="dxa" w:w="2835"/>
          </w:tcPr>
          <w:p>
            <w:pPr>
              <w:spacing w:after="20"/>
            </w:pPr>
            <w:r>
              <w:rPr>
                <w:rFonts w:ascii="Arial" w:hAnsi="Arial" w:cs="Arial" w:eastAsia="Arial"/>
                <w:b w:val="0"/>
                <w:i w:val="0"/>
                <w:color w:val="000000"/>
                <w:sz w:val="20"/>
              </w:rPr>
            </w:r>
          </w:p>
        </w:tc>
      </w:tr>
    </w:tbl>
    <w:p>
      <w:pPr>
        <w:spacing w:after="40"/>
      </w:pPr>
    </w:p>
    <w:p>
      <w:pPr>
        <w:pStyle w:val="Heading2"/>
      </w:pPr>
      <w:r>
        <w:rPr>
          <w:rFonts w:ascii="Arial" w:hAnsi="Arial" w:cs="Arial" w:eastAsia="Arial"/>
          <w:b/>
          <w:i w:val="0"/>
          <w:color w:val="000000"/>
          <w:sz w:val="20"/>
        </w:rPr>
        <w:t>3.7 Groupe de données : maillage</w:t>
      </w:r>
    </w:p>
    <w:p>
      <w:r>
        <w:rPr>
          <w:rFonts w:ascii="Arial" w:hAnsi="Arial" w:cs="Arial" w:eastAsia="Arial"/>
          <w:b/>
          <w:i w:val="0"/>
          <w:color w:val="000000"/>
          <w:sz w:val="20"/>
        </w:rPr>
        <w:t>Données — maillage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tailles_convergence</w:t>
            </w:r>
          </w:p>
        </w:tc>
        <w:tc>
          <w:tcPr>
            <w:tcW w:type="dxa" w:w="1701"/>
          </w:tcPr>
          <w:p>
            <w:pPr>
              <w:spacing w:after="20"/>
            </w:pPr>
            <w:r>
              <w:rPr>
                <w:rFonts w:ascii="Arial" w:hAnsi="Arial" w:cs="Arial" w:eastAsia="Arial"/>
                <w:b w:val="0"/>
                <w:i w:val="0"/>
                <w:color w:val="000000"/>
                <w:sz w:val="20"/>
              </w:rPr>
              <w:t>0,5 ; 0,25 ; 0,125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10 (Claude (superviseur), section B de arbitrage_dalle_appuyee_01_v1 — document validé par MM, 2026-10-02)</w:t>
            </w:r>
          </w:p>
        </w:tc>
        <w:tc>
          <w:tcPr>
            <w:tcW w:type="dxa" w:w="2835"/>
          </w:tcPr>
          <w:p>
            <w:pPr>
              <w:spacing w:after="20"/>
            </w:pPr>
            <w:r>
              <w:rPr>
                <w:rFonts w:ascii="Arial" w:hAnsi="Arial" w:cs="Arial" w:eastAsia="Arial"/>
                <w:b w:val="0"/>
                <w:i w:val="0"/>
                <w:color w:val="000000"/>
                <w:sz w:val="20"/>
              </w:rPr>
              <w:t>Suite de rapport 2 (12×8, 24×16, 48×32 mailles) ; la chaîne projet utilise la plus fine.</w:t>
            </w:r>
          </w:p>
        </w:tc>
      </w:tr>
    </w:tbl>
    <w:p>
      <w:pPr>
        <w:spacing w:after="40"/>
      </w:pPr>
    </w:p>
    <w:p>
      <w:pPr>
        <w:pStyle w:val="Heading2"/>
      </w:pPr>
      <w:r>
        <w:rPr>
          <w:rFonts w:ascii="Arial" w:hAnsi="Arial" w:cs="Arial" w:eastAsia="Arial"/>
          <w:b/>
          <w:i w:val="0"/>
          <w:color w:val="000000"/>
          <w:sz w:val="20"/>
        </w:rPr>
        <w:t>3.8 Convention de nommage des groupes</w:t>
      </w:r>
    </w:p>
    <w:p>
      <w:r>
        <w:rPr>
          <w:rFonts w:ascii="Arial" w:hAnsi="Arial" w:cs="Arial" w:eastAsia="Arial"/>
          <w:b/>
          <w:i w:val="0"/>
          <w:color w:val="000000"/>
          <w:sz w:val="20"/>
        </w:rPr>
        <w:t>Groupes de mailles et de nœuds</w:t>
      </w:r>
    </w:p>
    <w:tbl>
      <w:tblPr>
        <w:tblStyle w:val="TableGrid"/>
        <w:tblW w:type="auto" w:w="0"/>
        <w:jc w:val="center"/>
        <w:tblLayout w:type="fixed"/>
        <w:tblLook w:firstColumn="1" w:firstRow="1" w:lastColumn="0" w:lastRow="0" w:noHBand="0" w:noVBand="1" w:val="04A0"/>
      </w:tblPr>
      <w:tblGrid>
        <w:gridCol w:w="1814"/>
        <w:gridCol w:w="907"/>
        <w:gridCol w:w="3288"/>
        <w:gridCol w:w="680"/>
        <w:gridCol w:w="1361"/>
        <w:gridCol w:w="1587"/>
      </w:tblGrid>
      <w:tr>
        <w:trPr>
          <w:tblHeader w:val="true"/>
        </w:trPr>
        <w:tc>
          <w:tcPr>
            <w:tcW w:type="dxa" w:w="1814"/>
            <w:shd w:val="clear" w:color="auto" w:fill="D9D9D9"/>
          </w:tcPr>
          <w:p>
            <w:pPr>
              <w:spacing w:after="20"/>
            </w:pPr>
            <w:r>
              <w:rPr>
                <w:rFonts w:ascii="Arial" w:hAnsi="Arial" w:cs="Arial" w:eastAsia="Arial"/>
                <w:b/>
                <w:i w:val="0"/>
                <w:color w:val="000000"/>
                <w:sz w:val="20"/>
              </w:rPr>
              <w:t>Groupe</w:t>
            </w:r>
          </w:p>
        </w:tc>
        <w:tc>
          <w:tcPr>
            <w:tcW w:type="dxa" w:w="907"/>
            <w:shd w:val="clear" w:color="auto" w:fill="D9D9D9"/>
          </w:tcPr>
          <w:p>
            <w:pPr>
              <w:spacing w:after="20"/>
            </w:pPr>
            <w:r>
              <w:rPr>
                <w:rFonts w:ascii="Arial" w:hAnsi="Arial" w:cs="Arial" w:eastAsia="Arial"/>
                <w:b/>
                <w:i w:val="0"/>
                <w:color w:val="000000"/>
                <w:sz w:val="20"/>
              </w:rPr>
              <w:t>Type</w:t>
            </w:r>
          </w:p>
        </w:tc>
        <w:tc>
          <w:tcPr>
            <w:tcW w:type="dxa" w:w="3288"/>
            <w:shd w:val="clear" w:color="auto" w:fill="D9D9D9"/>
          </w:tcPr>
          <w:p>
            <w:pPr>
              <w:spacing w:after="20"/>
            </w:pPr>
            <w:r>
              <w:rPr>
                <w:rFonts w:ascii="Arial" w:hAnsi="Arial" w:cs="Arial" w:eastAsia="Arial"/>
                <w:b/>
                <w:i w:val="0"/>
                <w:color w:val="000000"/>
                <w:sz w:val="20"/>
              </w:rPr>
              <w:t>Description</w:t>
            </w:r>
          </w:p>
        </w:tc>
        <w:tc>
          <w:tcPr>
            <w:tcW w:type="dxa" w:w="680"/>
            <w:shd w:val="clear" w:color="auto" w:fill="D9D9D9"/>
          </w:tcPr>
          <w:p>
            <w:pPr>
              <w:spacing w:after="20"/>
            </w:pPr>
            <w:r>
              <w:rPr>
                <w:rFonts w:ascii="Arial" w:hAnsi="Arial" w:cs="Arial" w:eastAsia="Arial"/>
                <w:b/>
                <w:i w:val="0"/>
                <w:color w:val="000000"/>
                <w:sz w:val="20"/>
              </w:rPr>
              <w:t>Point</w:t>
            </w:r>
          </w:p>
        </w:tc>
        <w:tc>
          <w:tcPr>
            <w:tcW w:type="dxa" w:w="1361"/>
            <w:shd w:val="clear" w:color="auto" w:fill="D9D9D9"/>
          </w:tcPr>
          <w:p>
            <w:pPr>
              <w:spacing w:after="20"/>
            </w:pPr>
            <w:r>
              <w:rPr>
                <w:rFonts w:ascii="Arial" w:hAnsi="Arial" w:cs="Arial" w:eastAsia="Arial"/>
                <w:b/>
                <w:i w:val="0"/>
                <w:color w:val="000000"/>
                <w:sz w:val="20"/>
              </w:rPr>
              <w:t>Statut</w:t>
            </w:r>
          </w:p>
        </w:tc>
        <w:tc>
          <w:tcPr>
            <w:tcW w:type="dxa" w:w="1587"/>
            <w:shd w:val="clear" w:color="auto" w:fill="D9D9D9"/>
          </w:tcPr>
          <w:p>
            <w:pPr>
              <w:spacing w:after="20"/>
            </w:pPr>
            <w:r>
              <w:rPr>
                <w:rFonts w:ascii="Arial" w:hAnsi="Arial" w:cs="Arial" w:eastAsia="Arial"/>
                <w:b/>
                <w:i w:val="0"/>
                <w:color w:val="000000"/>
                <w:sz w:val="20"/>
              </w:rPr>
              <w:t>Contrôle</w:t>
            </w:r>
          </w:p>
        </w:tc>
      </w:tr>
      <w:tr>
        <w:trPr>
          <w:cantSplit/>
        </w:trPr>
        <w:tc>
          <w:tcPr>
            <w:tcW w:type="dxa" w:w="1814"/>
          </w:tcPr>
          <w:p>
            <w:pPr>
              <w:spacing w:after="20"/>
            </w:pPr>
            <w:r>
              <w:rPr>
                <w:rFonts w:ascii="Arial" w:hAnsi="Arial" w:cs="Arial" w:eastAsia="Arial"/>
                <w:b w:val="0"/>
                <w:i w:val="0"/>
                <w:color w:val="000000"/>
                <w:sz w:val="20"/>
              </w:rPr>
              <w:t>DALLE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Toutes les mailles QUAD4 de la dalle (surface).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APPUI_X0</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Bord X = 0 (SEG2).</w:t>
            </w:r>
          </w:p>
        </w:tc>
        <w:tc>
          <w:tcPr>
            <w:tcW w:type="dxa" w:w="680"/>
          </w:tcPr>
          <w:p>
            <w:pPr>
              <w:spacing w:after="20"/>
            </w:pPr>
            <w:r>
              <w:rPr>
                <w:rFonts w:ascii="Arial" w:hAnsi="Arial" w:cs="Arial" w:eastAsia="Arial"/>
                <w:b w:val="0"/>
                <w:i w:val="0"/>
                <w:color w:val="000000"/>
                <w:sz w:val="20"/>
              </w:rPr>
              <w:t>6</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APPUI_X6</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Bord X = 6,00 (SEG2).</w:t>
            </w:r>
          </w:p>
        </w:tc>
        <w:tc>
          <w:tcPr>
            <w:tcW w:type="dxa" w:w="680"/>
          </w:tcPr>
          <w:p>
            <w:pPr>
              <w:spacing w:after="20"/>
            </w:pPr>
            <w:r>
              <w:rPr>
                <w:rFonts w:ascii="Arial" w:hAnsi="Arial" w:cs="Arial" w:eastAsia="Arial"/>
                <w:b w:val="0"/>
                <w:i w:val="0"/>
                <w:color w:val="000000"/>
                <w:sz w:val="20"/>
              </w:rPr>
              <w:t>6</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APPUI_Y0</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Bord Y = 0 (SEG2).</w:t>
            </w:r>
          </w:p>
        </w:tc>
        <w:tc>
          <w:tcPr>
            <w:tcW w:type="dxa" w:w="680"/>
          </w:tcPr>
          <w:p>
            <w:pPr>
              <w:spacing w:after="20"/>
            </w:pPr>
            <w:r>
              <w:rPr>
                <w:rFonts w:ascii="Arial" w:hAnsi="Arial" w:cs="Arial" w:eastAsia="Arial"/>
                <w:b w:val="0"/>
                <w:i w:val="0"/>
                <w:color w:val="000000"/>
                <w:sz w:val="20"/>
              </w:rPr>
              <w:t>6</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APPUI_Y4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Bord Y = 4,00 (SEG2).</w:t>
            </w:r>
          </w:p>
        </w:tc>
        <w:tc>
          <w:tcPr>
            <w:tcW w:type="dxa" w:w="680"/>
          </w:tcPr>
          <w:p>
            <w:pPr>
              <w:spacing w:after="20"/>
            </w:pPr>
            <w:r>
              <w:rPr>
                <w:rFonts w:ascii="Arial" w:hAnsi="Arial" w:cs="Arial" w:eastAsia="Arial"/>
                <w:b w:val="0"/>
                <w:i w:val="0"/>
                <w:color w:val="000000"/>
                <w:sz w:val="20"/>
              </w:rPr>
              <w:t>6</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APPUIS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Réunion des nœuds des quatre bords : DZ = 0.</w:t>
            </w:r>
          </w:p>
        </w:tc>
        <w:tc>
          <w:tcPr>
            <w:tcW w:type="dxa" w:w="680"/>
          </w:tcPr>
          <w:p>
            <w:pPr>
              <w:spacing w:after="20"/>
            </w:pPr>
            <w:r>
              <w:rPr>
                <w:rFonts w:ascii="Arial" w:hAnsi="Arial" w:cs="Arial" w:eastAsia="Arial"/>
                <w:b w:val="0"/>
                <w:i w:val="0"/>
                <w:color w:val="000000"/>
                <w:sz w:val="20"/>
              </w:rPr>
              <w:t>6</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P_A</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Coin A (0, 0, 0) : DX = DY = 0.</w:t>
            </w:r>
          </w:p>
        </w:tc>
        <w:tc>
          <w:tcPr>
            <w:tcW w:type="dxa" w:w="680"/>
          </w:tcPr>
          <w:p>
            <w:pPr>
              <w:spacing w:after="20"/>
            </w:pPr>
            <w:r>
              <w:rPr>
                <w:rFonts w:ascii="Arial" w:hAnsi="Arial" w:cs="Arial" w:eastAsia="Arial"/>
                <w:b w:val="0"/>
                <w:i w:val="0"/>
                <w:color w:val="000000"/>
                <w:sz w:val="20"/>
              </w:rPr>
              <w:t>6</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P_B</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Coin B (6, 0, 0), adjacent selon X : DY = 0.</w:t>
            </w:r>
          </w:p>
        </w:tc>
        <w:tc>
          <w:tcPr>
            <w:tcW w:type="dxa" w:w="680"/>
          </w:tcPr>
          <w:p>
            <w:pPr>
              <w:spacing w:after="20"/>
            </w:pPr>
            <w:r>
              <w:rPr>
                <w:rFonts w:ascii="Arial" w:hAnsi="Arial" w:cs="Arial" w:eastAsia="Arial"/>
                <w:b w:val="0"/>
                <w:i w:val="0"/>
                <w:color w:val="000000"/>
                <w:sz w:val="20"/>
              </w:rPr>
              <w:t>6</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CENTRE</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Nœud central (3,0 ; 2,0) : comparaison à Navier.</w:t>
            </w:r>
          </w:p>
        </w:tc>
        <w:tc>
          <w:tcPr>
            <w:tcW w:type="dxa" w:w="680"/>
          </w:tcPr>
          <w:p>
            <w:pPr>
              <w:spacing w:after="20"/>
            </w:pPr>
            <w:r>
              <w:rPr>
                <w:rFonts w:ascii="Arial" w:hAnsi="Arial" w:cs="Arial" w:eastAsia="Arial"/>
                <w:b w:val="0"/>
                <w:i w:val="0"/>
                <w:color w:val="000000"/>
                <w:sz w:val="20"/>
              </w:rPr>
              <w:t>10</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bl>
    <w:p>
      <w:pPr>
        <w:spacing w:after="40"/>
      </w:pPr>
    </w:p>
    <w:p>
      <w:pPr>
        <w:pStyle w:val="Heading1"/>
      </w:pPr>
      <w:r>
        <w:rPr>
          <w:rFonts w:ascii="Arial" w:hAnsi="Arial" w:cs="Arial" w:eastAsia="Arial"/>
          <w:b/>
          <w:i w:val="0"/>
          <w:color w:val="000000"/>
          <w:sz w:val="20"/>
        </w:rPr>
        <w:t>4. Points de la fiche</w:t>
      </w:r>
    </w:p>
    <w:p>
      <w:pPr>
        <w:pStyle w:val="Heading2"/>
      </w:pPr>
      <w:r>
        <w:rPr>
          <w:rFonts w:ascii="Arial" w:hAnsi="Arial" w:cs="Arial" w:eastAsia="Arial"/>
          <w:b/>
          <w:i w:val="0"/>
          <w:color w:val="000000"/>
          <w:sz w:val="20"/>
        </w:rPr>
        <w:t>4.1 Point 0</w:t>
      </w:r>
    </w:p>
    <w:p>
      <w:r>
        <w:rPr>
          <w:rFonts w:ascii="Arial" w:hAnsi="Arial" w:cs="Arial" w:eastAsia="Arial"/>
          <w:b/>
          <w:i w:val="0"/>
          <w:color w:val="000000"/>
          <w:sz w:val="20"/>
        </w:rPr>
        <w:t>Objet et périmètre du calcul</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Calcul élastique linéaire et non fissuré de la dalle seule (plaque), sous chargement statique. Les flèches obtenues sont des flèches instantanées et non fissurées ; la flèche à long terme (fluage, fissuration, EC2 7.4.3) est hors périmètre, et le compte rendu le dit explicitement. Le ferraillage est calculé par CALC_FERRAILLAGE sur les efforts élastiques.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P2 de MM : « Le calcul est élastique linéaire et non fissuré. Les flèches obtenues sont des flèches instantanées et non fissurées. »</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Flèches instantanées seulement ; aucune flèche différée, aucun effet de la fissuration sur la raideur ; EC2 7.4.3 hors périmètre.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Estimation des flèches à long terme (fluage, fissuration). — motif : Hors périmètre de ce lot (P2).</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arbitrage_dalle_appuyee_01_v1, A, P2 (2026-10-02)</w:t>
      </w:r>
    </w:p>
    <w:p>
      <w:pPr>
        <w:ind w:left="340"/>
      </w:pPr>
      <w:r>
        <w:rPr>
          <w:rFonts w:ascii="Arial" w:hAnsi="Arial" w:cs="Arial" w:eastAsia="Arial"/>
          <w:b w:val="0"/>
          <w:i w:val="0"/>
          <w:color w:val="000000"/>
          <w:sz w:val="20"/>
        </w:rPr>
        <w:t>– norme — EN 1992-1-1, 7.4.3 — référence normative fournie par MM, non indexée</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 xml:space="preserve">Notes : </w:t>
      </w:r>
      <w:r>
        <w:rPr>
          <w:rFonts w:ascii="Arial" w:hAnsi="Arial" w:cs="Arial" w:eastAsia="Arial"/>
          <w:b w:val="0"/>
          <w:i w:val="0"/>
          <w:color w:val="000000"/>
          <w:sz w:val="20"/>
        </w:rPr>
        <w:t>Cherché sous methode ("précédents : périmètre du calcul (search_connaissances, couche precedents)") : PRE-009 (quai) : périmètre d'un modèle 3D d'écran ; son contenu (géotechnique amont, charges localisées) ne s'applique pas à une dalle isolée, non proposé. Déduction : MM demande « les déplacements » sans dire s'ils sont instantanés ou à long terme ; un calcul élastique linéaire ne donne que les premiers. La comparaison à Navier (niveau E) porte sur le calcul élastique.</w:t>
      </w:r>
    </w:p>
    <w:p>
      <w:pPr>
        <w:pStyle w:val="Heading2"/>
      </w:pPr>
      <w:r>
        <w:rPr>
          <w:rFonts w:ascii="Arial" w:hAnsi="Arial" w:cs="Arial" w:eastAsia="Arial"/>
          <w:b/>
          <w:i w:val="0"/>
          <w:color w:val="000000"/>
          <w:sz w:val="20"/>
        </w:rPr>
        <w:t>4.2 Point 1</w:t>
      </w:r>
    </w:p>
    <w:p>
      <w:r>
        <w:rPr>
          <w:rFonts w:ascii="Arial" w:hAnsi="Arial" w:cs="Arial" w:eastAsia="Arial"/>
          <w:b/>
          <w:i w:val="0"/>
          <w:color w:val="000000"/>
          <w:sz w:val="20"/>
        </w:rPr>
        <w:t>Choix de la modélisation de plaque de la dalle (h/L = 1/13,3)</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Modélisation DKT (Love-Kirchhoff) pour toute la dalle.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P1 de MM : avec h/L = 0,30/4,00 = 1/13,3, la part de cisaillement transverse dans la flèche d'une bande simplement appuyée vaut environ 0,8·E/(κG)·(h/L)², soit à peu près 1,3 % avec ν = 0,2 et κ = 5/6, négligeable devant la précision d'ingénieur ; les moments d'une plaque appuyée y sont peu sensibles. La référence du niveau E est Kirchhoff (Navier) : DKT est la seule modélisation qui rend la comparaison exacte, sans correction.</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Déformation d'effort tranchant négligée (environ 1,3 % de la flèche selon l'estimation de MM) ; aucune étude de sensibilité DST dans ce lot.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DST (cisaillement transverse), y compris en sensibilité. — motif : Ajoute un écart de modèle qui brouille le niveau E, sans bénéfice pour cet ouvrage ; la sensibilité DST est hors périmètre de ce lot (P1).</w:t>
      </w:r>
    </w:p>
    <w:p>
      <w:pPr>
        <w:ind w:left="340"/>
      </w:pPr>
      <w:r>
        <w:rPr>
          <w:rFonts w:ascii="Arial" w:hAnsi="Arial" w:cs="Arial" w:eastAsia="Arial"/>
          <w:b w:val="0"/>
          <w:i w:val="0"/>
          <w:color w:val="000000"/>
          <w:sz w:val="20"/>
        </w:rPr>
        <w:t>– Q4GG (modélisation du cas test SSLS127). — motif : Même raison que DST : écart de modèle par rapport à Kirchhoff (P1).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arbitrage_dalle_appuyee_01_v1, A, P1 (2026-10-02)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 xml:space="preserve">Notes : </w:t>
      </w:r>
      <w:r>
        <w:rPr>
          <w:rFonts w:ascii="Arial" w:hAnsi="Arial" w:cs="Arial" w:eastAsia="Arial"/>
          <w:b w:val="0"/>
          <w:i w:val="0"/>
          <w:color w:val="000000"/>
          <w:sz w:val="20"/>
        </w:rPr>
        <w:t>Cherché sous methode ("DKT DST Kirchhoff cisaillement transverse plaque mince épaisse choix modélisation") : U2.02.01 § Conclusion : DKT pour h/L &lt; 1/20, DST/Q4G ou coque courbe pour les structures épaisses ; rien pour 1/20 &lt; h/L &lt; 1/10. Cherché sous methode ("plaque rectangulaire simplement appuyée pression uniforme flèche centre DKT (famille V)") : SSLS127 (DKTG, Q4GG), SSNV129 (DKT, contact) : aucun ne départage DKT et DST pour cet élancement. Cherché sous methode ("précédents : choix de modélisation de coque (search_connaissances, couche precedents)") : PRE-001 et PRE-011 (quai) : tube métallique facettisé de 14 mm, élancement sans rapport ; non proposés. Déduction : Le niveau E demandé (Navier, Kirchhoff) n'est exact que pour DKT ; avec DST, il faudrait une référence de Reissner-Mindlin ou accepter un écart de cisaillement à estimer. Les mailles QUAD4 donnent l'élément DKQ (R3.07.03).</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CA-046, CA-047, CA-002, CA-025</w:t>
      </w:r>
    </w:p>
    <w:p>
      <w:pPr>
        <w:pStyle w:val="Heading2"/>
      </w:pPr>
      <w:r>
        <w:rPr>
          <w:rFonts w:ascii="Arial" w:hAnsi="Arial" w:cs="Arial" w:eastAsia="Arial"/>
          <w:b/>
          <w:i w:val="0"/>
          <w:color w:val="000000"/>
          <w:sz w:val="20"/>
        </w:rPr>
        <w:t>4.3 Point 4</w:t>
      </w:r>
    </w:p>
    <w:p>
      <w:r>
        <w:rPr>
          <w:rFonts w:ascii="Arial" w:hAnsi="Arial" w:cs="Arial" w:eastAsia="Arial"/>
          <w:b/>
          <w:i w:val="0"/>
          <w:color w:val="000000"/>
          <w:sz w:val="20"/>
        </w:rPr>
        <w:t>Valeurs et application des charges : poids volumique, g, forme de la charge d'exploitation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Deux cas de charge calculés séparément, chacun comparé à Navier. G : poids propre, poids volumique 25 kN/m³, appliqué par PESANTEUR avec g = 9,81 m/s² et RHO = 25 000 / 9,81 = 2 548,42 kg/m³, de façon que ρ·g vaille exactement 25 kN/m³ ; résultante attendue 25 × 6 × 4 × 0,30 = 180,0 kN. Q : exploitation de 10 kPa en charge surfacique de direction globale −Z (FORCE_COQUE/FZ), et non en PRES, pour ne pas dépendre de l'orientation des normales ; résultante attendue 240,0 kN.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P3 de MM.</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Exploitation uniforme sur toute la dalle ; aucune disposition partielle. RHO est un artifice pour obtenir ρ·g = 25 kN/m³ (le poids volumique du béton armé, pas sa masse volumique réelle) : il n'est valable qu'en statique.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RHO = 2500 kg/m³ et g = 9,81 m/s² (poids 24,5 kN/m³). — motif : MM retient 25 kN/m³ exactement (P3).</w:t>
      </w:r>
    </w:p>
    <w:p>
      <w:pPr>
        <w:ind w:left="340"/>
      </w:pPr>
      <w:r>
        <w:rPr>
          <w:rFonts w:ascii="Arial" w:hAnsi="Arial" w:cs="Arial" w:eastAsia="Arial"/>
          <w:b w:val="0"/>
          <w:i w:val="0"/>
          <w:color w:val="000000"/>
          <w:sz w:val="20"/>
        </w:rPr>
        <w:t>– Exploitation par FORCE_COQUE/PRES après ORIE_NORM_COQUE. — motif : Le résultat dépendrait de l'orientation des normales (P3).</w:t>
      </w:r>
    </w:p>
    <w:p>
      <w:pPr>
        <w:ind w:left="340"/>
      </w:pPr>
      <w:r>
        <w:rPr>
          <w:rFonts w:ascii="Arial" w:hAnsi="Arial" w:cs="Arial" w:eastAsia="Arial"/>
          <w:b w:val="0"/>
          <w:i w:val="0"/>
          <w:color w:val="000000"/>
          <w:sz w:val="20"/>
        </w:rPr>
        <w:t>– Dispositions partielles (damier) de l'exploitation. — motif : Non retenues par P3 : exploitation uniforme de 10 kPa.</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arbitrage_dalle_appuyee_01_v1, A, P3 (2026-10-02)</w:t>
      </w:r>
    </w:p>
    <w:p>
      <w:pPr>
        <w:ind w:left="340"/>
      </w:pPr>
      <w:r>
        <w:rPr>
          <w:rFonts w:ascii="Arial" w:hAnsi="Arial" w:cs="Arial" w:eastAsia="Arial"/>
          <w:b w:val="0"/>
          <w:i w:val="0"/>
          <w:color w:val="000000"/>
          <w:sz w:val="20"/>
        </w:rPr>
        <w:t>– norme — EN 1991-1-1, annexe A — référence normative fournie par MM, non indexée</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 xml:space="preserve">Notes : </w:t>
      </w:r>
      <w:r>
        <w:rPr>
          <w:rFonts w:ascii="Arial" w:hAnsi="Arial" w:cs="Arial" w:eastAsia="Arial"/>
          <w:b w:val="0"/>
          <w:i w:val="0"/>
          <w:color w:val="000000"/>
          <w:sz w:val="20"/>
        </w:rPr>
        <w:t>Cherché sous syntaxe ("FORCE_COQUE PRES pression positive normale sens FX FY FZ repère global") : U4.44.01 § FORCE_COQUE : FZ global ou PRES normale ; ne fixe aucune valeur de charge. Cherché sous methode ("précédents : poids propre, poids volumique (search_connaissances, couche precedents)") : aucun précédent sur le poids volumique d'un béton armé. Déduction : Une dalle isostatique sur quatre appuis simples sous charge uniforme a ses moments maximaux sous chargement total ; une disposition partielle n'est utile que pour une dalle continue (hors périmètre de la description).</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CA-048, CA-024, CA-018</w:t>
      </w:r>
    </w:p>
    <w:p>
      <w:pPr>
        <w:pStyle w:val="Heading2"/>
      </w:pPr>
      <w:r>
        <w:rPr>
          <w:rFonts w:ascii="Arial" w:hAnsi="Arial" w:cs="Arial" w:eastAsia="Arial"/>
          <w:b/>
          <w:i w:val="0"/>
          <w:color w:val="000000"/>
          <w:sz w:val="20"/>
        </w:rPr>
        <w:t>4.4 Point 5</w:t>
      </w:r>
    </w:p>
    <w:p>
      <w:r>
        <w:rPr>
          <w:rFonts w:ascii="Arial" w:hAnsi="Arial" w:cs="Arial" w:eastAsia="Arial"/>
          <w:b/>
          <w:i w:val="0"/>
          <w:color w:val="000000"/>
          <w:sz w:val="20"/>
        </w:rPr>
        <w:t>Paramètres élastiques du béton C30/37 (E, ν) et hypothèse de béton non fissuré</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Béton C30/37 : E = Ecm = 33 000 MPa, ν = 0,2 (béton non fissuré), fck = 30 MPa, fctm = 2,9 MPa. Calcul élastique linéaire et non fissuré. ν est figé avant l'écriture du critère du niveau 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P2 de MM.</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Béton non fissuré : raideur de flexion surestimée pour une dalle fissurée ; flèches instantanées seulement.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ν = 0 (béton fissuré). — motif : MM retient le béton non fissuré, ν = 0,2 (P2).</w:t>
      </w:r>
    </w:p>
    <w:p>
      <w:pPr>
        <w:ind w:left="340"/>
      </w:pPr>
      <w:r>
        <w:rPr>
          <w:rFonts w:ascii="Arial" w:hAnsi="Arial" w:cs="Arial" w:eastAsia="Arial"/>
          <w:b w:val="0"/>
          <w:i w:val="0"/>
          <w:color w:val="000000"/>
          <w:sz w:val="20"/>
        </w:rPr>
        <w:t>– Module effectif à long terme. — motif : Flèche à long terme hors périmètre (P2).</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arbitrage_dalle_appuyee_01_v1, A, P2 (2026-10-02)</w:t>
      </w:r>
    </w:p>
    <w:p>
      <w:pPr>
        <w:ind w:left="340"/>
      </w:pPr>
      <w:r>
        <w:rPr>
          <w:rFonts w:ascii="Arial" w:hAnsi="Arial" w:cs="Arial" w:eastAsia="Arial"/>
          <w:b w:val="0"/>
          <w:i w:val="0"/>
          <w:color w:val="000000"/>
          <w:sz w:val="20"/>
        </w:rPr>
        <w:t>– norme — EN 1992-1-1, tableau 3.1 — référence normative fournie par MM, non indexée</w:t>
      </w:r>
    </w:p>
    <w:p>
      <w:pPr>
        <w:ind w:left="340"/>
      </w:pPr>
      <w:r>
        <w:rPr>
          <w:rFonts w:ascii="Arial" w:hAnsi="Arial" w:cs="Arial" w:eastAsia="Arial"/>
          <w:b w:val="0"/>
          <w:i w:val="0"/>
          <w:color w:val="000000"/>
          <w:sz w:val="20"/>
        </w:rPr>
        <w:t>– norme — EN 1992-1-1, 3.1.3(4) — référence normative fournie par MM, non indexée</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 xml:space="preserve">Notes : </w:t>
      </w:r>
      <w:r>
        <w:rPr>
          <w:rFonts w:ascii="Arial" w:hAnsi="Arial" w:cs="Arial" w:eastAsia="Arial"/>
          <w:b w:val="0"/>
          <w:i w:val="0"/>
          <w:color w:val="000000"/>
          <w:sz w:val="20"/>
        </w:rPr>
        <w:t>Cherché sous methode ("précédents : module béton (search_connaissances, couche precedents)") : aucun résultat. Déduction : Les moments de Navier dépendent de ν (Mx et My au centre) mais pas de E ; la flèche dépend de E et de ν. La valeur de ν est donc à fixer avant le critère du niveau E.</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CA-049</w:t>
      </w:r>
    </w:p>
    <w:p>
      <w:pPr>
        <w:pStyle w:val="Heading2"/>
      </w:pPr>
      <w:r>
        <w:rPr>
          <w:rFonts w:ascii="Arial" w:hAnsi="Arial" w:cs="Arial" w:eastAsia="Arial"/>
          <w:b/>
          <w:i w:val="0"/>
          <w:color w:val="000000"/>
          <w:sz w:val="20"/>
        </w:rPr>
        <w:t>4.5 Point 6</w:t>
      </w:r>
    </w:p>
    <w:p>
      <w:r>
        <w:rPr>
          <w:rFonts w:ascii="Arial" w:hAnsi="Arial" w:cs="Arial" w:eastAsia="Arial"/>
          <w:b/>
          <w:i w:val="0"/>
          <w:color w:val="000000"/>
          <w:sz w:val="20"/>
        </w:rPr>
        <w:t>Représentation de l'appui simple et des mouvements de corps rigide de membrane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Dalle entière, sans symétrie. Appui bilatéral sur les quatre bords : DZ = 0 sur `APPUIS`, rotations libres (hypothèse de Navier, coins retenus). Plan de la dalle : blocage isostatique, DX = DY = 0 au coin `P_A` et DY = 0 au coin `P_B`, adjacent selon X, sans aucune redondance avec d'autres conditions (DIAG-001). La réaction concentrée aux coins, dirigée vers le bas, est attendue et se commente comme résultat physique. La symétrie des résultats selon les deux axes est un contrôle de niveau D.</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P4 de MM.</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Appui bilatéral : un appui réel qui laisse les coins se soulever (contact unilatéral) n'est pas représenté.</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Appui unilatéral (contact). — motif : Calcul de contact non linéaire, hors périmètre (P4).</w:t>
      </w:r>
    </w:p>
    <w:p>
      <w:pPr>
        <w:ind w:left="340"/>
      </w:pPr>
      <w:r>
        <w:rPr>
          <w:rFonts w:ascii="Arial" w:hAnsi="Arial" w:cs="Arial" w:eastAsia="Arial"/>
          <w:b w:val="0"/>
          <w:i w:val="0"/>
          <w:color w:val="000000"/>
          <w:sz w:val="20"/>
        </w:rPr>
        <w:t>– Quart de dalle avec deux plans de symétrie. — motif : Le modèle est petit ; la symétrie devient un contrôle de niveau D, et le piège des conditions de symétrie des coques disparaît (P4).</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arbitrage_dalle_appuyee_01_v1, A, P4 (2026-10-02)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 xml:space="preserve">Notes : </w:t>
      </w:r>
      <w:r>
        <w:rPr>
          <w:rFonts w:ascii="Arial" w:hAnsi="Arial" w:cs="Arial" w:eastAsia="Arial"/>
          <w:b w:val="0"/>
          <w:i w:val="0"/>
          <w:color w:val="000000"/>
          <w:sz w:val="20"/>
        </w:rPr>
        <w:t>Cherché sous theorie ("plaque mince simplement appuyée charge uniforme solution analytique (famille V)") : SSLS127 : DZ = 0 sur le contour, quart de dalle ; ne dit rien des coins ni de la membrane. Cherché sous methode ("précédents : appui (search_connaissances, couches precedents et patrons)") : PRE-014 (appui vertical d'un écran, DZ au pied des tubes) : hors sujet, non proposé. Déduction : La solution de Navier suppose w = 0 et Mn = 0 sur tout le bord, donc des réactions de coin dirigées vers le bas (les coins sont tenus). Un modèle « DZ = 0 bilatéral » la reproduit ; un appui réel qui laisse les coins se soulever n'est pas cette plaque.</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CA-050, CA-030, CA-023</w:t>
      </w:r>
    </w:p>
    <w:p>
      <w:pPr>
        <w:pStyle w:val="Heading2"/>
      </w:pPr>
      <w:r>
        <w:rPr>
          <w:rFonts w:ascii="Arial" w:hAnsi="Arial" w:cs="Arial" w:eastAsia="Arial"/>
          <w:b/>
          <w:i w:val="0"/>
          <w:color w:val="000000"/>
          <w:sz w:val="20"/>
        </w:rPr>
        <w:t>4.6 Point 9</w:t>
      </w:r>
    </w:p>
    <w:p>
      <w:r>
        <w:rPr>
          <w:rFonts w:ascii="Arial" w:hAnsi="Arial" w:cs="Arial" w:eastAsia="Arial"/>
          <w:b/>
          <w:i w:val="0"/>
          <w:color w:val="000000"/>
          <w:sz w:val="20"/>
        </w:rPr>
        <w:t>Repère global, origine et unités du modèle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Origine au coin A (0, 0, 0). X selon le côté de 6,00 m, Y selon le côté de 4,00 m, Z vers le haut. Plan de la dalle à z = 0 (feuillet moyen). Unités m, N, Pa, kg.</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Section B de l'arbitrage (choix de modélisation vérifié par le niveau E et les contrôles D). Repère de la série de Navier (origine au coin).</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Convention de repère : sans limite physique.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Origine au centre de la dalle. — motif : Non retenue par la section B (origine au coin A).</w:t>
      </w:r>
    </w:p>
    <w:p>
      <w:pPr>
        <w:ind w:left="340"/>
      </w:pPr>
      <w:r>
        <w:rPr>
          <w:rFonts w:ascii="Arial" w:hAnsi="Arial" w:cs="Arial" w:eastAsia="Arial"/>
          <w:b w:val="0"/>
          <w:i w:val="0"/>
          <w:color w:val="000000"/>
          <w:sz w:val="20"/>
        </w:rPr>
        <w:t>– Précédent PRE-012 (repère du quai). — motif : Repère propre au quai (axe de tube, cote CM) ; seule la déclaration du repère et des unités dans la fiche est reprise.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arbitrage_dalle_appuyee_01_v1, B, repère (2026-10-02)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Claude (superviseur), section B de arbitrage_dalle_appuyee_01_v1 — document validé par MM, le 2026-10-02</w:t>
      </w:r>
    </w:p>
    <w:p>
      <w:r>
        <w:rPr>
          <w:rFonts w:ascii="Arial" w:hAnsi="Arial" w:cs="Arial" w:eastAsia="Arial"/>
          <w:b/>
          <w:i w:val="0"/>
          <w:color w:val="000000"/>
          <w:sz w:val="20"/>
        </w:rPr>
        <w:t xml:space="preserve">Notes : </w:t>
      </w:r>
      <w:r>
        <w:rPr>
          <w:rFonts w:ascii="Arial" w:hAnsi="Arial" w:cs="Arial" w:eastAsia="Arial"/>
          <w:b w:val="0"/>
          <w:i w:val="0"/>
          <w:color w:val="000000"/>
          <w:sz w:val="20"/>
        </w:rPr>
        <w:t>Cherché sous methode ("précédents : repère global (search_connaissances, couche precedents)") : PRE-012 (quai, point 9) : repère déclaré dans la fiche, unités m, N, Pa, kg. Précédent proposé, non appliqué : PRE-012, origine precedent_projet. Domaine de validité du précédent : Le plan des serrures dans l'axe des tubes est une idéalisation : la position réelle des serrures dépend du type de connecteur. Les unités SI imposent des charges en N et des raideurs en N/m ou N·m, et non les MN utilisés dans les décisions ; la conversion est à la charge du générateur et doit être contrôlée. — à confronter au présent ouvrage et à arbitrer par MM (record_practice_decision).</w:t>
      </w:r>
    </w:p>
    <w:p>
      <w:pPr>
        <w:pStyle w:val="Heading2"/>
      </w:pPr>
      <w:r>
        <w:rPr>
          <w:rFonts w:ascii="Arial" w:hAnsi="Arial" w:cs="Arial" w:eastAsia="Arial"/>
          <w:b/>
          <w:i w:val="0"/>
          <w:color w:val="000000"/>
          <w:sz w:val="20"/>
        </w:rPr>
        <w:t>4.7 Point 10</w:t>
      </w:r>
    </w:p>
    <w:p>
      <w:r>
        <w:rPr>
          <w:rFonts w:ascii="Arial" w:hAnsi="Arial" w:cs="Arial" w:eastAsia="Arial"/>
          <w:b/>
          <w:i w:val="0"/>
          <w:color w:val="000000"/>
          <w:sz w:val="20"/>
        </w:rPr>
        <w:t>Discrétisation : type de mailles, taille, étude de convergence, nœud au centre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Mailles QUAD4 régulières sous la modélisation DKT. Suite de convergence de rapport 2 : tailles 0,50 / 0,25 / 0,125 m, soit 12×8, 24×16 et 48×32 mailles, avec un nœud au centre (3,0 ; 2,0) dans les trois maillages. Moments au centre lus en EFGE_NOEU au nœud `CENTRE` pour la comparaison à Navier ; EFGE_ELNO sert seulement à contrôler l'écart de lissage au centre.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Section B de l'arbitrage. Le précédent PRE-013 (quai) n'avait fait l'objet d'aucune étude de convergence : la suite de rapport 2 en tient lieu ici.</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Convergence établie aux seuls points de comparaison (centre) ; les coins, où Mxy est maximal, ne sont pas couverts par la référence de Navier au même titre.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TRIA3. — motif : Non retenus par la section B (QUAD4 réguliers).</w:t>
      </w:r>
    </w:p>
    <w:p>
      <w:pPr>
        <w:ind w:left="340"/>
      </w:pPr>
      <w:r>
        <w:rPr>
          <w:rFonts w:ascii="Arial" w:hAnsi="Arial" w:cs="Arial" w:eastAsia="Arial"/>
          <w:b w:val="0"/>
          <w:i w:val="0"/>
          <w:color w:val="000000"/>
          <w:sz w:val="20"/>
        </w:rPr>
        <w:t>– Moments lus en EFGE_ELNO d'une maille pour la comparaison. — motif : EFGE_ELNO ne sert qu'à contrôler l'écart de lissage (section B).</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arbitrage_dalle_appuyee_01_v1, B, mailles, suite de convergence, lecture des moments (2026-10-02)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Claude (superviseur), section B de arbitrage_dalle_appuyee_01_v1 — document validé par MM, le 2026-10-02</w:t>
      </w:r>
    </w:p>
    <w:p>
      <w:r>
        <w:rPr>
          <w:rFonts w:ascii="Arial" w:hAnsi="Arial" w:cs="Arial" w:eastAsia="Arial"/>
          <w:b/>
          <w:i w:val="0"/>
          <w:color w:val="000000"/>
          <w:sz w:val="20"/>
        </w:rPr>
        <w:t xml:space="preserve">Notes : </w:t>
      </w:r>
      <w:r>
        <w:rPr>
          <w:rFonts w:ascii="Arial" w:hAnsi="Arial" w:cs="Arial" w:eastAsia="Arial"/>
          <w:b w:val="0"/>
          <w:i w:val="0"/>
          <w:color w:val="000000"/>
          <w:sz w:val="20"/>
        </w:rPr>
        <w:t>Cherché sous methode ("convergence maillage (search_connaissances, toutes couches)") : aucun résultat : la base ne contient aucune étude de convergence. Précédent proposé, non appliqué : PRE-013, origine precedent_projet. Domaine de validité du précédent : - L'épaisseur uniforme de 14 mm sous-estime la raideur côté terre, où il n'y a pas de corrosion.</w:t>
      </w:r>
    </w:p>
    <w:p>
      <w:r>
        <w:rPr>
          <w:rFonts w:ascii="Arial" w:hAnsi="Arial" w:cs="Arial" w:eastAsia="Arial"/>
          <w:b w:val="0"/>
          <w:i w:val="0"/>
          <w:color w:val="000000"/>
          <w:sz w:val="20"/>
        </w:rPr>
        <w:t>- Le bord libre des palplanches en tête ignore leur encastrement réel dans la poutre.</w:t>
      </w:r>
    </w:p>
    <w:p>
      <w:r>
        <w:rPr>
          <w:rFonts w:ascii="Arial" w:hAnsi="Arial" w:cs="Arial" w:eastAsia="Arial"/>
          <w:b w:val="0"/>
          <w:i w:val="0"/>
          <w:color w:val="000000"/>
          <w:sz w:val="20"/>
        </w:rPr>
        <w:t>- L'accrochage du tirant en un seul nœud crée une singularité locale de contrainte : les contraintes du tube autour de ce nœud ne sont pas exploitables.</w:t>
      </w:r>
    </w:p>
    <w:p>
      <w:r>
        <w:rPr>
          <w:rFonts w:ascii="Arial" w:hAnsi="Arial" w:cs="Arial" w:eastAsia="Arial"/>
          <w:b w:val="0"/>
          <w:i w:val="0"/>
          <w:color w:val="000000"/>
          <w:sz w:val="20"/>
        </w:rPr>
        <w:t>- La taille de maille (0,25 m, 40 facettes) n'a fait l'objet d'aucune étude de convergence. — à confronter au présent ouvrage et à arbitrer par MM (record_practice_decision).</w:t>
      </w:r>
    </w:p>
    <w:p>
      <w:pPr>
        <w:pStyle w:val="Heading2"/>
      </w:pPr>
      <w:r>
        <w:rPr>
          <w:rFonts w:ascii="Arial" w:hAnsi="Arial" w:cs="Arial" w:eastAsia="Arial"/>
          <w:b/>
          <w:i w:val="0"/>
          <w:color w:val="000000"/>
          <w:sz w:val="20"/>
        </w:rPr>
        <w:t>4.8 Point 13</w:t>
      </w:r>
    </w:p>
    <w:p>
      <w:r>
        <w:rPr>
          <w:rFonts w:ascii="Arial" w:hAnsi="Arial" w:cs="Arial" w:eastAsia="Arial"/>
          <w:b/>
          <w:i w:val="0"/>
          <w:color w:val="000000"/>
          <w:sz w:val="20"/>
        </w:rPr>
        <w:t>Combinaisons d'actions ELU et ELS (poids propre G, exploitation Q)</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Catégorie d'usage E (aires de stockage) : ψ0 = 1,0, ψ1 = 0,9, ψ2 = 0,8. ELU fondamental : 1,35 G + 1,5 Q, G toujours défavorable (aucun cas favorable). ELS caractéristique : G + Q. ELS quasi permanent : G + 0,8 Q. PRE-016 (quai) n'est retenu que pour γG = 1,35 et γQ = 1,5.</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P5 de MM : 10 kPa dépasse les valeurs usuelles des catégories A à D ; la catégorie E est la seule cohérente avec cette intensité. G est toujours défavorable sur une travée isostatique.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Dalle isostatique sous deux actions (G, Q) ; le reste de PRE-016 (actions du quai) ne s'applique pas.</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γG favorable (1,0 G + 1,5 Q). — motif : G est toujours défavorable sur une travée isostatique (P5).</w:t>
      </w:r>
    </w:p>
    <w:p>
      <w:pPr>
        <w:ind w:left="340"/>
      </w:pPr>
      <w:r>
        <w:rPr>
          <w:rFonts w:ascii="Arial" w:hAnsi="Arial" w:cs="Arial" w:eastAsia="Arial"/>
          <w:b w:val="0"/>
          <w:i w:val="0"/>
          <w:color w:val="000000"/>
          <w:sz w:val="20"/>
        </w:rPr>
        <w:t>– Catégories d'usage A à D. — motif : 10 kPa dépasse leurs valeurs usuelles (P5).</w:t>
      </w:r>
    </w:p>
    <w:p>
      <w:pPr>
        <w:ind w:left="340"/>
      </w:pPr>
      <w:r>
        <w:rPr>
          <w:rFonts w:ascii="Arial" w:hAnsi="Arial" w:cs="Arial" w:eastAsia="Arial"/>
          <w:b w:val="0"/>
          <w:i w:val="0"/>
          <w:color w:val="000000"/>
          <w:sz w:val="20"/>
        </w:rPr>
        <w:t>– Reste du précédent PRE-016 (actions G, EAU, Q1, Q3, A du quai). — motif : Actions propres au quai (P5).</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arbitrage_dalle_appuyee_01_v1, A, P5 (2026-10-02)</w:t>
      </w:r>
    </w:p>
    <w:p>
      <w:pPr>
        <w:ind w:left="340"/>
      </w:pPr>
      <w:r>
        <w:rPr>
          <w:rFonts w:ascii="Arial" w:hAnsi="Arial" w:cs="Arial" w:eastAsia="Arial"/>
          <w:b w:val="0"/>
          <w:i w:val="0"/>
          <w:color w:val="000000"/>
          <w:sz w:val="20"/>
        </w:rPr>
        <w:t>– précédent de projet — PRE-016 — quai_cw_test_01, point 13 (projets/quai_cw_test_01/fiche/hypotheses_combiwall_reference_arbitree.json), décidé par MM le 2026-09-25</w:t>
      </w:r>
    </w:p>
    <w:p>
      <w:pPr>
        <w:ind w:left="340"/>
      </w:pPr>
      <w:r>
        <w:rPr>
          <w:rFonts w:ascii="Arial" w:hAnsi="Arial" w:cs="Arial" w:eastAsia="Arial"/>
          <w:b w:val="0"/>
          <w:i w:val="0"/>
          <w:color w:val="000000"/>
          <w:sz w:val="20"/>
        </w:rPr>
        <w:t>– norme — EN 1991-1-1, tableau 6.1 — référence normative fournie par MM, non indexée</w:t>
      </w:r>
    </w:p>
    <w:p>
      <w:pPr>
        <w:ind w:left="340"/>
      </w:pPr>
      <w:r>
        <w:rPr>
          <w:rFonts w:ascii="Arial" w:hAnsi="Arial" w:cs="Arial" w:eastAsia="Arial"/>
          <w:b w:val="0"/>
          <w:i w:val="0"/>
          <w:color w:val="000000"/>
          <w:sz w:val="20"/>
        </w:rPr>
        <w:t>– norme — EN 1990, tableau A1.1 — référence normative fournie par MM, non indexée</w:t>
      </w:r>
    </w:p>
    <w:p>
      <w:pPr>
        <w:ind w:left="340"/>
      </w:pPr>
      <w:r>
        <w:rPr>
          <w:rFonts w:ascii="Arial" w:hAnsi="Arial" w:cs="Arial" w:eastAsia="Arial"/>
          <w:b w:val="0"/>
          <w:i w:val="0"/>
          <w:color w:val="000000"/>
          <w:sz w:val="20"/>
        </w:rPr>
        <w:t>– norme — EN 1990, 6.10 — référence normative fournie par MM, non indexée</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 xml:space="preserve">Notes : </w:t>
      </w:r>
      <w:r>
        <w:rPr>
          <w:rFonts w:ascii="Arial" w:hAnsi="Arial" w:cs="Arial" w:eastAsia="Arial"/>
          <w:b w:val="0"/>
          <w:i w:val="0"/>
          <w:color w:val="000000"/>
          <w:sz w:val="20"/>
        </w:rPr>
        <w:t>Cherché sous methode ("précédents : combinaisons (search_connaissances, couche precedents)") : PRE-016 (quai, point 13) : combinaisons de l'EN 1990, γG 1,35/1,00, γQ 1,50. Précédent proposé, non appliqué : PRE-016, origine precedent_projet. Domaine de validité du précédent : - Les coefficients ψ de Q1 et Q3 sont des valeurs usuelles non justifiées par un référentiel portuaire propre au projet.</w:t>
      </w:r>
    </w:p>
    <w:p>
      <w:r>
        <w:rPr>
          <w:rFonts w:ascii="Arial" w:hAnsi="Arial" w:cs="Arial" w:eastAsia="Arial"/>
          <w:b w:val="0"/>
          <w:i w:val="0"/>
          <w:color w:val="000000"/>
          <w:sz w:val="20"/>
        </w:rPr>
        <w:t>- Conformément à la décision 7 (D15), le modèle n'est représentatif que pour les effets des charges localisées. Les efforts des tubes et des palplanches sous G, EAU et Q1 relèvent du calcul géotechnique amont : leurs combinaisons issues de ce modèle ne sont pas des efforts de dimensionnement des tubes. Pour la poutre de couronnement, les charges de terre et d'eau uniformes ne produisent pas de flexion dans son plan (lot 37), et ses efforts sont dominés par Q3 et A. — à confronter au présent ouvrage et à arbitrer par MM (record_practice_decision).</w:t>
      </w:r>
    </w:p>
    <w:p>
      <w:pPr>
        <w:pStyle w:val="Heading2"/>
      </w:pPr>
      <w:r>
        <w:rPr>
          <w:rFonts w:ascii="Arial" w:hAnsi="Arial" w:cs="Arial" w:eastAsia="Arial"/>
          <w:b/>
          <w:i w:val="0"/>
          <w:color w:val="000000"/>
          <w:sz w:val="20"/>
        </w:rPr>
        <w:t>4.9 Point 14</w:t>
      </w:r>
    </w:p>
    <w:p>
      <w:r>
        <w:rPr>
          <w:rFonts w:ascii="Arial" w:hAnsi="Arial" w:cs="Arial" w:eastAsia="Arial"/>
          <w:b/>
          <w:i w:val="0"/>
          <w:color w:val="000000"/>
          <w:sz w:val="20"/>
        </w:rPr>
        <w:t>Ferraillage : acier, distance parement–axe, ELS en XC1 (contraintes, fissuration), ferraillage minimal</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Acier B500B, fyk = 500 MPa. γc = 1,5 et γs = 1,15 en situation durable ; ALPHA_CC = 1,0 écrit explicitement dans le .comm (la valeur par défaut 0,85 n'est pas retenue). Barres HA12 dans les deux directions, nappes inférieure et supérieure. Distance du parement à l'axe, enrobage nominal 30 mm : lit extérieur (barres portant dans la petite portée, Y) 30 + 6 = 36 mm ; lit intérieur (barres portant dans la grande portée, X) 30 + 12 + 6 = 48 mm. CALC_FERRAILLAGE n'admet qu'une distance par face en 2D (catalogue 17.4 : C_INF et C_SUP, un réel chacun) : 48 mm est retenu pour les deux directions et déclaré ; la contre-vérification manuelle utilise la même valeur. ELS en XC1 : wk limite = 0,4 mm sous combinaison quasi permanente ; σs ≤ 0,8 fyk sous combinaison caractéristique ; pas de limite sur σc en XC1. Ferraillage minimal : non-fragilité As,min = max(0,26·fctm/fyk ; 0,0013)·b·d ; maîtrise de la fissuration en flexion simple, kc = 0,4, k = 1,0, fct,eff = fctm, Act = b·h/2 ; armatures de répartition ≥ 20 % des armatures principales. Méthode 2D native de CALC_FERRAILLAGE pour les plaques ; contre-vérification indépendante au centre de la dalle (Mxy nul par symétrie) ; coins relevés et commentés, armatures de coin signalées, non calculées.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P6 de MM. Distance à l'axe selon PRE-018 (enrobage mesuré au nu de l'armature). Maîtrise de la fissuration : application de D21 (PRE-020, décision de MM sur la poutre de couronnement du quai, EN 1992-1-1, 7.3.2) à une pièce fléchie : Act est la zone tendue complète de la section avant fissuration, soit b·h/2 en flexion ; kc = 0,4 dépend de la sollicitation ; k = 1,0 dépend de h (h ≤ 300 mm). Correction du lot 45 : l'arbitrage v1 et la fiche du lot 43 présentaient kc = 0,4 et Act = b·h/2 comme une exception à D21 (« PRE-021 », identifiant qui n'a jamais existé : D21 est PRE-020) ; c'est l'application de D21.</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Une seule distance (48 mm) pour les deux directions : défavorable pour le lit extérieur (Y, 36 mm réels). wk = 0,4 mm est la valeur recommandée du tableau 7.1N ; MM vérifie le tableau 7.1NF de l'annexe nationale. Armatures de coin (9.3.1.3) non calculées.</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ALPHA_CC = 0,85 (défaut de CALC_FERRAILLAGE). — motif : Annexe nationale française : αcc = 1,0, comme au quai (P6).</w:t>
      </w:r>
    </w:p>
    <w:p>
      <w:pPr>
        <w:ind w:left="340"/>
      </w:pPr>
      <w:r>
        <w:rPr>
          <w:rFonts w:ascii="Arial" w:hAnsi="Arial" w:cs="Arial" w:eastAsia="Arial"/>
          <w:b w:val="0"/>
          <w:i w:val="0"/>
          <w:color w:val="000000"/>
          <w:sz w:val="20"/>
        </w:rPr>
        <w:t>– Deux distances par face (36 mm en Y, 48 mm en X). — motif : Une seule distance par face en 2D dans CALC_FERRAILLAGE ; 48 mm, sécuritaire, est retenu (P6).</w:t>
      </w:r>
    </w:p>
    <w:p>
      <w:pPr>
        <w:ind w:left="340"/>
      </w:pPr>
      <w:r>
        <w:rPr>
          <w:rFonts w:ascii="Arial" w:hAnsi="Arial" w:cs="Arial" w:eastAsia="Arial"/>
          <w:b w:val="0"/>
          <w:i w:val="0"/>
          <w:color w:val="000000"/>
          <w:sz w:val="20"/>
        </w:rPr>
        <w:t>– Précédent PRE-017 (XS3, wk = 0,2 mm, enrobage 65 mm du quai). — motif : Exposition XC1 et enrobage de 30 mm donnés par MM.</w:t>
      </w:r>
    </w:p>
    <w:p>
      <w:pPr>
        <w:ind w:left="340"/>
      </w:pPr>
      <w:r>
        <w:rPr>
          <w:rFonts w:ascii="Arial" w:hAnsi="Arial" w:cs="Arial" w:eastAsia="Arial"/>
          <w:b w:val="0"/>
          <w:i w:val="0"/>
          <w:color w:val="000000"/>
          <w:sz w:val="20"/>
        </w:rPr>
        <w:t>– Calcul des armatures de coin (9.3.1.3). — motif : Signalées, non calculées (P6).</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arbitrage_dalle_appuyee_01_v1, A, P6 (2026-10-02)</w:t>
      </w:r>
    </w:p>
    <w:p>
      <w:pPr>
        <w:ind w:left="340"/>
      </w:pPr>
      <w:r>
        <w:rPr>
          <w:rFonts w:ascii="Arial" w:hAnsi="Arial" w:cs="Arial" w:eastAsia="Arial"/>
          <w:b w:val="0"/>
          <w:i w:val="0"/>
          <w:color w:val="000000"/>
          <w:sz w:val="20"/>
        </w:rPr>
        <w:t>– précédent de projet — PRE-018 — quai_cw_test_01, point 14 (projets/quai_cw_test_01/fiche/hypotheses_combiwall_reference_arbitree.json), décidé par MM le 2026-09-28</w:t>
      </w:r>
    </w:p>
    <w:p>
      <w:pPr>
        <w:ind w:left="340"/>
      </w:pPr>
      <w:r>
        <w:rPr>
          <w:rFonts w:ascii="Arial" w:hAnsi="Arial" w:cs="Arial" w:eastAsia="Arial"/>
          <w:b w:val="0"/>
          <w:i w:val="0"/>
          <w:color w:val="000000"/>
          <w:sz w:val="20"/>
        </w:rPr>
        <w:t>– norme — EN 1992-1-1, tableau 2.1N — référence normative fournie par MM, non indexée</w:t>
      </w:r>
    </w:p>
    <w:p>
      <w:pPr>
        <w:ind w:left="340"/>
      </w:pPr>
      <w:r>
        <w:rPr>
          <w:rFonts w:ascii="Arial" w:hAnsi="Arial" w:cs="Arial" w:eastAsia="Arial"/>
          <w:b w:val="0"/>
          <w:i w:val="0"/>
          <w:color w:val="000000"/>
          <w:sz w:val="20"/>
        </w:rPr>
        <w:t>– norme — EN 1992-1-1, 3.1.6(1)P (annexe nationale française) — référence normative fournie par MM, non indexée</w:t>
      </w:r>
    </w:p>
    <w:p>
      <w:pPr>
        <w:ind w:left="340"/>
      </w:pPr>
      <w:r>
        <w:rPr>
          <w:rFonts w:ascii="Arial" w:hAnsi="Arial" w:cs="Arial" w:eastAsia="Arial"/>
          <w:b w:val="0"/>
          <w:i w:val="0"/>
          <w:color w:val="000000"/>
          <w:sz w:val="20"/>
        </w:rPr>
        <w:t>– norme — EN 1992-1-1, tableau 7.1N — référence normative fournie par MM, non indexée</w:t>
      </w:r>
    </w:p>
    <w:p>
      <w:pPr>
        <w:ind w:left="340"/>
      </w:pPr>
      <w:r>
        <w:rPr>
          <w:rFonts w:ascii="Arial" w:hAnsi="Arial" w:cs="Arial" w:eastAsia="Arial"/>
          <w:b w:val="0"/>
          <w:i w:val="0"/>
          <w:color w:val="000000"/>
          <w:sz w:val="20"/>
        </w:rPr>
        <w:t>– norme — EN 1992-1-1, 7.2(5) — référence normative fournie par MM, non indexée</w:t>
      </w:r>
    </w:p>
    <w:p>
      <w:pPr>
        <w:ind w:left="340"/>
      </w:pPr>
      <w:r>
        <w:rPr>
          <w:rFonts w:ascii="Arial" w:hAnsi="Arial" w:cs="Arial" w:eastAsia="Arial"/>
          <w:b w:val="0"/>
          <w:i w:val="0"/>
          <w:color w:val="000000"/>
          <w:sz w:val="20"/>
        </w:rPr>
        <w:t>– norme — EN 1992-1-1, 9.3.1.1 et 9.2.1.1 — référence normative fournie par MM, non indexée</w:t>
      </w:r>
    </w:p>
    <w:p>
      <w:pPr>
        <w:ind w:left="340"/>
      </w:pPr>
      <w:r>
        <w:rPr>
          <w:rFonts w:ascii="Arial" w:hAnsi="Arial" w:cs="Arial" w:eastAsia="Arial"/>
          <w:b w:val="0"/>
          <w:i w:val="0"/>
          <w:color w:val="000000"/>
          <w:sz w:val="20"/>
        </w:rPr>
        <w:t>– norme — EN 1992-1-1, 7.3.2 — référence normative fournie par MM, non indexée</w:t>
      </w:r>
    </w:p>
    <w:p>
      <w:pPr>
        <w:ind w:left="340"/>
      </w:pPr>
      <w:r>
        <w:rPr>
          <w:rFonts w:ascii="Arial" w:hAnsi="Arial" w:cs="Arial" w:eastAsia="Arial"/>
          <w:b w:val="0"/>
          <w:i w:val="0"/>
          <w:color w:val="000000"/>
          <w:sz w:val="20"/>
        </w:rPr>
        <w:t>– arbitrage de MM — consigne du lot 45 (docs/lots/lot45_consigne.md), conséquence pour la dalle : kc = 0,4 et Act = b·h/2 appliquent D21 (PRE-020) (2026-10-02)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 xml:space="preserve">Notes : </w:t>
      </w:r>
      <w:r>
        <w:rPr>
          <w:rFonts w:ascii="Arial" w:hAnsi="Arial" w:cs="Arial" w:eastAsia="Arial"/>
          <w:b w:val="0"/>
          <w:i w:val="0"/>
          <w:color w:val="000000"/>
          <w:sz w:val="20"/>
        </w:rPr>
        <w:t>Cherché sous methode ("précédents : enrobage, fissuration, axe des armatures (search_connaissances)") : PRE-017 (durabilité du quai, XS3, wk 0,2 mm) et PRE-018 (axe des armatures à 0,10 m) trouvés. Cherché sous syntaxe ("CALC_FERRAILLAGE (get_command_schema)") : TYPE_COMB ELU/ELS/ELS_QP, WMAX_INF/WMAX_SUP en 2D, METHODE_2D CAPRA-MAURY/SANDWICH. Déduction : L'enrobage de 30 mm n'est pas la distance à l'axe (PRE-018) ; il faut un diamètre de barre pour passer de l'un à l'autre. ALPHA_CC = 0,85 par défaut dans CALC_FERRAILLAGE alors que le quai a retenu 1,0 (projet.yaml du quai) : valeur à fixer explicitement. Précédent proposé, non appliqué : PRE-017, origine precedent_projet. Domaine de validité du précédent : Ces valeurs s'appliquent à la seule poutre de couronnement, seul élément en béton armé du modèle. Les tubes et les palplanches en acier relèvent de l'EN 1993-5, hors de cette décision. — à confronter au présent ouvrage et à arbitrer par MM (record_practice_decision). Précédent proposé, non appliqué : PRE-018, origine precedent_projet. Domaine de validité du précédent : La valeur est forfaitaire ; elle sera à ajuster au ferraillage réellement retenu. — à confronter au présent ouvrage et à arbitrer par MM (record_practice_decision).</w:t>
      </w:r>
    </w:p>
    <w:p>
      <w:r>
        <w:rPr>
          <w:rFonts w:ascii="Arial" w:hAnsi="Arial" w:cs="Arial" w:eastAsia="Arial"/>
          <w:b/>
          <w:i w:val="0"/>
          <w:color w:val="000000"/>
          <w:sz w:val="20"/>
        </w:rPr>
        <w:t>Paramètres ELS obligatoires de CALC_FERRAILLAGE en 2D (ALPHA_E, SIGC_*_ELS, SIGC_ELS_QP, KT, EYS)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ALPHA_E = 15. SIGC_INF_ELS = SIGC_SUP_ELS = 0,6 fck = 18 MPa, avec un second calcul à valeur non contraignante pour montrer que la limite n'est pas active (rapportée si elle l'est). SIGC_ELS_QP = 0,45 fck = 13,5 MPa. KT = 0,4 (chargement de longue durée). EYS = 200 000 MPa (Es = 200 GPa, EN 1992-1-1, 3.2.7(4) ; décision de MM au lot 44, au lieu des 210 GPa du lot 43).</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Réponses de MM aux questions de la session (complément d'arbitrage, donnees/sources/arbitrage_dalle_appuyee_01_complement_els.md) : ces paramètres sont obligatoires en 2D selon U4.81.42 et l'arbitrage v1 dit « pas de limite sur σc en XC1 ». Lot 44, décision de MM : « La valeur de 210 GPa est celle des aciers de construction (EN 1993). La réglementation du béton armé retient 200 GPa pour les armatures. »</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limite σc = 18 MPa est un artifice de saisie exigé par la commande, sans exigence de l'EC2 en XC1 : son inactivité est vérifiée par la sensibilité. αe = 15 est maintenu : c'est un coefficient d'équivalence de long terme, choisi délibérément, indépendant de Es (lot 44).</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ALPHA_E = Es/Ecm (≈ 6,1). — motif : MM retient 15.</w:t>
      </w:r>
    </w:p>
    <w:p>
      <w:pPr>
        <w:ind w:left="340"/>
      </w:pPr>
      <w:r>
        <w:rPr>
          <w:rFonts w:ascii="Arial" w:hAnsi="Arial" w:cs="Arial" w:eastAsia="Arial"/>
          <w:b w:val="0"/>
          <w:i w:val="0"/>
          <w:color w:val="000000"/>
          <w:sz w:val="20"/>
        </w:rPr>
        <w:t>– SIGC_*_ELS non contraignant sans sensibilité. — motif : MM retient 0,6 fck et demande la sensibilité.</w:t>
      </w:r>
    </w:p>
    <w:p>
      <w:pPr>
        <w:ind w:left="340"/>
      </w:pPr>
      <w:r>
        <w:rPr>
          <w:rFonts w:ascii="Arial" w:hAnsi="Arial" w:cs="Arial" w:eastAsia="Arial"/>
          <w:b w:val="0"/>
          <w:i w:val="0"/>
          <w:color w:val="000000"/>
          <w:sz w:val="20"/>
        </w:rPr>
        <w:t>– KT = 0,6 (courte durée). — motif : Longue durée.</w:t>
      </w:r>
    </w:p>
    <w:p>
      <w:pPr>
        <w:ind w:left="340"/>
      </w:pPr>
      <w:r>
        <w:rPr>
          <w:rFonts w:ascii="Arial" w:hAnsi="Arial" w:cs="Arial" w:eastAsia="Arial"/>
          <w:b w:val="0"/>
          <w:i w:val="0"/>
          <w:color w:val="000000"/>
          <w:sz w:val="20"/>
        </w:rPr>
        <w:t>– EYS = 210 000 MPa (décision du lot 43). — motif : valeur des aciers de construction (EN 1993) ; le béton armé retient 200 GPa pour les armatures (lot 44).</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arbitrage_dalle_appuyee_01_complement_els (réponses de MM en séance, lot 43, phase 2) (2026-10-02)</w:t>
      </w:r>
    </w:p>
    <w:p>
      <w:pPr>
        <w:ind w:left="340"/>
      </w:pPr>
      <w:r>
        <w:rPr>
          <w:rFonts w:ascii="Arial" w:hAnsi="Arial" w:cs="Arial" w:eastAsia="Arial"/>
          <w:b w:val="0"/>
          <w:i w:val="0"/>
          <w:color w:val="000000"/>
          <w:sz w:val="20"/>
        </w:rPr>
        <w:t>– arbitrage de MM — consigne du lot 44 (docs/lots/lot44_consigne.md), module de l'acier Es = 200 GPa ; référence normative fournie par MM, non indexée (2026-10-02)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 xml:space="preserve">Notes : </w:t>
      </w:r>
      <w:r>
        <w:rPr>
          <w:rFonts w:ascii="Arial" w:hAnsi="Arial" w:cs="Arial" w:eastAsia="Arial"/>
          <w:b w:val="0"/>
          <w:i w:val="0"/>
          <w:color w:val="000000"/>
          <w:sz w:val="20"/>
        </w:rPr>
        <w:t>Cherché sous syntaxe ("SIGC_INF_ELS SIGC_SUP_ELS SIGS_ELS ALPHA_E contrainte admissible béton ELS obligatoire (U4.81.42)") : U4.81.42 : SIGC_INF_ELS et SIGC_SUP_ELS obligatoires en 2D à l'ELS, ALPHA_E obligatoire à l'ELS et à l'ELS_QP, SIGC_ELS_QP et KT obligatoires à l'ELS_QP, EYS « couramment 210000 MPa » ; aucune de ces valeurs n'est fixée par arbitrage_dalle_appuyee_01_v1.</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CA-051, CA-039, CA-041, CA-045</w:t>
      </w:r>
    </w:p>
    <w:p>
      <w:pPr>
        <w:pStyle w:val="Heading1"/>
      </w:pPr>
      <w:r>
        <w:rPr>
          <w:rFonts w:ascii="Arial" w:hAnsi="Arial" w:cs="Arial" w:eastAsia="Arial"/>
          <w:b/>
          <w:i w:val="0"/>
          <w:color w:val="000000"/>
          <w:sz w:val="20"/>
        </w:rPr>
        <w:t>5. Constats Code_Aster cités</w:t>
      </w:r>
    </w:p>
    <w:p>
      <w:r>
        <w:rPr>
          <w:rFonts w:ascii="Arial" w:hAnsi="Arial" w:cs="Arial" w:eastAsia="Arial"/>
          <w:b/>
          <w:i w:val="0"/>
          <w:color w:val="000000"/>
          <w:sz w:val="20"/>
        </w:rPr>
        <w:t>Constats cités (15)</w:t>
      </w:r>
    </w:p>
    <w:tbl>
      <w:tblPr>
        <w:tblStyle w:val="TableGrid"/>
        <w:tblW w:type="auto" w:w="0"/>
        <w:jc w:val="center"/>
        <w:tblLayout w:type="fixed"/>
        <w:tblLook w:firstColumn="1" w:firstRow="1" w:lastColumn="0" w:lastRow="0" w:noHBand="0" w:noVBand="1" w:val="04A0"/>
      </w:tblPr>
      <w:tblGrid>
        <w:gridCol w:w="964"/>
        <w:gridCol w:w="723"/>
        <w:gridCol w:w="5060"/>
        <w:gridCol w:w="964"/>
        <w:gridCol w:w="843"/>
        <w:gridCol w:w="1084"/>
      </w:tblGrid>
      <w:tr>
        <w:trPr>
          <w:tblHeader w:val="true"/>
        </w:trPr>
        <w:tc>
          <w:tcPr>
            <w:tcW w:type="dxa" w:w="964"/>
            <w:shd w:val="clear" w:color="auto" w:fill="D9D9D9"/>
          </w:tcPr>
          <w:p>
            <w:pPr>
              <w:spacing w:after="20"/>
            </w:pPr>
            <w:r>
              <w:rPr>
                <w:rFonts w:ascii="Arial" w:hAnsi="Arial" w:cs="Arial" w:eastAsia="Arial"/>
                <w:b/>
                <w:i w:val="0"/>
                <w:color w:val="000000"/>
                <w:sz w:val="20"/>
              </w:rPr>
              <w:t>Constat</w:t>
            </w:r>
          </w:p>
        </w:tc>
        <w:tc>
          <w:tcPr>
            <w:tcW w:type="dxa" w:w="723"/>
            <w:shd w:val="clear" w:color="auto" w:fill="D9D9D9"/>
          </w:tcPr>
          <w:p>
            <w:pPr>
              <w:spacing w:after="20"/>
            </w:pPr>
            <w:r>
              <w:rPr>
                <w:rFonts w:ascii="Arial" w:hAnsi="Arial" w:cs="Arial" w:eastAsia="Arial"/>
                <w:b/>
                <w:i w:val="0"/>
                <w:color w:val="000000"/>
                <w:sz w:val="20"/>
              </w:rPr>
              <w:t>Point</w:t>
            </w:r>
          </w:p>
        </w:tc>
        <w:tc>
          <w:tcPr>
            <w:tcW w:type="dxa" w:w="5060"/>
            <w:shd w:val="clear" w:color="auto" w:fill="D9D9D9"/>
          </w:tcPr>
          <w:p>
            <w:pPr>
              <w:spacing w:after="20"/>
            </w:pPr>
            <w:r>
              <w:rPr>
                <w:rFonts w:ascii="Arial" w:hAnsi="Arial" w:cs="Arial" w:eastAsia="Arial"/>
                <w:b/>
                <w:i w:val="0"/>
                <w:color w:val="000000"/>
                <w:sz w:val="20"/>
              </w:rPr>
              <w:t>Énoncé</w:t>
            </w:r>
          </w:p>
        </w:tc>
        <w:tc>
          <w:tcPr>
            <w:tcW w:type="dxa" w:w="964"/>
            <w:shd w:val="clear" w:color="auto" w:fill="D9D9D9"/>
          </w:tcPr>
          <w:p>
            <w:pPr>
              <w:spacing w:after="20"/>
            </w:pPr>
            <w:r>
              <w:rPr>
                <w:rFonts w:ascii="Arial" w:hAnsi="Arial" w:cs="Arial" w:eastAsia="Arial"/>
                <w:b/>
                <w:i w:val="0"/>
                <w:color w:val="000000"/>
                <w:sz w:val="20"/>
              </w:rPr>
              <w:t>Version</w:t>
            </w:r>
          </w:p>
        </w:tc>
        <w:tc>
          <w:tcPr>
            <w:tcW w:type="dxa" w:w="843"/>
            <w:shd w:val="clear" w:color="auto" w:fill="D9D9D9"/>
          </w:tcPr>
          <w:p>
            <w:pPr>
              <w:spacing w:after="20"/>
            </w:pPr>
            <w:r>
              <w:rPr>
                <w:rFonts w:ascii="Arial" w:hAnsi="Arial" w:cs="Arial" w:eastAsia="Arial"/>
                <w:b/>
                <w:i w:val="0"/>
                <w:color w:val="000000"/>
                <w:sz w:val="20"/>
              </w:rPr>
              <w:t>Niveau</w:t>
            </w:r>
          </w:p>
        </w:tc>
        <w:tc>
          <w:tcPr>
            <w:tcW w:type="dxa" w:w="1084"/>
            <w:shd w:val="clear" w:color="auto" w:fill="D9D9D9"/>
          </w:tcPr>
          <w:p>
            <w:pPr>
              <w:spacing w:after="20"/>
            </w:pPr>
            <w:r>
              <w:rPr>
                <w:rFonts w:ascii="Arial" w:hAnsi="Arial" w:cs="Arial" w:eastAsia="Arial"/>
                <w:b/>
                <w:i w:val="0"/>
                <w:color w:val="000000"/>
                <w:sz w:val="20"/>
              </w:rPr>
              <w:t>Statut</w:t>
            </w:r>
          </w:p>
        </w:tc>
      </w:tr>
      <w:tr>
        <w:trPr>
          <w:cantSplit/>
        </w:trPr>
        <w:tc>
          <w:tcPr>
            <w:tcW w:type="dxa" w:w="964"/>
          </w:tcPr>
          <w:p>
            <w:pPr>
              <w:spacing w:after="20"/>
            </w:pPr>
            <w:r>
              <w:rPr>
                <w:rFonts w:ascii="Arial" w:hAnsi="Arial" w:cs="Arial" w:eastAsia="Arial"/>
                <w:b w:val="0"/>
                <w:i w:val="0"/>
                <w:color w:val="000000"/>
                <w:sz w:val="20"/>
              </w:rPr>
              <w:t>CA-002</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Les modélisations de plaque DKT, DST, DKTG et Q4G supposent une épaisseur inférieure à environ un dixième de la longueur caractéristique.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CA-025</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Sous ELAS_COQUE (DKT), les efforts généralisés EFGE_ELNO et EFGE_NOEU sont exacts et indépendants de EPAIS et de CISA_L/CISA_T : ce sont eux qu'il faut lire.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CA-046</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Pour une dalle plane, le catalogue 17.4 propose DKT et DKTG (Love-Kirchhoff), DST, Q4G et Q4GG (cisaillement transverse) et COQUE_3D, et U2.02.01 réserve DKT/DKQ aux plaques minces (h/L &lt; 1/20).</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CA-047</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AFFE_CARA_ELEM/COQUE porte l'épaisseur EPAIS et le repère local ANGL_REP ou VECTEUR, avec A_CIS et COEF_RIGI_DRZ par défaut et GROUP_MA obligatoire.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CA-018</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Une force surfacique de direction fixe sur des coques courbes s'applique par FORCE_COQUE avec FX, FY et FZ en repère global, et non par la composante PRES.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CA-024</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Piège : sous PESANTEUR, RHO d'ELAS_COQUE agit comme une masse volumique multipliée par EPAIS, et RHO = 0 annule le poids de ces éléments sans alarme.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CA-048</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Sur une plaque, le poids propre s'applique par PESANTEUR avec RHO et une charge surfacique par FORCE_COQUE, en FZ global ou en PRES positive à l'opposé de la normale de la maille.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CA-049</w:t>
            </w:r>
          </w:p>
        </w:tc>
        <w:tc>
          <w:tcPr>
            <w:tcW w:type="dxa" w:w="723"/>
          </w:tcPr>
          <w:p>
            <w:pPr>
              <w:spacing w:after="20"/>
            </w:pPr>
            <w:r>
              <w:rPr>
                <w:rFonts w:ascii="Arial" w:hAnsi="Arial" w:cs="Arial" w:eastAsia="Arial"/>
                <w:b w:val="0"/>
                <w:i w:val="0"/>
                <w:color w:val="000000"/>
                <w:sz w:val="20"/>
              </w:rPr>
              <w:t>5</w:t>
            </w:r>
          </w:p>
        </w:tc>
        <w:tc>
          <w:tcPr>
            <w:tcW w:type="dxa" w:w="5060"/>
          </w:tcPr>
          <w:p>
            <w:pPr>
              <w:spacing w:after="20"/>
            </w:pPr>
            <w:r>
              <w:rPr>
                <w:rFonts w:ascii="Arial" w:hAnsi="Arial" w:cs="Arial" w:eastAsia="Arial"/>
                <w:b w:val="0"/>
                <w:i w:val="0"/>
                <w:color w:val="000000"/>
                <w:sz w:val="20"/>
              </w:rPr>
              <w:t>La statique linéaire s'écrit MECA_STATIQUE (MODELE, CHAM_MATER, CARA_ELEM, EXCIT) avec un matériau DEFI_MATERIAU/ELAS (E, NU, RHO).</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CA-023</w:t>
            </w:r>
          </w:p>
        </w:tc>
        <w:tc>
          <w:tcPr>
            <w:tcW w:type="dxa" w:w="723"/>
          </w:tcPr>
          <w:p>
            <w:pPr>
              <w:spacing w:after="20"/>
            </w:pPr>
            <w:r>
              <w:rPr>
                <w:rFonts w:ascii="Arial" w:hAnsi="Arial" w:cs="Arial" w:eastAsia="Arial"/>
                <w:b w:val="0"/>
                <w:i w:val="0"/>
                <w:color w:val="000000"/>
                <w:sz w:val="20"/>
              </w:rPr>
              <w:t>6</w:t>
            </w:r>
          </w:p>
        </w:tc>
        <w:tc>
          <w:tcPr>
            <w:tcW w:type="dxa" w:w="5060"/>
          </w:tcPr>
          <w:p>
            <w:pPr>
              <w:spacing w:after="20"/>
            </w:pPr>
            <w:r>
              <w:rPr>
                <w:rFonts w:ascii="Arial" w:hAnsi="Arial" w:cs="Arial" w:eastAsia="Arial"/>
                <w:b w:val="0"/>
                <w:i w:val="0"/>
                <w:color w:val="000000"/>
                <w:sz w:val="20"/>
              </w:rPr>
              <w:t>Piège : sous ELAS_COQUE, REAC_NODA, FORC_NODA et SIEF_ELGA sont calculés avec une rigidité de flexion MEMB × EPAIS²/12 et sont faux dès que FLEX_L ou FLEX_T en diffère.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CA-030</w:t>
            </w:r>
          </w:p>
        </w:tc>
        <w:tc>
          <w:tcPr>
            <w:tcW w:type="dxa" w:w="723"/>
          </w:tcPr>
          <w:p>
            <w:pPr>
              <w:spacing w:after="20"/>
            </w:pPr>
            <w:r>
              <w:rPr>
                <w:rFonts w:ascii="Arial" w:hAnsi="Arial" w:cs="Arial" w:eastAsia="Arial"/>
                <w:b w:val="0"/>
                <w:i w:val="0"/>
                <w:color w:val="000000"/>
                <w:sz w:val="20"/>
              </w:rPr>
              <w:t>6</w:t>
            </w:r>
          </w:p>
        </w:tc>
        <w:tc>
          <w:tcPr>
            <w:tcW w:type="dxa" w:w="5060"/>
          </w:tcPr>
          <w:p>
            <w:pPr>
              <w:spacing w:after="20"/>
            </w:pPr>
            <w:r>
              <w:rPr>
                <w:rFonts w:ascii="Arial" w:hAnsi="Arial" w:cs="Arial" w:eastAsia="Arial"/>
                <w:b w:val="0"/>
                <w:i w:val="0"/>
                <w:color w:val="000000"/>
                <w:sz w:val="20"/>
              </w:rPr>
              <w:t>La symétrie par rapport à un plan X = constante bloque DX, DRY et DRZ, de la même façon pour les nœuds de coque DKT et de poutre POU_D_E.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CA-050</w:t>
            </w:r>
          </w:p>
        </w:tc>
        <w:tc>
          <w:tcPr>
            <w:tcW w:type="dxa" w:w="723"/>
          </w:tcPr>
          <w:p>
            <w:pPr>
              <w:spacing w:after="20"/>
            </w:pPr>
            <w:r>
              <w:rPr>
                <w:rFonts w:ascii="Arial" w:hAnsi="Arial" w:cs="Arial" w:eastAsia="Arial"/>
                <w:b w:val="0"/>
                <w:i w:val="0"/>
                <w:color w:val="000000"/>
                <w:sz w:val="20"/>
              </w:rPr>
              <w:t>6</w:t>
            </w:r>
          </w:p>
        </w:tc>
        <w:tc>
          <w:tcPr>
            <w:tcW w:type="dxa" w:w="5060"/>
          </w:tcPr>
          <w:p>
            <w:pPr>
              <w:spacing w:after="20"/>
            </w:pPr>
            <w:r>
              <w:rPr>
                <w:rFonts w:ascii="Arial" w:hAnsi="Arial" w:cs="Arial" w:eastAsia="Arial"/>
                <w:b w:val="0"/>
                <w:i w:val="0"/>
                <w:color w:val="000000"/>
                <w:sz w:val="20"/>
              </w:rPr>
              <w:t>Dans le cas test SSLS127, l'appui simple d'une dalle en plaque est DZ = 0 sur les bords, rotations libres, et les plans de symétrie bloquent DY et DRX ou DX et DRY.</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CA-039</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En 17.4, CALC_FERRAILLAGE et COMBINAISON_FERRAILLAGE traitent le 1D, alors que VERI_FERRAILLAGE est limité au 2D et aux types ELU et ELS.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CA-041</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Piège : FERR_MIN='EC2' n'est juste qu'en UNITE_CONTRAINTE='MPa', s'applique aux quatre faces même sans effort, et FERR_MIN_FISS est refusé pour les poutres.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CA-045</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En 2D (Capra-Maury), MXX &gt; 0 tend la face supérieure, et avec MXY les densités diffèrent de l'approximation de Wood-Armer, avec un ajout non expliqué dans un cas dégénéré.</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CA-051</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En 2D, CALC_FERRAILLAGE (EC2) offre les méthodes CAPRA-MAURY et SANDWICH, n'admet qu'une distance C_INF et C_SUP par face pour les deux directions, et ALPHA_CC y vaut 0,85 par défaut.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bl>
    <w:p>
      <w:pPr>
        <w:spacing w:after="40"/>
      </w:pPr>
    </w:p>
    <w:p>
      <w:pPr>
        <w:pStyle w:val="Heading1"/>
      </w:pPr>
      <w:r>
        <w:rPr>
          <w:rFonts w:ascii="Arial" w:hAnsi="Arial" w:cs="Arial" w:eastAsia="Arial"/>
          <w:b/>
          <w:i w:val="0"/>
          <w:color w:val="000000"/>
          <w:sz w:val="20"/>
        </w:rPr>
        <w:t>6. Combinaisons et coefficients</w:t>
      </w:r>
    </w:p>
    <w:p>
      <w:r>
        <w:rPr>
          <w:rFonts w:ascii="Arial" w:hAnsi="Arial" w:cs="Arial" w:eastAsia="Arial"/>
          <w:b/>
          <w:i w:val="0"/>
          <w:color w:val="000000"/>
          <w:sz w:val="20"/>
        </w:rPr>
        <w:t>Coefficients partiels</w:t>
      </w:r>
    </w:p>
    <w:tbl>
      <w:tblPr>
        <w:tblStyle w:val="TableGrid"/>
        <w:tblW w:type="auto" w:w="0"/>
        <w:jc w:val="center"/>
        <w:tblLayout w:type="fixed"/>
        <w:tblLook w:firstColumn="1" w:firstRow="1" w:lastColumn="0" w:lastRow="0" w:noHBand="0" w:noVBand="1" w:val="04A0"/>
      </w:tblPr>
      <w:tblGrid>
        <w:gridCol w:w="2835"/>
        <w:gridCol w:w="1701"/>
        <w:gridCol w:w="5102"/>
      </w:tblGrid>
      <w:tr>
        <w:trPr>
          <w:tblHeader w:val="true"/>
        </w:trPr>
        <w:tc>
          <w:tcPr>
            <w:tcW w:type="dxa" w:w="2835"/>
            <w:shd w:val="clear" w:color="auto" w:fill="D9D9D9"/>
          </w:tcPr>
          <w:p>
            <w:pPr>
              <w:spacing w:after="20"/>
            </w:pPr>
            <w:r>
              <w:rPr>
                <w:rFonts w:ascii="Arial" w:hAnsi="Arial" w:cs="Arial" w:eastAsia="Arial"/>
                <w:b/>
                <w:i w:val="0"/>
                <w:color w:val="000000"/>
                <w:sz w:val="20"/>
              </w:rPr>
              <w:t>Coefficient</w:t>
            </w:r>
          </w:p>
        </w:tc>
        <w:tc>
          <w:tcPr>
            <w:tcW w:type="dxa" w:w="1701"/>
            <w:shd w:val="clear" w:color="auto" w:fill="D9D9D9"/>
          </w:tcPr>
          <w:p>
            <w:pPr>
              <w:spacing w:after="20"/>
            </w:pPr>
            <w:r>
              <w:rPr>
                <w:rFonts w:ascii="Arial" w:hAnsi="Arial" w:cs="Arial" w:eastAsia="Arial"/>
                <w:b/>
                <w:i w:val="0"/>
                <w:color w:val="000000"/>
                <w:sz w:val="20"/>
              </w:rPr>
              <w:t>Valeur</w:t>
            </w:r>
          </w:p>
        </w:tc>
        <w:tc>
          <w:tcPr>
            <w:tcW w:type="dxa" w:w="5102"/>
            <w:shd w:val="clear" w:color="auto" w:fill="D9D9D9"/>
          </w:tcPr>
          <w:p>
            <w:pPr>
              <w:spacing w:after="20"/>
            </w:pPr>
            <w:r>
              <w:rPr>
                <w:rFonts w:ascii="Arial" w:hAnsi="Arial" w:cs="Arial" w:eastAsia="Arial"/>
                <w:b/>
                <w:i w:val="0"/>
                <w:color w:val="000000"/>
                <w:sz w:val="20"/>
              </w:rPr>
              <w:t>Source</w:t>
            </w:r>
          </w:p>
        </w:tc>
      </w:tr>
      <w:tr>
        <w:trPr>
          <w:cantSplit/>
        </w:trPr>
        <w:tc>
          <w:tcPr>
            <w:tcW w:type="dxa" w:w="2835"/>
          </w:tcPr>
          <w:p>
            <w:pPr>
              <w:spacing w:after="20"/>
            </w:pPr>
            <w:r>
              <w:rPr>
                <w:rFonts w:ascii="Arial" w:hAnsi="Arial" w:cs="Arial" w:eastAsia="Arial"/>
                <w:b w:val="0"/>
                <w:i w:val="0"/>
                <w:color w:val="000000"/>
                <w:sz w:val="20"/>
              </w:rPr>
              <w:t>γG défavorable</w:t>
            </w:r>
          </w:p>
        </w:tc>
        <w:tc>
          <w:tcPr>
            <w:tcW w:type="dxa" w:w="1701"/>
          </w:tcPr>
          <w:p>
            <w:pPr>
              <w:spacing w:after="20"/>
            </w:pPr>
            <w:r>
              <w:rPr>
                <w:rFonts w:ascii="Arial" w:hAnsi="Arial" w:cs="Arial" w:eastAsia="Arial"/>
                <w:b w:val="0"/>
                <w:i w:val="0"/>
                <w:color w:val="000000"/>
                <w:sz w:val="20"/>
              </w:rPr>
              <w:t>1,35</w:t>
            </w:r>
          </w:p>
        </w:tc>
        <w:tc>
          <w:tcPr>
            <w:tcW w:type="dxa" w:w="5102"/>
          </w:tcPr>
          <w:p>
            <w:pPr>
              <w:spacing w:after="20"/>
            </w:pPr>
            <w:r>
              <w:rPr>
                <w:rFonts w:ascii="Arial" w:hAnsi="Arial" w:cs="Arial" w:eastAsia="Arial"/>
                <w:b w:val="0"/>
                <w:i w:val="0"/>
                <w:color w:val="000000"/>
                <w:sz w:val="20"/>
              </w:rPr>
              <w:t>donnée combinaisons.gamma_g_defavorable</w:t>
            </w:r>
          </w:p>
        </w:tc>
      </w:tr>
      <w:tr>
        <w:trPr>
          <w:cantSplit/>
        </w:trPr>
        <w:tc>
          <w:tcPr>
            <w:tcW w:type="dxa" w:w="2835"/>
          </w:tcPr>
          <w:p>
            <w:pPr>
              <w:spacing w:after="20"/>
            </w:pPr>
            <w:r>
              <w:rPr>
                <w:rFonts w:ascii="Arial" w:hAnsi="Arial" w:cs="Arial" w:eastAsia="Arial"/>
                <w:b w:val="0"/>
                <w:i w:val="0"/>
                <w:color w:val="000000"/>
                <w:sz w:val="20"/>
              </w:rPr>
              <w:t>γQ</w:t>
            </w:r>
          </w:p>
        </w:tc>
        <w:tc>
          <w:tcPr>
            <w:tcW w:type="dxa" w:w="1701"/>
          </w:tcPr>
          <w:p>
            <w:pPr>
              <w:spacing w:after="20"/>
            </w:pPr>
            <w:r>
              <w:rPr>
                <w:rFonts w:ascii="Arial" w:hAnsi="Arial" w:cs="Arial" w:eastAsia="Arial"/>
                <w:b w:val="0"/>
                <w:i w:val="0"/>
                <w:color w:val="000000"/>
                <w:sz w:val="20"/>
              </w:rPr>
              <w:t>1,5</w:t>
            </w:r>
          </w:p>
        </w:tc>
        <w:tc>
          <w:tcPr>
            <w:tcW w:type="dxa" w:w="5102"/>
          </w:tcPr>
          <w:p>
            <w:pPr>
              <w:spacing w:after="20"/>
            </w:pPr>
            <w:r>
              <w:rPr>
                <w:rFonts w:ascii="Arial" w:hAnsi="Arial" w:cs="Arial" w:eastAsia="Arial"/>
                <w:b w:val="0"/>
                <w:i w:val="0"/>
                <w:color w:val="000000"/>
                <w:sz w:val="20"/>
              </w:rPr>
              <w:t>donnée combinaisons.gamma_q</w:t>
            </w:r>
          </w:p>
        </w:tc>
      </w:tr>
    </w:tbl>
    <w:p>
      <w:pPr>
        <w:spacing w:after="40"/>
      </w:pPr>
    </w:p>
    <w:p>
      <w:r>
        <w:rPr>
          <w:rFonts w:ascii="Arial" w:hAnsi="Arial" w:cs="Arial" w:eastAsia="Arial"/>
          <w:b/>
          <w:i w:val="0"/>
          <w:color w:val="000000"/>
          <w:sz w:val="20"/>
        </w:rPr>
        <w:t>Coefficients de combinaison</w:t>
      </w:r>
    </w:p>
    <w:tbl>
      <w:tblPr>
        <w:tblStyle w:val="TableGrid"/>
        <w:tblW w:type="auto" w:w="0"/>
        <w:jc w:val="center"/>
        <w:tblLayout w:type="fixed"/>
        <w:tblLook w:firstColumn="1" w:firstRow="1" w:lastColumn="0" w:lastRow="0" w:noHBand="0" w:noVBand="1" w:val="04A0"/>
      </w:tblPr>
      <w:tblGrid>
        <w:gridCol w:w="2268"/>
        <w:gridCol w:w="1134"/>
        <w:gridCol w:w="1134"/>
        <w:gridCol w:w="1134"/>
        <w:gridCol w:w="3969"/>
      </w:tblGrid>
      <w:tr>
        <w:trPr>
          <w:tblHeader w:val="true"/>
        </w:trPr>
        <w:tc>
          <w:tcPr>
            <w:tcW w:type="dxa" w:w="2268"/>
            <w:shd w:val="clear" w:color="auto" w:fill="D9D9D9"/>
          </w:tcPr>
          <w:p>
            <w:pPr>
              <w:spacing w:after="20"/>
            </w:pPr>
            <w:r>
              <w:rPr>
                <w:rFonts w:ascii="Arial" w:hAnsi="Arial" w:cs="Arial" w:eastAsia="Arial"/>
                <w:b/>
                <w:i w:val="0"/>
                <w:color w:val="000000"/>
                <w:sz w:val="20"/>
              </w:rPr>
              <w:t>Action variable</w:t>
            </w:r>
          </w:p>
        </w:tc>
        <w:tc>
          <w:tcPr>
            <w:tcW w:type="dxa" w:w="1134"/>
            <w:shd w:val="clear" w:color="auto" w:fill="D9D9D9"/>
          </w:tcPr>
          <w:p>
            <w:pPr>
              <w:spacing w:after="20"/>
            </w:pPr>
            <w:r>
              <w:rPr>
                <w:rFonts w:ascii="Arial" w:hAnsi="Arial" w:cs="Arial" w:eastAsia="Arial"/>
                <w:b/>
                <w:i w:val="0"/>
                <w:color w:val="000000"/>
                <w:sz w:val="20"/>
              </w:rPr>
              <w:t>ψ0</w:t>
            </w:r>
          </w:p>
        </w:tc>
        <w:tc>
          <w:tcPr>
            <w:tcW w:type="dxa" w:w="1134"/>
            <w:shd w:val="clear" w:color="auto" w:fill="D9D9D9"/>
          </w:tcPr>
          <w:p>
            <w:pPr>
              <w:spacing w:after="20"/>
            </w:pPr>
            <w:r>
              <w:rPr>
                <w:rFonts w:ascii="Arial" w:hAnsi="Arial" w:cs="Arial" w:eastAsia="Arial"/>
                <w:b/>
                <w:i w:val="0"/>
                <w:color w:val="000000"/>
                <w:sz w:val="20"/>
              </w:rPr>
              <w:t>ψ1</w:t>
            </w:r>
          </w:p>
        </w:tc>
        <w:tc>
          <w:tcPr>
            <w:tcW w:type="dxa" w:w="1134"/>
            <w:shd w:val="clear" w:color="auto" w:fill="D9D9D9"/>
          </w:tcPr>
          <w:p>
            <w:pPr>
              <w:spacing w:after="20"/>
            </w:pPr>
            <w:r>
              <w:rPr>
                <w:rFonts w:ascii="Arial" w:hAnsi="Arial" w:cs="Arial" w:eastAsia="Arial"/>
                <w:b/>
                <w:i w:val="0"/>
                <w:color w:val="000000"/>
                <w:sz w:val="20"/>
              </w:rPr>
              <w:t>ψ2</w:t>
            </w:r>
          </w:p>
        </w:tc>
        <w:tc>
          <w:tcPr>
            <w:tcW w:type="dxa" w:w="3969"/>
            <w:shd w:val="clear" w:color="auto" w:fill="D9D9D9"/>
          </w:tcPr>
          <w:p>
            <w:pPr>
              <w:spacing w:after="20"/>
            </w:pPr>
            <w:r>
              <w:rPr>
                <w:rFonts w:ascii="Arial" w:hAnsi="Arial" w:cs="Arial" w:eastAsia="Arial"/>
                <w:b/>
                <w:i w:val="0"/>
                <w:color w:val="000000"/>
                <w:sz w:val="20"/>
              </w:rPr>
              <w:t>Source</w:t>
            </w:r>
          </w:p>
        </w:tc>
      </w:tr>
      <w:tr>
        <w:trPr>
          <w:cantSplit/>
        </w:trPr>
        <w:tc>
          <w:tcPr>
            <w:tcW w:type="dxa" w:w="2268"/>
          </w:tcPr>
          <w:p>
            <w:pPr>
              <w:spacing w:after="20"/>
            </w:pPr>
            <w:r>
              <w:rPr>
                <w:rFonts w:ascii="Arial" w:hAnsi="Arial" w:cs="Arial" w:eastAsia="Arial"/>
                <w:b w:val="0"/>
                <w:i w:val="0"/>
                <w:color w:val="000000"/>
                <w:sz w:val="20"/>
              </w:rPr>
              <w:t>Q</w:t>
            </w:r>
          </w:p>
        </w:tc>
        <w:tc>
          <w:tcPr>
            <w:tcW w:type="dxa" w:w="1134"/>
          </w:tcPr>
          <w:p>
            <w:pPr>
              <w:spacing w:after="20"/>
            </w:pPr>
            <w:r>
              <w:rPr>
                <w:rFonts w:ascii="Arial" w:hAnsi="Arial" w:cs="Arial" w:eastAsia="Arial"/>
                <w:b w:val="0"/>
                <w:i w:val="0"/>
                <w:color w:val="000000"/>
                <w:sz w:val="20"/>
              </w:rPr>
              <w:t>1,0</w:t>
            </w:r>
          </w:p>
        </w:tc>
        <w:tc>
          <w:tcPr>
            <w:tcW w:type="dxa" w:w="1134"/>
          </w:tcPr>
          <w:p>
            <w:pPr>
              <w:spacing w:after="20"/>
            </w:pPr>
            <w:r>
              <w:rPr>
                <w:rFonts w:ascii="Arial" w:hAnsi="Arial" w:cs="Arial" w:eastAsia="Arial"/>
                <w:b w:val="0"/>
                <w:i w:val="0"/>
                <w:color w:val="000000"/>
                <w:sz w:val="20"/>
              </w:rPr>
              <w:t>0,9</w:t>
            </w:r>
          </w:p>
        </w:tc>
        <w:tc>
          <w:tcPr>
            <w:tcW w:type="dxa" w:w="1134"/>
          </w:tcPr>
          <w:p>
            <w:pPr>
              <w:spacing w:after="20"/>
            </w:pPr>
            <w:r>
              <w:rPr>
                <w:rFonts w:ascii="Arial" w:hAnsi="Arial" w:cs="Arial" w:eastAsia="Arial"/>
                <w:b w:val="0"/>
                <w:i w:val="0"/>
                <w:color w:val="000000"/>
                <w:sz w:val="20"/>
              </w:rPr>
              <w:t>0,8</w:t>
            </w:r>
          </w:p>
        </w:tc>
        <w:tc>
          <w:tcPr>
            <w:tcW w:type="dxa" w:w="3969"/>
          </w:tcPr>
          <w:p>
            <w:pPr>
              <w:spacing w:after="20"/>
            </w:pPr>
            <w:r>
              <w:rPr>
                <w:rFonts w:ascii="Arial" w:hAnsi="Arial" w:cs="Arial" w:eastAsia="Arial"/>
                <w:b w:val="0"/>
                <w:i w:val="0"/>
                <w:color w:val="000000"/>
                <w:sz w:val="20"/>
              </w:rPr>
              <w:t>donnée combinaisons.q_psi0</w:t>
            </w:r>
          </w:p>
        </w:tc>
      </w:tr>
    </w:tbl>
    <w:p>
      <w:pPr>
        <w:spacing w:after="40"/>
      </w:pPr>
    </w:p>
    <w:p>
      <w:r>
        <w:rPr>
          <w:rFonts w:ascii="Arial" w:hAnsi="Arial" w:cs="Arial" w:eastAsia="Arial"/>
          <w:b/>
          <w:i w:val="0"/>
          <w:color w:val="000000"/>
          <w:sz w:val="20"/>
        </w:rPr>
        <w:t xml:space="preserve">Actions permanentes : </w:t>
      </w:r>
      <w:r>
        <w:rPr>
          <w:rFonts w:ascii="Arial" w:hAnsi="Arial" w:cs="Arial" w:eastAsia="Arial"/>
          <w:b w:val="0"/>
          <w:i w:val="0"/>
          <w:color w:val="000000"/>
          <w:sz w:val="20"/>
        </w:rPr>
        <w:t>G</w:t>
      </w:r>
    </w:p>
    <w:p>
      <w:r>
        <w:rPr>
          <w:rFonts w:ascii="Arial" w:hAnsi="Arial" w:cs="Arial" w:eastAsia="Arial"/>
          <w:b/>
          <w:i w:val="0"/>
          <w:color w:val="000000"/>
          <w:sz w:val="20"/>
        </w:rPr>
        <w:t xml:space="preserve">Coefficient des actions d'accompagnement en ELS fréquent : </w:t>
      </w:r>
      <w:r>
        <w:rPr>
          <w:rFonts w:ascii="Arial" w:hAnsi="Arial" w:cs="Arial" w:eastAsia="Arial"/>
          <w:b w:val="0"/>
          <w:i w:val="0"/>
          <w:color w:val="000000"/>
          <w:sz w:val="20"/>
        </w:rPr>
        <w:t>ψ2</w:t>
      </w:r>
    </w:p>
    <w:p>
      <w:r>
        <w:rPr>
          <w:rFonts w:ascii="Arial" w:hAnsi="Arial" w:cs="Arial" w:eastAsia="Arial"/>
          <w:b/>
          <w:i w:val="0"/>
          <w:color w:val="000000"/>
          <w:sz w:val="20"/>
        </w:rPr>
        <w:t>Combinaisons (4)</w:t>
      </w:r>
    </w:p>
    <w:tbl>
      <w:tblPr>
        <w:tblStyle w:val="TableGrid"/>
        <w:tblW w:type="auto" w:w="0"/>
        <w:jc w:val="center"/>
        <w:tblLayout w:type="fixed"/>
        <w:tblLook w:firstColumn="1" w:firstRow="1" w:lastColumn="0" w:lastRow="0" w:noHBand="0" w:noVBand="1" w:val="04A0"/>
      </w:tblPr>
      <w:tblGrid>
        <w:gridCol w:w="3118"/>
        <w:gridCol w:w="1984"/>
        <w:gridCol w:w="4535"/>
      </w:tblGrid>
      <w:tr>
        <w:trPr>
          <w:tblHeader w:val="true"/>
        </w:trPr>
        <w:tc>
          <w:tcPr>
            <w:tcW w:type="dxa" w:w="3118"/>
            <w:shd w:val="clear" w:color="auto" w:fill="D9D9D9"/>
          </w:tcPr>
          <w:p>
            <w:pPr>
              <w:spacing w:after="20"/>
            </w:pPr>
            <w:r>
              <w:rPr>
                <w:rFonts w:ascii="Arial" w:hAnsi="Arial" w:cs="Arial" w:eastAsia="Arial"/>
                <w:b/>
                <w:i w:val="0"/>
                <w:color w:val="000000"/>
                <w:sz w:val="20"/>
              </w:rPr>
              <w:t>Combinaison</w:t>
            </w:r>
          </w:p>
        </w:tc>
        <w:tc>
          <w:tcPr>
            <w:tcW w:type="dxa" w:w="1984"/>
            <w:shd w:val="clear" w:color="auto" w:fill="D9D9D9"/>
          </w:tcPr>
          <w:p>
            <w:pPr>
              <w:spacing w:after="20"/>
            </w:pPr>
            <w:r>
              <w:rPr>
                <w:rFonts w:ascii="Arial" w:hAnsi="Arial" w:cs="Arial" w:eastAsia="Arial"/>
                <w:b/>
                <w:i w:val="0"/>
                <w:color w:val="000000"/>
                <w:sz w:val="20"/>
              </w:rPr>
              <w:t>Famille</w:t>
            </w:r>
          </w:p>
        </w:tc>
        <w:tc>
          <w:tcPr>
            <w:tcW w:type="dxa" w:w="4535"/>
            <w:shd w:val="clear" w:color="auto" w:fill="D9D9D9"/>
          </w:tcPr>
          <w:p>
            <w:pPr>
              <w:spacing w:after="20"/>
            </w:pPr>
            <w:r>
              <w:rPr>
                <w:rFonts w:ascii="Arial" w:hAnsi="Arial" w:cs="Arial" w:eastAsia="Arial"/>
                <w:b/>
                <w:i w:val="0"/>
                <w:color w:val="000000"/>
                <w:sz w:val="20"/>
              </w:rPr>
              <w:t>Coefficients par cas</w:t>
            </w:r>
          </w:p>
        </w:tc>
      </w:tr>
      <w:tr>
        <w:trPr>
          <w:cantSplit/>
        </w:trPr>
        <w:tc>
          <w:tcPr>
            <w:tcW w:type="dxa" w:w="3118"/>
          </w:tcPr>
          <w:p>
            <w:pPr>
              <w:spacing w:after="20"/>
            </w:pPr>
            <w:r>
              <w:rPr>
                <w:rFonts w:ascii="Arial" w:hAnsi="Arial" w:cs="Arial" w:eastAsia="Arial"/>
                <w:b w:val="0"/>
                <w:i w:val="0"/>
                <w:color w:val="000000"/>
                <w:sz w:val="20"/>
              </w:rPr>
              <w:t>ELU_FOND_Q_DOM_G_defav</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1,35 ; Q × 1,5</w:t>
            </w:r>
          </w:p>
        </w:tc>
      </w:tr>
      <w:tr>
        <w:trPr>
          <w:cantSplit/>
        </w:trPr>
        <w:tc>
          <w:tcPr>
            <w:tcW w:type="dxa" w:w="3118"/>
          </w:tcPr>
          <w:p>
            <w:pPr>
              <w:spacing w:after="20"/>
            </w:pPr>
            <w:r>
              <w:rPr>
                <w:rFonts w:ascii="Arial" w:hAnsi="Arial" w:cs="Arial" w:eastAsia="Arial"/>
                <w:b w:val="0"/>
                <w:i w:val="0"/>
                <w:color w:val="000000"/>
                <w:sz w:val="20"/>
              </w:rPr>
              <w:t>ELS_CARA_Q_DOM</w:t>
            </w:r>
          </w:p>
        </w:tc>
        <w:tc>
          <w:tcPr>
            <w:tcW w:type="dxa" w:w="1984"/>
          </w:tcPr>
          <w:p>
            <w:pPr>
              <w:spacing w:after="20"/>
            </w:pPr>
            <w:r>
              <w:rPr>
                <w:rFonts w:ascii="Arial" w:hAnsi="Arial" w:cs="Arial" w:eastAsia="Arial"/>
                <w:b w:val="0"/>
                <w:i w:val="0"/>
                <w:color w:val="000000"/>
                <w:sz w:val="20"/>
              </w:rPr>
              <w:t>ELS caractéristique</w:t>
            </w:r>
          </w:p>
        </w:tc>
        <w:tc>
          <w:tcPr>
            <w:tcW w:type="dxa" w:w="4535"/>
          </w:tcPr>
          <w:p>
            <w:pPr>
              <w:spacing w:after="20"/>
            </w:pPr>
            <w:r>
              <w:rPr>
                <w:rFonts w:ascii="Arial" w:hAnsi="Arial" w:cs="Arial" w:eastAsia="Arial"/>
                <w:b w:val="0"/>
                <w:i w:val="0"/>
                <w:color w:val="000000"/>
                <w:sz w:val="20"/>
              </w:rPr>
              <w:t>G × 1,0 ; Q × 1,0</w:t>
            </w:r>
          </w:p>
        </w:tc>
      </w:tr>
      <w:tr>
        <w:trPr>
          <w:cantSplit/>
        </w:trPr>
        <w:tc>
          <w:tcPr>
            <w:tcW w:type="dxa" w:w="3118"/>
          </w:tcPr>
          <w:p>
            <w:pPr>
              <w:spacing w:after="20"/>
            </w:pPr>
            <w:r>
              <w:rPr>
                <w:rFonts w:ascii="Arial" w:hAnsi="Arial" w:cs="Arial" w:eastAsia="Arial"/>
                <w:b w:val="0"/>
                <w:i w:val="0"/>
                <w:color w:val="000000"/>
                <w:sz w:val="20"/>
              </w:rPr>
              <w:t>ELS_FREQ_Q_DOM</w:t>
            </w:r>
          </w:p>
        </w:tc>
        <w:tc>
          <w:tcPr>
            <w:tcW w:type="dxa" w:w="1984"/>
          </w:tcPr>
          <w:p>
            <w:pPr>
              <w:spacing w:after="20"/>
            </w:pPr>
            <w:r>
              <w:rPr>
                <w:rFonts w:ascii="Arial" w:hAnsi="Arial" w:cs="Arial" w:eastAsia="Arial"/>
                <w:b w:val="0"/>
                <w:i w:val="0"/>
                <w:color w:val="000000"/>
                <w:sz w:val="20"/>
              </w:rPr>
              <w:t>ELS fréquente</w:t>
            </w:r>
          </w:p>
        </w:tc>
        <w:tc>
          <w:tcPr>
            <w:tcW w:type="dxa" w:w="4535"/>
          </w:tcPr>
          <w:p>
            <w:pPr>
              <w:spacing w:after="20"/>
            </w:pPr>
            <w:r>
              <w:rPr>
                <w:rFonts w:ascii="Arial" w:hAnsi="Arial" w:cs="Arial" w:eastAsia="Arial"/>
                <w:b w:val="0"/>
                <w:i w:val="0"/>
                <w:color w:val="000000"/>
                <w:sz w:val="20"/>
              </w:rPr>
              <w:t>G × 1,0 ; Q × 0,9</w:t>
            </w:r>
          </w:p>
        </w:tc>
      </w:tr>
      <w:tr>
        <w:trPr>
          <w:cantSplit/>
        </w:trPr>
        <w:tc>
          <w:tcPr>
            <w:tcW w:type="dxa" w:w="3118"/>
          </w:tcPr>
          <w:p>
            <w:pPr>
              <w:spacing w:after="20"/>
            </w:pPr>
            <w:r>
              <w:rPr>
                <w:rFonts w:ascii="Arial" w:hAnsi="Arial" w:cs="Arial" w:eastAsia="Arial"/>
                <w:b w:val="0"/>
                <w:i w:val="0"/>
                <w:color w:val="000000"/>
                <w:sz w:val="20"/>
              </w:rPr>
              <w:t>ELS_QUASI_PERMANENTE</w:t>
            </w:r>
          </w:p>
        </w:tc>
        <w:tc>
          <w:tcPr>
            <w:tcW w:type="dxa" w:w="1984"/>
          </w:tcPr>
          <w:p>
            <w:pPr>
              <w:spacing w:after="20"/>
            </w:pPr>
            <w:r>
              <w:rPr>
                <w:rFonts w:ascii="Arial" w:hAnsi="Arial" w:cs="Arial" w:eastAsia="Arial"/>
                <w:b w:val="0"/>
                <w:i w:val="0"/>
                <w:color w:val="000000"/>
                <w:sz w:val="20"/>
              </w:rPr>
              <w:t>ELS quasi permanente</w:t>
            </w:r>
          </w:p>
        </w:tc>
        <w:tc>
          <w:tcPr>
            <w:tcW w:type="dxa" w:w="4535"/>
          </w:tcPr>
          <w:p>
            <w:pPr>
              <w:spacing w:after="20"/>
            </w:pPr>
            <w:r>
              <w:rPr>
                <w:rFonts w:ascii="Arial" w:hAnsi="Arial" w:cs="Arial" w:eastAsia="Arial"/>
                <w:b w:val="0"/>
                <w:i w:val="0"/>
                <w:color w:val="000000"/>
                <w:sz w:val="20"/>
              </w:rPr>
              <w:t>G × 1,0 ; Q × 0,8</w:t>
            </w:r>
          </w:p>
        </w:tc>
      </w:tr>
    </w:tbl>
    <w:p>
      <w:pPr>
        <w:spacing w:after="40"/>
      </w:pPr>
    </w:p>
    <w:p>
      <w:pPr>
        <w:pStyle w:val="Heading1"/>
      </w:pPr>
      <w:r>
        <w:rPr>
          <w:rFonts w:ascii="Arial" w:hAnsi="Arial" w:cs="Arial" w:eastAsia="Arial"/>
          <w:b/>
          <w:i w:val="0"/>
          <w:color w:val="000000"/>
          <w:sz w:val="20"/>
        </w:rPr>
        <w:t>7. Annexe : historique des révisions</w:t>
      </w:r>
    </w:p>
    <w:p>
      <w:r>
        <w:rPr>
          <w:rFonts w:ascii="Arial" w:hAnsi="Arial" w:cs="Arial" w:eastAsia="Arial"/>
          <w:b/>
          <w:i w:val="0"/>
          <w:color w:val="000000"/>
          <w:sz w:val="20"/>
        </w:rPr>
        <w:t>Décisions remplacées</w:t>
      </w:r>
    </w:p>
    <w:tbl>
      <w:tblPr>
        <w:tblStyle w:val="TableGrid"/>
        <w:tblW w:type="auto" w:w="0"/>
        <w:jc w:val="center"/>
        <w:tblLayout w:type="fixed"/>
        <w:tblLook w:firstColumn="1" w:firstRow="1" w:lastColumn="0" w:lastRow="0" w:noHBand="0" w:noVBand="1" w:val="04A0"/>
      </w:tblPr>
      <w:tblGrid>
        <w:gridCol w:w="737"/>
        <w:gridCol w:w="2551"/>
        <w:gridCol w:w="1247"/>
        <w:gridCol w:w="1020"/>
        <w:gridCol w:w="4082"/>
      </w:tblGrid>
      <w:tr>
        <w:trPr>
          <w:tblHeader w:val="true"/>
        </w:trPr>
        <w:tc>
          <w:tcPr>
            <w:tcW w:type="dxa" w:w="737"/>
            <w:shd w:val="clear" w:color="auto" w:fill="D9D9D9"/>
          </w:tcPr>
          <w:p>
            <w:pPr>
              <w:spacing w:after="20"/>
            </w:pPr>
            <w:r>
              <w:rPr>
                <w:rFonts w:ascii="Arial" w:hAnsi="Arial" w:cs="Arial" w:eastAsia="Arial"/>
                <w:b/>
                <w:i w:val="0"/>
                <w:color w:val="000000"/>
                <w:sz w:val="20"/>
              </w:rPr>
              <w:t>Point</w:t>
            </w:r>
          </w:p>
        </w:tc>
        <w:tc>
          <w:tcPr>
            <w:tcW w:type="dxa" w:w="2551"/>
            <w:shd w:val="clear" w:color="auto" w:fill="D9D9D9"/>
          </w:tcPr>
          <w:p>
            <w:pPr>
              <w:spacing w:after="20"/>
            </w:pPr>
            <w:r>
              <w:rPr>
                <w:rFonts w:ascii="Arial" w:hAnsi="Arial" w:cs="Arial" w:eastAsia="Arial"/>
                <w:b/>
                <w:i w:val="0"/>
                <w:color w:val="000000"/>
                <w:sz w:val="20"/>
              </w:rPr>
              <w:t>Sujet</w:t>
            </w:r>
          </w:p>
        </w:tc>
        <w:tc>
          <w:tcPr>
            <w:tcW w:type="dxa" w:w="1247"/>
            <w:shd w:val="clear" w:color="auto" w:fill="D9D9D9"/>
          </w:tcPr>
          <w:p>
            <w:pPr>
              <w:spacing w:after="20"/>
            </w:pPr>
            <w:r>
              <w:rPr>
                <w:rFonts w:ascii="Arial" w:hAnsi="Arial" w:cs="Arial" w:eastAsia="Arial"/>
                <w:b/>
                <w:i w:val="0"/>
                <w:color w:val="000000"/>
                <w:sz w:val="20"/>
              </w:rPr>
              <w:t>Date</w:t>
            </w:r>
          </w:p>
        </w:tc>
        <w:tc>
          <w:tcPr>
            <w:tcW w:type="dxa" w:w="1020"/>
            <w:shd w:val="clear" w:color="auto" w:fill="D9D9D9"/>
          </w:tcPr>
          <w:p>
            <w:pPr>
              <w:spacing w:after="20"/>
            </w:pPr>
            <w:r>
              <w:rPr>
                <w:rFonts w:ascii="Arial" w:hAnsi="Arial" w:cs="Arial" w:eastAsia="Arial"/>
                <w:b/>
                <w:i w:val="0"/>
                <w:color w:val="000000"/>
                <w:sz w:val="20"/>
              </w:rPr>
              <w:t>Décideur</w:t>
            </w:r>
          </w:p>
        </w:tc>
        <w:tc>
          <w:tcPr>
            <w:tcW w:type="dxa" w:w="4082"/>
            <w:shd w:val="clear" w:color="auto" w:fill="D9D9D9"/>
          </w:tcPr>
          <w:p>
            <w:pPr>
              <w:spacing w:after="20"/>
            </w:pPr>
            <w:r>
              <w:rPr>
                <w:rFonts w:ascii="Arial" w:hAnsi="Arial" w:cs="Arial" w:eastAsia="Arial"/>
                <w:b/>
                <w:i w:val="0"/>
                <w:color w:val="000000"/>
                <w:sz w:val="20"/>
              </w:rPr>
              <w:t>Décision remplacée (option retenue)</w:t>
            </w:r>
          </w:p>
        </w:tc>
      </w:tr>
      <w:tr>
        <w:trPr>
          <w:cantSplit/>
        </w:trPr>
        <w:tc>
          <w:tcPr>
            <w:tcW w:type="dxa" w:w="737"/>
          </w:tcPr>
          <w:p>
            <w:pPr>
              <w:spacing w:after="20"/>
            </w:pPr>
            <w:r>
              <w:rPr>
                <w:rFonts w:ascii="Arial" w:hAnsi="Arial" w:cs="Arial" w:eastAsia="Arial"/>
                <w:b w:val="0"/>
                <w:i w:val="0"/>
                <w:color w:val="000000"/>
                <w:sz w:val="20"/>
              </w:rPr>
              <w:t>14</w:t>
            </w:r>
          </w:p>
        </w:tc>
        <w:tc>
          <w:tcPr>
            <w:tcW w:type="dxa" w:w="2551"/>
          </w:tcPr>
          <w:p>
            <w:pPr>
              <w:spacing w:after="20"/>
            </w:pPr>
            <w:r>
              <w:rPr>
                <w:rFonts w:ascii="Arial" w:hAnsi="Arial" w:cs="Arial" w:eastAsia="Arial"/>
                <w:b w:val="0"/>
                <w:i w:val="0"/>
                <w:color w:val="000000"/>
                <w:sz w:val="20"/>
              </w:rPr>
              <w:t>Ferraillage : acier, distance parement–axe, ELS en XC1 (contraintes, fissuration), ferraillage minimal</w:t>
            </w:r>
          </w:p>
        </w:tc>
        <w:tc>
          <w:tcPr>
            <w:tcW w:type="dxa" w:w="1247"/>
          </w:tcPr>
          <w:p>
            <w:pPr>
              <w:spacing w:after="20"/>
            </w:pPr>
            <w:r>
              <w:rPr>
                <w:rFonts w:ascii="Arial" w:hAnsi="Arial" w:cs="Arial" w:eastAsia="Arial"/>
                <w:b w:val="0"/>
                <w:i w:val="0"/>
                <w:color w:val="000000"/>
                <w:sz w:val="20"/>
              </w:rPr>
              <w:t>2026-10-02</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Acier B500B, fyk = 500 MPa. γc = 1,5 et γs = 1,15 en situation durable ; ALPHA_CC = 1,0 écrit explicitement dans le .comm (la valeur par défaut 0,85 n'est pas retenue). Barres HA12 dans les deux directions, nappes inférieure et supérieure. Distance du parement à l'axe, enrobage nominal 30 mm : lit extérieur (barres portant dans la petite portée, Y) 30 + 6 = 36 mm ; lit intérieur (barres portant dans la grande portée, X) 30 + 12 + 6 = 48 mm. CALC_FERRAILLAGE n'admet qu'une distance par face en 2D (catalogue 17.4 : C_INF et C_SUP, un réel chacun) : 48 mm est retenu pour les deux directions et déclaré ; la contre-vérification manuelle utilise la même valeur. ELS en XC1 : wk limite = 0,4 mm sous combinaison quasi permanente ; σs ≤ 0,8 fyk sous combinaison caractéristique ; pas de limite sur σc en XC1. Ferraillage minimal : non-fragilité As,min = max(0,26·fctm/fyk ; 0,0013)·b·d ; maîtrise de la fissuration en flexion simple, kc = 0,4, k = 1,0, fct,eff = fctm, Act = b·h/2 ; armatures de répartition ≥ 20 % des armatures principales. Méthode 2D native de CALC_FERRAILLAGE pour les plaques ; contre-vérification indépendante au centre de la dalle (Mxy nul par symétrie) ; coins relevés et commentés, armatures de coin signalées, non calculées.</w:t>
            </w:r>
          </w:p>
        </w:tc>
      </w:tr>
      <w:tr>
        <w:trPr>
          <w:cantSplit/>
        </w:trPr>
        <w:tc>
          <w:tcPr>
            <w:tcW w:type="dxa" w:w="737"/>
          </w:tcPr>
          <w:p>
            <w:pPr>
              <w:spacing w:after="20"/>
            </w:pPr>
            <w:r>
              <w:rPr>
                <w:rFonts w:ascii="Arial" w:hAnsi="Arial" w:cs="Arial" w:eastAsia="Arial"/>
                <w:b w:val="0"/>
                <w:i w:val="0"/>
                <w:color w:val="000000"/>
                <w:sz w:val="20"/>
              </w:rPr>
              <w:t>14</w:t>
            </w:r>
          </w:p>
        </w:tc>
        <w:tc>
          <w:tcPr>
            <w:tcW w:type="dxa" w:w="2551"/>
          </w:tcPr>
          <w:p>
            <w:pPr>
              <w:spacing w:after="20"/>
            </w:pPr>
            <w:r>
              <w:rPr>
                <w:rFonts w:ascii="Arial" w:hAnsi="Arial" w:cs="Arial" w:eastAsia="Arial"/>
                <w:b w:val="0"/>
                <w:i w:val="0"/>
                <w:color w:val="000000"/>
                <w:sz w:val="20"/>
              </w:rPr>
              <w:t>Paramètres ELS obligatoires de CALC_FERRAILLAGE en 2D (ALPHA_E, SIGC_*_ELS, SIGC_ELS_QP, KT, EYS)</w:t>
            </w:r>
          </w:p>
        </w:tc>
        <w:tc>
          <w:tcPr>
            <w:tcW w:type="dxa" w:w="1247"/>
          </w:tcPr>
          <w:p>
            <w:pPr>
              <w:spacing w:after="20"/>
            </w:pPr>
            <w:r>
              <w:rPr>
                <w:rFonts w:ascii="Arial" w:hAnsi="Arial" w:cs="Arial" w:eastAsia="Arial"/>
                <w:b w:val="0"/>
                <w:i w:val="0"/>
                <w:color w:val="000000"/>
                <w:sz w:val="20"/>
              </w:rPr>
              <w:t>2026-10-02</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ALPHA_E = 15. SIGC_INF_ELS = SIGC_SUP_ELS = 0,6 fck = 18 MPa, avec un second calcul à valeur non contraignante pour montrer que la limite n'est pas active (rapportée si elle l'est). SIGC_ELS_QP = 0,45 fck = 13,5 MPa. KT = 0,4 (chargement de longue durée). EYS = 210 000 MPa (Es = 210 GPa, comme au quai).</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000000"/>
        <w:sz w:val="20"/>
      </w:rPr>
      <w:t xml:space="preserve">Note d'hypothèses DALLE-APPUYEE-01 -- page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PAGE </w:instrText>
    </w:r>
    <w:r>
      <w:rPr>
        <w:rFonts w:ascii="Arial" w:hAnsi="Arial" w:cs="Arial" w:eastAsia="Arial"/>
        <w:b w:val="0"/>
        <w:i w:val="0"/>
        <w:color w:val="000000"/>
        <w:sz w:val="20"/>
      </w:rPr>
      <w:fldChar w:fldCharType="end"/>
    </w:r>
    <w:r>
      <w:rPr>
        <w:rFonts w:ascii="Arial" w:hAnsi="Arial" w:cs="Arial" w:eastAsia="Arial"/>
        <w:b w:val="0"/>
        <w:i w:val="0"/>
        <w:color w:val="000000"/>
        <w:sz w:val="20"/>
      </w:rPr>
      <w:t xml:space="preserve"> sur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NUMPAGES </w:instrText>
    </w:r>
    <w:r>
      <w:rPr>
        <w:rFonts w:ascii="Arial" w:hAnsi="Arial" w:cs="Arial" w:eastAsia="Arial"/>
        <w:b w:val="0"/>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Arial" w:hAnsi="Arial" w:cs="Arial" w:eastAsia="Arial"/>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Arial" w:hAnsi="Arial" w:cs="Arial" w:eastAsia="Arial"/>
      <w:b/>
      <w:bCs/>
      <w:i w:val="0"/>
      <w:color w:val="000000"/>
      <w:sz w:val="20"/>
    </w:rPr>
  </w:style>
  <w:style w:type="character" w:default="1" w:styleId="DefaultParagraphFont">
    <w:name w:val="Default Paragraph Font"/>
    <w:uiPriority w:val="1"/>
    <w:semiHidden/>
    <w:unhideWhenUsed/>
    <w:rPr>
      <w:rFonts w:ascii="Arial" w:hAnsi="Arial" w:cs="Arial" w:eastAsia="Arial"/>
      <w:b w:val="0"/>
      <w:i w:val="0"/>
      <w:color w:val="000000"/>
      <w:sz w:val="2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d'hypothèses — DALLE-APPUYEE-01</dc:title>
  <dc:subject/>
  <dc:creator/>
  <cp:keywords/>
  <dc:description/>
  <cp:lastModifiedBy/>
  <cp:revision>1</cp:revision>
  <dcterms:created xsi:type="dcterms:W3CDTF">2013-12-23T23:15:00Z</dcterms:created>
  <dcterms:modified xsi:type="dcterms:W3CDTF">2013-12-23T23:15:00Z</dcterms:modified>
  <cp:category/>
</cp:coreProperties>
</file>