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eastAsia="Arial"/>
          <w:b/>
          <w:i w:val="0"/>
          <w:color w:val="000000"/>
          <w:sz w:val="20"/>
        </w:rPr>
        <w:t>NOTE D'HYPOTHÈSES</w:t>
      </w:r>
    </w:p>
    <w:p>
      <w:pPr>
        <w:jc w:val="center"/>
      </w:pPr>
      <w:r>
        <w:rPr>
          <w:rFonts w:ascii="Arial" w:hAnsi="Arial" w:cs="Arial" w:eastAsia="Arial"/>
          <w:b w:val="0"/>
          <w:i w:val="0"/>
          <w:color w:val="000000"/>
          <w:sz w:val="20"/>
        </w:rPr>
        <w:t>DALLE-APPUYEE-01 (dalle_appuyee_01)</w:t>
      </w:r>
    </w:p>
    <w:p>
      <w:pPr>
        <w:pStyle w:val="Heading1"/>
      </w:pPr>
      <w:r>
        <w:rPr>
          <w:rFonts w:ascii="Arial" w:hAnsi="Arial" w:cs="Arial" w:eastAsia="Arial"/>
          <w:b/>
          <w:i w:val="0"/>
          <w:color w:val="000000"/>
          <w:sz w:val="20"/>
        </w:rPr>
        <w:t>1. En-tête</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Rubrique</w:t>
            </w:r>
          </w:p>
        </w:tc>
        <w:tc>
          <w:tcPr>
            <w:tcW w:type="dxa" w:w="6803"/>
            <w:shd w:val="clear" w:color="auto" w:fill="D9D9D9"/>
          </w:tcPr>
          <w:p>
            <w:pPr>
              <w:spacing w:after="20"/>
            </w:pPr>
            <w:r>
              <w:rPr>
                <w:rFonts w:ascii="Arial" w:hAnsi="Arial" w:cs="Arial" w:eastAsia="Arial"/>
                <w:b/>
                <w:i w:val="0"/>
                <w:color w:val="000000"/>
                <w:sz w:val="20"/>
              </w:rPr>
              <w:t>Valeur</w:t>
            </w:r>
          </w:p>
        </w:tc>
      </w:tr>
      <w:tr>
        <w:trPr>
          <w:cantSplit/>
        </w:trPr>
        <w:tc>
          <w:tcPr>
            <w:tcW w:type="dxa" w:w="2835"/>
          </w:tcPr>
          <w:p>
            <w:pPr>
              <w:spacing w:after="20"/>
            </w:pPr>
            <w:r>
              <w:rPr>
                <w:rFonts w:ascii="Arial" w:hAnsi="Arial" w:cs="Arial" w:eastAsia="Arial"/>
                <w:b w:val="0"/>
                <w:i w:val="0"/>
                <w:color w:val="000000"/>
                <w:sz w:val="20"/>
              </w:rPr>
              <w:t>Ouvrage</w:t>
            </w:r>
          </w:p>
        </w:tc>
        <w:tc>
          <w:tcPr>
            <w:tcW w:type="dxa" w:w="6803"/>
          </w:tcPr>
          <w:p>
            <w:pPr>
              <w:spacing w:after="20"/>
            </w:pPr>
            <w:r>
              <w:rPr>
                <w:rFonts w:ascii="Arial" w:hAnsi="Arial" w:cs="Arial" w:eastAsia="Arial"/>
                <w:b w:val="0"/>
                <w:i w:val="0"/>
                <w:color w:val="000000"/>
                <w:sz w:val="20"/>
              </w:rPr>
              <w:t>DALLE-APPUYEE-01</w:t>
            </w:r>
          </w:p>
        </w:tc>
      </w:tr>
      <w:tr>
        <w:trPr>
          <w:cantSplit/>
        </w:trPr>
        <w:tc>
          <w:tcPr>
            <w:tcW w:type="dxa" w:w="2835"/>
          </w:tcPr>
          <w:p>
            <w:pPr>
              <w:spacing w:after="20"/>
            </w:pPr>
            <w:r>
              <w:rPr>
                <w:rFonts w:ascii="Arial" w:hAnsi="Arial" w:cs="Arial" w:eastAsia="Arial"/>
                <w:b w:val="0"/>
                <w:i w:val="0"/>
                <w:color w:val="000000"/>
                <w:sz w:val="20"/>
              </w:rPr>
              <w:t>Projet</w:t>
            </w:r>
          </w:p>
        </w:tc>
        <w:tc>
          <w:tcPr>
            <w:tcW w:type="dxa" w:w="6803"/>
          </w:tcPr>
          <w:p>
            <w:pPr>
              <w:spacing w:after="20"/>
            </w:pPr>
            <w:r>
              <w:rPr>
                <w:rFonts w:ascii="Arial" w:hAnsi="Arial" w:cs="Arial" w:eastAsia="Arial"/>
                <w:b w:val="0"/>
                <w:i w:val="0"/>
                <w:color w:val="000000"/>
                <w:sz w:val="20"/>
              </w:rPr>
              <w:t>dalle_appuyee_01</w:t>
            </w:r>
          </w:p>
        </w:tc>
      </w:tr>
      <w:tr>
        <w:trPr>
          <w:cantSplit/>
        </w:trPr>
        <w:tc>
          <w:tcPr>
            <w:tcW w:type="dxa" w:w="2835"/>
          </w:tcPr>
          <w:p>
            <w:pPr>
              <w:spacing w:after="20"/>
            </w:pPr>
            <w:r>
              <w:rPr>
                <w:rFonts w:ascii="Arial" w:hAnsi="Arial" w:cs="Arial" w:eastAsia="Arial"/>
                <w:b w:val="0"/>
                <w:i w:val="0"/>
                <w:color w:val="000000"/>
                <w:sz w:val="20"/>
              </w:rPr>
              <w:t>Fiche</w:t>
            </w:r>
          </w:p>
        </w:tc>
        <w:tc>
          <w:tcPr>
            <w:tcW w:type="dxa" w:w="6803"/>
          </w:tcPr>
          <w:p>
            <w:pPr>
              <w:spacing w:after="20"/>
            </w:pPr>
            <w:r>
              <w:rPr>
                <w:rFonts w:ascii="Arial" w:hAnsi="Arial" w:cs="Arial" w:eastAsia="Arial"/>
                <w:b w:val="0"/>
                <w:i w:val="0"/>
                <w:color w:val="000000"/>
                <w:sz w:val="20"/>
              </w:rPr>
              <w:t>DALLE-APPUYEE-01</w:t>
            </w:r>
          </w:p>
        </w:tc>
      </w:tr>
      <w:tr>
        <w:trPr>
          <w:cantSplit/>
        </w:trPr>
        <w:tc>
          <w:tcPr>
            <w:tcW w:type="dxa" w:w="2835"/>
          </w:tcPr>
          <w:p>
            <w:pPr>
              <w:spacing w:after="20"/>
            </w:pPr>
            <w:r>
              <w:rPr>
                <w:rFonts w:ascii="Arial" w:hAnsi="Arial" w:cs="Arial" w:eastAsia="Arial"/>
                <w:b w:val="0"/>
                <w:i w:val="0"/>
                <w:color w:val="000000"/>
                <w:sz w:val="20"/>
              </w:rPr>
              <w:t>Date de génération</w:t>
            </w:r>
          </w:p>
        </w:tc>
        <w:tc>
          <w:tcPr>
            <w:tcW w:type="dxa" w:w="6803"/>
          </w:tcPr>
          <w:p>
            <w:pPr>
              <w:spacing w:after="20"/>
            </w:pPr>
            <w:r>
              <w:rPr>
                <w:rFonts w:ascii="Arial" w:hAnsi="Arial" w:cs="Arial" w:eastAsia="Arial"/>
                <w:b w:val="0"/>
                <w:i w:val="0"/>
                <w:color w:val="000000"/>
                <w:sz w:val="20"/>
              </w:rPr>
              <w:t>2026-10-02</w:t>
            </w:r>
          </w:p>
        </w:tc>
      </w:tr>
      <w:tr>
        <w:trPr>
          <w:cantSplit/>
        </w:trPr>
        <w:tc>
          <w:tcPr>
            <w:tcW w:type="dxa" w:w="2835"/>
          </w:tcPr>
          <w:p>
            <w:pPr>
              <w:spacing w:after="20"/>
            </w:pPr>
            <w:r>
              <w:rPr>
                <w:rFonts w:ascii="Arial" w:hAnsi="Arial" w:cs="Arial" w:eastAsia="Arial"/>
                <w:b w:val="0"/>
                <w:i w:val="0"/>
                <w:color w:val="000000"/>
                <w:sz w:val="20"/>
              </w:rPr>
              <w:t>Code_Aster</w:t>
            </w:r>
          </w:p>
        </w:tc>
        <w:tc>
          <w:tcPr>
            <w:tcW w:type="dxa" w:w="6803"/>
          </w:tcPr>
          <w:p>
            <w:pPr>
              <w:spacing w:after="20"/>
            </w:pPr>
            <w:r>
              <w:rPr>
                <w:rFonts w:ascii="Arial" w:hAnsi="Arial" w:cs="Arial" w:eastAsia="Arial"/>
                <w:b w:val="0"/>
                <w:i w:val="0"/>
                <w:color w:val="000000"/>
                <w:sz w:val="20"/>
              </w:rPr>
              <w:t>17.4.0</w:t>
            </w:r>
          </w:p>
        </w:tc>
      </w:tr>
      <w:tr>
        <w:trPr>
          <w:cantSplit/>
        </w:trPr>
        <w:tc>
          <w:tcPr>
            <w:tcW w:type="dxa" w:w="2835"/>
          </w:tcPr>
          <w:p>
            <w:pPr>
              <w:spacing w:after="20"/>
            </w:pPr>
            <w:r>
              <w:rPr>
                <w:rFonts w:ascii="Arial" w:hAnsi="Arial" w:cs="Arial" w:eastAsia="Arial"/>
                <w:b w:val="0"/>
                <w:i w:val="0"/>
                <w:color w:val="000000"/>
                <w:sz w:val="20"/>
              </w:rPr>
              <w:t>Digest de l'image</w:t>
            </w:r>
          </w:p>
        </w:tc>
        <w:tc>
          <w:tcPr>
            <w:tcW w:type="dxa" w:w="6803"/>
          </w:tcPr>
          <w:p>
            <w:pPr>
              <w:spacing w:after="20"/>
            </w:pPr>
            <w:r>
              <w:rPr>
                <w:rFonts w:ascii="Arial" w:hAnsi="Arial" w:cs="Arial" w:eastAsia="Arial"/>
                <w:b w:val="0"/>
                <w:i w:val="0"/>
                <w:color w:val="000000"/>
                <w:sz w:val="20"/>
              </w:rPr>
              <w:t>sha256:d8d19ea91989eac0d38195bc5795c54c69f530f7196f53d67697ffa57c9106d5</w:t>
            </w:r>
          </w:p>
        </w:tc>
      </w:tr>
      <w:tr>
        <w:trPr>
          <w:cantSplit/>
        </w:trPr>
        <w:tc>
          <w:tcPr>
            <w:tcW w:type="dxa" w:w="2835"/>
          </w:tcPr>
          <w:p>
            <w:pPr>
              <w:spacing w:after="20"/>
            </w:pPr>
            <w:r>
              <w:rPr>
                <w:rFonts w:ascii="Arial" w:hAnsi="Arial" w:cs="Arial" w:eastAsia="Arial"/>
                <w:b w:val="0"/>
                <w:i w:val="0"/>
                <w:color w:val="000000"/>
                <w:sz w:val="20"/>
              </w:rPr>
              <w:t>Empreinte de la fiche (SHA-256)</w:t>
            </w:r>
          </w:p>
        </w:tc>
        <w:tc>
          <w:tcPr>
            <w:tcW w:type="dxa" w:w="6803"/>
          </w:tcPr>
          <w:p>
            <w:pPr>
              <w:spacing w:after="20"/>
            </w:pPr>
            <w:r>
              <w:rPr>
                <w:rFonts w:ascii="Arial" w:hAnsi="Arial" w:cs="Arial" w:eastAsia="Arial"/>
                <w:b w:val="0"/>
                <w:i w:val="0"/>
                <w:color w:val="000000"/>
                <w:sz w:val="20"/>
              </w:rPr>
              <w:t>57086ba0f959ee133a48d4805e1f5cbf9d96f047923aeec7a767c03434544d60</w:t>
            </w:r>
          </w:p>
        </w:tc>
      </w:tr>
      <w:tr>
        <w:trPr>
          <w:cantSplit/>
        </w:trPr>
        <w:tc>
          <w:tcPr>
            <w:tcW w:type="dxa" w:w="2835"/>
          </w:tcPr>
          <w:p>
            <w:pPr>
              <w:spacing w:after="20"/>
            </w:pPr>
            <w:r>
              <w:rPr>
                <w:rFonts w:ascii="Arial" w:hAnsi="Arial" w:cs="Arial" w:eastAsia="Arial"/>
                <w:b w:val="0"/>
                <w:i w:val="0"/>
                <w:color w:val="000000"/>
                <w:sz w:val="20"/>
              </w:rPr>
              <w:t>Empreinte des données (SHA-256)</w:t>
            </w:r>
          </w:p>
        </w:tc>
        <w:tc>
          <w:tcPr>
            <w:tcW w:type="dxa" w:w="6803"/>
          </w:tcPr>
          <w:p>
            <w:pPr>
              <w:spacing w:after="20"/>
            </w:pPr>
            <w:r>
              <w:rPr>
                <w:rFonts w:ascii="Arial" w:hAnsi="Arial" w:cs="Arial" w:eastAsia="Arial"/>
                <w:b w:val="0"/>
                <w:i w:val="0"/>
                <w:color w:val="000000"/>
                <w:sz w:val="20"/>
              </w:rPr>
              <w:t>0e8a787373d5adc798e8321a7cd518a2f3476dea356a4809295812934a7d9db2</w:t>
            </w:r>
          </w:p>
        </w:tc>
      </w:tr>
      <w:tr>
        <w:trPr>
          <w:cantSplit/>
        </w:trPr>
        <w:tc>
          <w:tcPr>
            <w:tcW w:type="dxa" w:w="2835"/>
          </w:tcPr>
          <w:p>
            <w:pPr>
              <w:spacing w:after="20"/>
            </w:pPr>
            <w:r>
              <w:rPr>
                <w:rFonts w:ascii="Arial" w:hAnsi="Arial" w:cs="Arial" w:eastAsia="Arial"/>
                <w:b w:val="0"/>
                <w:i w:val="0"/>
                <w:color w:val="000000"/>
                <w:sz w:val="20"/>
              </w:rPr>
              <w:t>Commit du dépôt à la génération</w:t>
            </w:r>
          </w:p>
        </w:tc>
        <w:tc>
          <w:tcPr>
            <w:tcW w:type="dxa" w:w="6803"/>
          </w:tcPr>
          <w:p>
            <w:pPr>
              <w:spacing w:after="20"/>
            </w:pPr>
            <w:r>
              <w:rPr>
                <w:rFonts w:ascii="Arial" w:hAnsi="Arial" w:cs="Arial" w:eastAsia="Arial"/>
                <w:b w:val="0"/>
                <w:i w:val="0"/>
                <w:color w:val="000000"/>
                <w:sz w:val="20"/>
              </w:rPr>
              <w:t>eae57111fe9d80165173065b525e2560891c7c46</w:t>
            </w:r>
          </w:p>
        </w:tc>
      </w:tr>
      <w:tr>
        <w:trPr>
          <w:cantSplit/>
        </w:trPr>
        <w:tc>
          <w:tcPr>
            <w:tcW w:type="dxa" w:w="2835"/>
          </w:tcPr>
          <w:p>
            <w:pPr>
              <w:spacing w:after="20"/>
            </w:pPr>
            <w:r>
              <w:rPr>
                <w:rFonts w:ascii="Arial" w:hAnsi="Arial" w:cs="Arial" w:eastAsia="Arial"/>
                <w:b w:val="0"/>
                <w:i w:val="0"/>
                <w:color w:val="000000"/>
                <w:sz w:val="20"/>
              </w:rPr>
              <w:t>Empreinte du .comm de l'exécution décrite (SHA-256)</w:t>
            </w:r>
          </w:p>
        </w:tc>
        <w:tc>
          <w:tcPr>
            <w:tcW w:type="dxa" w:w="6803"/>
          </w:tcPr>
          <w:p>
            <w:pPr>
              <w:spacing w:after="20"/>
            </w:pPr>
            <w:r>
              <w:rPr>
                <w:rFonts w:ascii="Arial" w:hAnsi="Arial" w:cs="Arial" w:eastAsia="Arial"/>
                <w:b w:val="0"/>
                <w:i w:val="0"/>
                <w:color w:val="000000"/>
                <w:sz w:val="20"/>
              </w:rPr>
              <w:t>70ae851c380a4dad612adad6962b2611feea61485fe096aeb533e39d75e09848</w:t>
            </w:r>
          </w:p>
        </w:tc>
      </w:tr>
      <w:tr>
        <w:trPr>
          <w:cantSplit/>
        </w:trPr>
        <w:tc>
          <w:tcPr>
            <w:tcW w:type="dxa" w:w="2835"/>
          </w:tcPr>
          <w:p>
            <w:pPr>
              <w:spacing w:after="20"/>
            </w:pPr>
            <w:r>
              <w:rPr>
                <w:rFonts w:ascii="Arial" w:hAnsi="Arial" w:cs="Arial" w:eastAsia="Arial"/>
                <w:b w:val="0"/>
                <w:i w:val="0"/>
                <w:color w:val="000000"/>
                <w:sz w:val="20"/>
              </w:rPr>
              <w:t>Empreinte du maillage (SHA-256)</w:t>
            </w:r>
          </w:p>
        </w:tc>
        <w:tc>
          <w:tcPr>
            <w:tcW w:type="dxa" w:w="6803"/>
          </w:tcPr>
          <w:p>
            <w:pPr>
              <w:spacing w:after="20"/>
            </w:pPr>
            <w:r>
              <w:rPr>
                <w:rFonts w:ascii="Arial" w:hAnsi="Arial" w:cs="Arial" w:eastAsia="Arial"/>
                <w:b w:val="0"/>
                <w:i w:val="0"/>
                <w:color w:val="000000"/>
                <w:sz w:val="20"/>
              </w:rPr>
              <w:t>0a3868d78543f1db72b01c1d7e90fe9af6a31780ff2af0a81dc83ad7ade9737e</w:t>
            </w:r>
          </w:p>
        </w:tc>
      </w:tr>
      <w:tr>
        <w:trPr>
          <w:cantSplit/>
        </w:trPr>
        <w:tc>
          <w:tcPr>
            <w:tcW w:type="dxa" w:w="2835"/>
          </w:tcPr>
          <w:p>
            <w:pPr>
              <w:spacing w:after="20"/>
            </w:pPr>
            <w:r>
              <w:rPr>
                <w:rFonts w:ascii="Arial" w:hAnsi="Arial" w:cs="Arial" w:eastAsia="Arial"/>
                <w:b w:val="0"/>
                <w:i w:val="0"/>
                <w:color w:val="000000"/>
                <w:sz w:val="20"/>
              </w:rPr>
              <w:t>Empreinte du compte rendu d'exécution (SHA-256)</w:t>
            </w:r>
          </w:p>
        </w:tc>
        <w:tc>
          <w:tcPr>
            <w:tcW w:type="dxa" w:w="6803"/>
          </w:tcPr>
          <w:p>
            <w:pPr>
              <w:spacing w:after="20"/>
            </w:pPr>
            <w:r>
              <w:rPr>
                <w:rFonts w:ascii="Arial" w:hAnsi="Arial" w:cs="Arial" w:eastAsia="Arial"/>
                <w:b w:val="0"/>
                <w:i w:val="0"/>
                <w:color w:val="000000"/>
                <w:sz w:val="20"/>
              </w:rPr>
              <w:t>d9e7497ee7b98089ec10b66cecd2a57555c4896676689102b7d5e2260f6dea31</w:t>
            </w:r>
          </w:p>
        </w:tc>
      </w:tr>
      <w:tr>
        <w:trPr>
          <w:cantSplit/>
        </w:trPr>
        <w:tc>
          <w:tcPr>
            <w:tcW w:type="dxa" w:w="2835"/>
          </w:tcPr>
          <w:p>
            <w:pPr>
              <w:spacing w:after="20"/>
            </w:pPr>
            <w:r>
              <w:rPr>
                <w:rFonts w:ascii="Arial" w:hAnsi="Arial" w:cs="Arial" w:eastAsia="Arial"/>
                <w:b w:val="0"/>
                <w:i w:val="0"/>
                <w:color w:val="000000"/>
                <w:sz w:val="20"/>
              </w:rPr>
              <w:t>Empreinte de la fiche à l'exportation du paquet (SHA-256)</w:t>
            </w:r>
          </w:p>
        </w:tc>
        <w:tc>
          <w:tcPr>
            <w:tcW w:type="dxa" w:w="6803"/>
          </w:tcPr>
          <w:p>
            <w:pPr>
              <w:spacing w:after="20"/>
            </w:pPr>
            <w:r>
              <w:rPr>
                <w:rFonts w:ascii="Arial" w:hAnsi="Arial" w:cs="Arial" w:eastAsia="Arial"/>
                <w:b w:val="0"/>
                <w:i w:val="0"/>
                <w:color w:val="000000"/>
                <w:sz w:val="20"/>
              </w:rPr>
              <w:t>297fcd56c98d9ee6bdc8935db4d1a6fc13fdd9b182cfe349535c5ba5569398e0</w:t>
            </w:r>
          </w:p>
        </w:tc>
      </w:tr>
      <w:tr>
        <w:trPr>
          <w:cantSplit/>
        </w:trPr>
        <w:tc>
          <w:tcPr>
            <w:tcW w:type="dxa" w:w="2835"/>
          </w:tcPr>
          <w:p>
            <w:pPr>
              <w:spacing w:after="20"/>
            </w:pPr>
            <w:r>
              <w:rPr>
                <w:rFonts w:ascii="Arial" w:hAnsi="Arial" w:cs="Arial" w:eastAsia="Arial"/>
                <w:b w:val="0"/>
                <w:i w:val="0"/>
                <w:color w:val="000000"/>
                <w:sz w:val="20"/>
              </w:rPr>
              <w:t>Empreinte des données à l'exportation du paquet (SHA-256)</w:t>
            </w:r>
          </w:p>
        </w:tc>
        <w:tc>
          <w:tcPr>
            <w:tcW w:type="dxa" w:w="6803"/>
          </w:tcPr>
          <w:p>
            <w:pPr>
              <w:spacing w:after="20"/>
            </w:pPr>
            <w:r>
              <w:rPr>
                <w:rFonts w:ascii="Arial" w:hAnsi="Arial" w:cs="Arial" w:eastAsia="Arial"/>
                <w:b w:val="0"/>
                <w:i w:val="0"/>
                <w:color w:val="000000"/>
                <w:sz w:val="20"/>
              </w:rPr>
              <w:t>0e8a787373d5adc798e8321a7cd518a2f3476dea356a4809295812934a7d9db2</w:t>
            </w:r>
          </w:p>
        </w:tc>
      </w:tr>
    </w:tbl>
    <w:p>
      <w:pPr>
        <w:spacing w:after="40"/>
      </w:pPr>
    </w:p>
    <w:p>
      <w:pPr>
        <w:pStyle w:val="Heading1"/>
      </w:pPr>
      <w:r>
        <w:rPr>
          <w:rFonts w:ascii="Arial" w:hAnsi="Arial" w:cs="Arial" w:eastAsia="Arial"/>
          <w:b/>
          <w:i w:val="0"/>
          <w:color w:val="000000"/>
          <w:sz w:val="20"/>
        </w:rPr>
        <w:t>2. Objet et périmètre</w:t>
      </w:r>
    </w:p>
    <w:p>
      <w:r>
        <w:rPr>
          <w:rFonts w:ascii="Arial" w:hAnsi="Arial" w:cs="Arial" w:eastAsia="Arial"/>
          <w:b/>
          <w:i w:val="0"/>
          <w:color w:val="000000"/>
          <w:sz w:val="20"/>
        </w:rPr>
        <w:t xml:space="preserve">Ouvrage : </w:t>
      </w:r>
      <w:r>
        <w:rPr>
          <w:rFonts w:ascii="Arial" w:hAnsi="Arial" w:cs="Arial" w:eastAsia="Arial"/>
          <w:b w:val="0"/>
          <w:i w:val="0"/>
          <w:color w:val="000000"/>
          <w:sz w:val="20"/>
        </w:rPr>
        <w:t>Dalle en béton armé C30/37 de 6,00 m × 4,00 m et 0,30 m d'épaisseur, simplement appuyée sur ses quatre côtés ; poids propre et exploitation uniforme de 10 kPa ; déplacements, moments et ferraillage (ELU, ELS en XC1, enrobage 30 mm), avec comparaison à la solution analytique (description de MM, lot 43).</w:t>
      </w:r>
    </w:p>
    <w:p>
      <w:r>
        <w:rPr>
          <w:rFonts w:ascii="Arial" w:hAnsi="Arial" w:cs="Arial" w:eastAsia="Arial"/>
          <w:b/>
          <w:i w:val="0"/>
          <w:color w:val="000000"/>
          <w:sz w:val="20"/>
        </w:rPr>
        <w:t xml:space="preserve">Description du projet : </w:t>
      </w:r>
      <w:r>
        <w:rPr>
          <w:rFonts w:ascii="Arial" w:hAnsi="Arial" w:cs="Arial" w:eastAsia="Arial"/>
          <w:b w:val="0"/>
          <w:i w:val="0"/>
          <w:color w:val="000000"/>
          <w:sz w:val="20"/>
        </w:rPr>
        <w:t>Dalle en béton armé C30/37 de 6,00 m x 4,00 m x 0,30 m, simplement appuyée sur ses quatre côtés (appui bilatéral), DKT, élasticité linéaire non fissurée ; poids propre et exploitation de 10 kPa ; comparaison à Navier (niveau E) et ferraillage 2D.</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Rubrique</w:t>
            </w:r>
          </w:p>
        </w:tc>
        <w:tc>
          <w:tcPr>
            <w:tcW w:type="dxa" w:w="6803"/>
            <w:shd w:val="clear" w:color="auto" w:fill="D9D9D9"/>
          </w:tcPr>
          <w:p>
            <w:pPr>
              <w:spacing w:after="20"/>
            </w:pPr>
            <w:r>
              <w:rPr>
                <w:rFonts w:ascii="Arial" w:hAnsi="Arial" w:cs="Arial" w:eastAsia="Arial"/>
                <w:b/>
                <w:i w:val="0"/>
                <w:color w:val="000000"/>
                <w:sz w:val="20"/>
              </w:rPr>
              <w:t>Nombre</w:t>
            </w:r>
          </w:p>
        </w:tc>
      </w:tr>
      <w:tr>
        <w:trPr>
          <w:cantSplit/>
        </w:trPr>
        <w:tc>
          <w:tcPr>
            <w:tcW w:type="dxa" w:w="2835"/>
          </w:tcPr>
          <w:p>
            <w:pPr>
              <w:spacing w:after="20"/>
            </w:pPr>
            <w:r>
              <w:rPr>
                <w:rFonts w:ascii="Arial" w:hAnsi="Arial" w:cs="Arial" w:eastAsia="Arial"/>
                <w:b w:val="0"/>
                <w:i w:val="0"/>
                <w:color w:val="000000"/>
                <w:sz w:val="20"/>
              </w:rPr>
              <w:t>Points de la fiche</w:t>
            </w:r>
          </w:p>
        </w:tc>
        <w:tc>
          <w:tcPr>
            <w:tcW w:type="dxa" w:w="6803"/>
          </w:tcPr>
          <w:p>
            <w:pPr>
              <w:spacing w:after="20"/>
            </w:pPr>
            <w:r>
              <w:rPr>
                <w:rFonts w:ascii="Arial" w:hAnsi="Arial" w:cs="Arial" w:eastAsia="Arial"/>
                <w:b w:val="0"/>
                <w:i w:val="0"/>
                <w:color w:val="000000"/>
                <w:sz w:val="20"/>
              </w:rPr>
              <w:t>9</w:t>
            </w:r>
          </w:p>
        </w:tc>
      </w:tr>
      <w:tr>
        <w:trPr>
          <w:cantSplit/>
        </w:trPr>
        <w:tc>
          <w:tcPr>
            <w:tcW w:type="dxa" w:w="2835"/>
          </w:tcPr>
          <w:p>
            <w:pPr>
              <w:spacing w:after="20"/>
            </w:pPr>
            <w:r>
              <w:rPr>
                <w:rFonts w:ascii="Arial" w:hAnsi="Arial" w:cs="Arial" w:eastAsia="Arial"/>
                <w:b w:val="0"/>
                <w:i w:val="0"/>
                <w:color w:val="000000"/>
                <w:sz w:val="20"/>
              </w:rPr>
              <w:t>Décisions tranchées (hors choix de l'agent)</w:t>
            </w:r>
          </w:p>
        </w:tc>
        <w:tc>
          <w:tcPr>
            <w:tcW w:type="dxa" w:w="6803"/>
          </w:tcPr>
          <w:p>
            <w:pPr>
              <w:spacing w:after="20"/>
            </w:pPr>
            <w:r>
              <w:rPr>
                <w:rFonts w:ascii="Arial" w:hAnsi="Arial" w:cs="Arial" w:eastAsia="Arial"/>
                <w:b w:val="0"/>
                <w:i w:val="0"/>
                <w:color w:val="000000"/>
                <w:sz w:val="20"/>
              </w:rPr>
              <w:t>10</w:t>
            </w:r>
          </w:p>
        </w:tc>
      </w:tr>
      <w:tr>
        <w:trPr>
          <w:cantSplit/>
        </w:trPr>
        <w:tc>
          <w:tcPr>
            <w:tcW w:type="dxa" w:w="2835"/>
          </w:tcPr>
          <w:p>
            <w:pPr>
              <w:spacing w:after="20"/>
            </w:pPr>
            <w:r>
              <w:rPr>
                <w:rFonts w:ascii="Arial" w:hAnsi="Arial" w:cs="Arial" w:eastAsia="Arial"/>
                <w:b w:val="0"/>
                <w:i w:val="0"/>
                <w:color w:val="000000"/>
                <w:sz w:val="20"/>
              </w:rPr>
              <w:t>Choix de l'agent</w:t>
            </w:r>
          </w:p>
        </w:tc>
        <w:tc>
          <w:tcPr>
            <w:tcW w:type="dxa" w:w="6803"/>
          </w:tcPr>
          <w:p>
            <w:pPr>
              <w:spacing w:after="20"/>
            </w:pPr>
            <w:r>
              <w:rPr>
                <w:rFonts w:ascii="Arial" w:hAnsi="Arial" w:cs="Arial" w:eastAsia="Arial"/>
                <w:b w:val="0"/>
                <w:i w:val="0"/>
                <w:color w:val="000000"/>
                <w:sz w:val="20"/>
              </w:rPr>
              <w:t>0</w:t>
            </w:r>
          </w:p>
        </w:tc>
      </w:tr>
      <w:tr>
        <w:trPr>
          <w:cantSplit/>
        </w:trPr>
        <w:tc>
          <w:tcPr>
            <w:tcW w:type="dxa" w:w="2835"/>
          </w:tcPr>
          <w:p>
            <w:pPr>
              <w:spacing w:after="20"/>
            </w:pPr>
            <w:r>
              <w:rPr>
                <w:rFonts w:ascii="Arial" w:hAnsi="Arial" w:cs="Arial" w:eastAsia="Arial"/>
                <w:b w:val="0"/>
                <w:i w:val="0"/>
                <w:color w:val="000000"/>
                <w:sz w:val="20"/>
              </w:rPr>
              <w:t>Questions non tranchées</w:t>
            </w:r>
          </w:p>
        </w:tc>
        <w:tc>
          <w:tcPr>
            <w:tcW w:type="dxa" w:w="6803"/>
          </w:tcPr>
          <w:p>
            <w:pPr>
              <w:spacing w:after="20"/>
            </w:pPr>
            <w:r>
              <w:rPr>
                <w:rFonts w:ascii="Arial" w:hAnsi="Arial" w:cs="Arial" w:eastAsia="Arial"/>
                <w:b w:val="0"/>
                <w:i w:val="0"/>
                <w:color w:val="000000"/>
                <w:sz w:val="20"/>
              </w:rPr>
              <w:t>0</w:t>
            </w:r>
          </w:p>
        </w:tc>
      </w:tr>
      <w:tr>
        <w:trPr>
          <w:cantSplit/>
        </w:trPr>
        <w:tc>
          <w:tcPr>
            <w:tcW w:type="dxa" w:w="2835"/>
          </w:tcPr>
          <w:p>
            <w:pPr>
              <w:spacing w:after="20"/>
            </w:pPr>
            <w:r>
              <w:rPr>
                <w:rFonts w:ascii="Arial" w:hAnsi="Arial" w:cs="Arial" w:eastAsia="Arial"/>
                <w:b w:val="0"/>
                <w:i w:val="0"/>
                <w:color w:val="000000"/>
                <w:sz w:val="20"/>
              </w:rPr>
              <w:t>Constats Code_Aster cités</w:t>
            </w:r>
          </w:p>
        </w:tc>
        <w:tc>
          <w:tcPr>
            <w:tcW w:type="dxa" w:w="6803"/>
          </w:tcPr>
          <w:p>
            <w:pPr>
              <w:spacing w:after="20"/>
            </w:pPr>
            <w:r>
              <w:rPr>
                <w:rFonts w:ascii="Arial" w:hAnsi="Arial" w:cs="Arial" w:eastAsia="Arial"/>
                <w:b w:val="0"/>
                <w:i w:val="0"/>
                <w:color w:val="000000"/>
                <w:sz w:val="20"/>
              </w:rPr>
              <w:t>15</w:t>
            </w:r>
          </w:p>
        </w:tc>
      </w:tr>
      <w:tr>
        <w:trPr>
          <w:cantSplit/>
        </w:trPr>
        <w:tc>
          <w:tcPr>
            <w:tcW w:type="dxa" w:w="2835"/>
          </w:tcPr>
          <w:p>
            <w:pPr>
              <w:spacing w:after="20"/>
            </w:pPr>
            <w:r>
              <w:rPr>
                <w:rFonts w:ascii="Arial" w:hAnsi="Arial" w:cs="Arial" w:eastAsia="Arial"/>
                <w:b w:val="0"/>
                <w:i w:val="0"/>
                <w:color w:val="000000"/>
                <w:sz w:val="20"/>
              </w:rPr>
              <w:t>Valeurs de données fournies</w:t>
            </w:r>
          </w:p>
        </w:tc>
        <w:tc>
          <w:tcPr>
            <w:tcW w:type="dxa" w:w="6803"/>
          </w:tcPr>
          <w:p>
            <w:pPr>
              <w:spacing w:after="20"/>
            </w:pPr>
            <w:r>
              <w:rPr>
                <w:rFonts w:ascii="Arial" w:hAnsi="Arial" w:cs="Arial" w:eastAsia="Arial"/>
                <w:b w:val="0"/>
                <w:i w:val="0"/>
                <w:color w:val="000000"/>
                <w:sz w:val="20"/>
              </w:rPr>
              <w:t>38</w:t>
            </w:r>
          </w:p>
        </w:tc>
      </w:tr>
      <w:tr>
        <w:trPr>
          <w:cantSplit/>
        </w:trPr>
        <w:tc>
          <w:tcPr>
            <w:tcW w:type="dxa" w:w="2835"/>
          </w:tcPr>
          <w:p>
            <w:pPr>
              <w:spacing w:after="20"/>
            </w:pPr>
            <w:r>
              <w:rPr>
                <w:rFonts w:ascii="Arial" w:hAnsi="Arial" w:cs="Arial" w:eastAsia="Arial"/>
                <w:b w:val="0"/>
                <w:i w:val="0"/>
                <w:color w:val="000000"/>
                <w:sz w:val="20"/>
              </w:rPr>
              <w:t>Valeurs de données à fournir</w:t>
            </w:r>
          </w:p>
        </w:tc>
        <w:tc>
          <w:tcPr>
            <w:tcW w:type="dxa" w:w="6803"/>
          </w:tcPr>
          <w:p>
            <w:pPr>
              <w:spacing w:after="20"/>
            </w:pPr>
            <w:r>
              <w:rPr>
                <w:rFonts w:ascii="Arial" w:hAnsi="Arial" w:cs="Arial" w:eastAsia="Arial"/>
                <w:b w:val="0"/>
                <w:i w:val="0"/>
                <w:color w:val="000000"/>
                <w:sz w:val="20"/>
              </w:rPr>
              <w:t>0</w:t>
            </w:r>
          </w:p>
        </w:tc>
      </w:tr>
      <w:tr>
        <w:trPr>
          <w:cantSplit/>
        </w:trPr>
        <w:tc>
          <w:tcPr>
            <w:tcW w:type="dxa" w:w="2835"/>
          </w:tcPr>
          <w:p>
            <w:pPr>
              <w:spacing w:after="20"/>
            </w:pPr>
            <w:r>
              <w:rPr>
                <w:rFonts w:ascii="Arial" w:hAnsi="Arial" w:cs="Arial" w:eastAsia="Arial"/>
                <w:b w:val="0"/>
                <w:i w:val="0"/>
                <w:color w:val="000000"/>
                <w:sz w:val="20"/>
              </w:rPr>
              <w:t>Groupes nommés</w:t>
            </w:r>
          </w:p>
        </w:tc>
        <w:tc>
          <w:tcPr>
            <w:tcW w:type="dxa" w:w="6803"/>
          </w:tcPr>
          <w:p>
            <w:pPr>
              <w:spacing w:after="20"/>
            </w:pPr>
            <w:r>
              <w:rPr>
                <w:rFonts w:ascii="Arial" w:hAnsi="Arial" w:cs="Arial" w:eastAsia="Arial"/>
                <w:b w:val="0"/>
                <w:i w:val="0"/>
                <w:color w:val="000000"/>
                <w:sz w:val="20"/>
              </w:rPr>
              <w:t>9</w:t>
            </w:r>
          </w:p>
        </w:tc>
      </w:tr>
    </w:tbl>
    <w:p>
      <w:pPr>
        <w:spacing w:after="40"/>
      </w:pPr>
    </w:p>
    <w:p>
      <w:pPr>
        <w:pStyle w:val="Heading1"/>
      </w:pPr>
      <w:r>
        <w:rPr>
          <w:rFonts w:ascii="Arial" w:hAnsi="Arial" w:cs="Arial" w:eastAsia="Arial"/>
          <w:b/>
          <w:i w:val="0"/>
          <w:color w:val="000000"/>
          <w:sz w:val="20"/>
        </w:rPr>
        <w:t>3. Données</w:t>
      </w:r>
    </w:p>
    <w:p>
      <w:r>
        <w:rPr>
          <w:rFonts w:ascii="Arial" w:hAnsi="Arial" w:cs="Arial" w:eastAsia="Arial"/>
          <w:b/>
          <w:i w:val="0"/>
          <w:color w:val="000000"/>
          <w:sz w:val="20"/>
        </w:rPr>
        <w:t xml:space="preserve">Référence du cas : </w:t>
      </w:r>
      <w:r>
        <w:rPr>
          <w:rFonts w:ascii="Arial" w:hAnsi="Arial" w:cs="Arial" w:eastAsia="Arial"/>
          <w:b w:val="0"/>
          <w:i w:val="0"/>
          <w:color w:val="000000"/>
          <w:sz w:val="20"/>
        </w:rPr>
        <w:t>Description de MM (sources/description_MM_lot43.md) et arbitrage arbitrage_dalle_appuyee_01_v1 ; fiche fiche/hypotheses_dalle_arbitree.json</w:t>
      </w:r>
    </w:p>
    <w:p>
      <w:pPr>
        <w:pStyle w:val="Heading2"/>
      </w:pPr>
      <w:r>
        <w:rPr>
          <w:rFonts w:ascii="Arial" w:hAnsi="Arial" w:cs="Arial" w:eastAsia="Arial"/>
          <w:b/>
          <w:i w:val="0"/>
          <w:color w:val="000000"/>
          <w:sz w:val="20"/>
        </w:rPr>
        <w:t>3.1 Groupe de données : geometrie</w:t>
      </w:r>
    </w:p>
    <w:p>
      <w:r>
        <w:rPr>
          <w:rFonts w:ascii="Arial" w:hAnsi="Arial" w:cs="Arial" w:eastAsia="Arial"/>
          <w:b/>
          <w:i w:val="0"/>
          <w:color w:val="000000"/>
          <w:sz w:val="20"/>
        </w:rPr>
        <w:t>Données — geometrie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longueur</w:t>
            </w:r>
          </w:p>
        </w:tc>
        <w:tc>
          <w:tcPr>
            <w:tcW w:type="dxa" w:w="1701"/>
          </w:tcPr>
          <w:p>
            <w:pPr>
              <w:spacing w:after="20"/>
            </w:pPr>
            <w:r>
              <w:rPr>
                <w:rFonts w:ascii="Arial" w:hAnsi="Arial" w:cs="Arial" w:eastAsia="Arial"/>
                <w:b w:val="0"/>
                <w:i w:val="0"/>
                <w:color w:val="000000"/>
                <w:sz w:val="20"/>
              </w:rPr>
              <w:t>6,0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description_MM_lot43.md, document</w:t>
            </w:r>
          </w:p>
        </w:tc>
        <w:tc>
          <w:tcPr>
            <w:tcW w:type="dxa" w:w="2835"/>
          </w:tcPr>
          <w:p>
            <w:pPr>
              <w:spacing w:after="20"/>
            </w:pPr>
            <w:r>
              <w:rPr>
                <w:rFonts w:ascii="Arial" w:hAnsi="Arial" w:cs="Arial" w:eastAsia="Arial"/>
                <w:b w:val="0"/>
                <w:i w:val="0"/>
                <w:color w:val="000000"/>
                <w:sz w:val="20"/>
              </w:rPr>
              <w:t>Côté selon X (point 9).</w:t>
            </w:r>
          </w:p>
        </w:tc>
      </w:tr>
      <w:tr>
        <w:trPr>
          <w:cantSplit/>
        </w:trPr>
        <w:tc>
          <w:tcPr>
            <w:tcW w:type="dxa" w:w="1928"/>
          </w:tcPr>
          <w:p>
            <w:pPr>
              <w:spacing w:after="20"/>
            </w:pPr>
            <w:r>
              <w:rPr>
                <w:rFonts w:ascii="Arial" w:hAnsi="Arial" w:cs="Arial" w:eastAsia="Arial"/>
                <w:b w:val="0"/>
                <w:i w:val="0"/>
                <w:color w:val="000000"/>
                <w:sz w:val="20"/>
              </w:rPr>
              <w:t>largeur</w:t>
            </w:r>
          </w:p>
        </w:tc>
        <w:tc>
          <w:tcPr>
            <w:tcW w:type="dxa" w:w="1701"/>
          </w:tcPr>
          <w:p>
            <w:pPr>
              <w:spacing w:after="20"/>
            </w:pPr>
            <w:r>
              <w:rPr>
                <w:rFonts w:ascii="Arial" w:hAnsi="Arial" w:cs="Arial" w:eastAsia="Arial"/>
                <w:b w:val="0"/>
                <w:i w:val="0"/>
                <w:color w:val="000000"/>
                <w:sz w:val="20"/>
              </w:rPr>
              <w:t>4,0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description_MM_lot43.md, document</w:t>
            </w:r>
          </w:p>
        </w:tc>
        <w:tc>
          <w:tcPr>
            <w:tcW w:type="dxa" w:w="2835"/>
          </w:tcPr>
          <w:p>
            <w:pPr>
              <w:spacing w:after="20"/>
            </w:pPr>
            <w:r>
              <w:rPr>
                <w:rFonts w:ascii="Arial" w:hAnsi="Arial" w:cs="Arial" w:eastAsia="Arial"/>
                <w:b w:val="0"/>
                <w:i w:val="0"/>
                <w:color w:val="000000"/>
                <w:sz w:val="20"/>
              </w:rPr>
              <w:t>Côté selon Y (point 9).</w:t>
            </w:r>
          </w:p>
        </w:tc>
      </w:tr>
      <w:tr>
        <w:trPr>
          <w:cantSplit/>
        </w:trPr>
        <w:tc>
          <w:tcPr>
            <w:tcW w:type="dxa" w:w="1928"/>
          </w:tcPr>
          <w:p>
            <w:pPr>
              <w:spacing w:after="20"/>
            </w:pPr>
            <w:r>
              <w:rPr>
                <w:rFonts w:ascii="Arial" w:hAnsi="Arial" w:cs="Arial" w:eastAsia="Arial"/>
                <w:b w:val="0"/>
                <w:i w:val="0"/>
                <w:color w:val="000000"/>
                <w:sz w:val="20"/>
              </w:rPr>
              <w:t>epaisseur</w:t>
            </w:r>
          </w:p>
        </w:tc>
        <w:tc>
          <w:tcPr>
            <w:tcW w:type="dxa" w:w="1701"/>
          </w:tcPr>
          <w:p>
            <w:pPr>
              <w:spacing w:after="20"/>
            </w:pPr>
            <w:r>
              <w:rPr>
                <w:rFonts w:ascii="Arial" w:hAnsi="Arial" w:cs="Arial" w:eastAsia="Arial"/>
                <w:b w:val="0"/>
                <w:i w:val="0"/>
                <w:color w:val="000000"/>
                <w:sz w:val="20"/>
              </w:rPr>
              <w:t>0,3</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description_MM_lot43.md, document</w:t>
            </w:r>
          </w:p>
        </w:tc>
        <w:tc>
          <w:tcPr>
            <w:tcW w:type="dxa" w:w="2835"/>
          </w:tcPr>
          <w:p>
            <w:pPr>
              <w:spacing w:after="20"/>
            </w:pPr>
            <w:r>
              <w:rPr>
                <w:rFonts w:ascii="Arial" w:hAnsi="Arial" w:cs="Arial" w:eastAsia="Arial"/>
                <w:b w:val="0"/>
                <w:i w:val="0"/>
                <w:color w:val="000000"/>
                <w:sz w:val="20"/>
              </w:rPr>
            </w:r>
          </w:p>
        </w:tc>
      </w:tr>
    </w:tbl>
    <w:p>
      <w:pPr>
        <w:spacing w:after="40"/>
      </w:pPr>
    </w:p>
    <w:p>
      <w:pPr>
        <w:pStyle w:val="Heading2"/>
      </w:pPr>
      <w:r>
        <w:rPr>
          <w:rFonts w:ascii="Arial" w:hAnsi="Arial" w:cs="Arial" w:eastAsia="Arial"/>
          <w:b/>
          <w:i w:val="0"/>
          <w:color w:val="000000"/>
          <w:sz w:val="20"/>
        </w:rPr>
        <w:t>3.2 Groupe de données : beton</w:t>
      </w:r>
    </w:p>
    <w:p>
      <w:r>
        <w:rPr>
          <w:rFonts w:ascii="Arial" w:hAnsi="Arial" w:cs="Arial" w:eastAsia="Arial"/>
          <w:b/>
          <w:i w:val="0"/>
          <w:color w:val="000000"/>
          <w:sz w:val="20"/>
        </w:rPr>
        <w:t>Données — beton</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classe</w:t>
            </w:r>
          </w:p>
        </w:tc>
        <w:tc>
          <w:tcPr>
            <w:tcW w:type="dxa" w:w="1701"/>
          </w:tcPr>
          <w:p>
            <w:pPr>
              <w:spacing w:after="20"/>
            </w:pPr>
            <w:r>
              <w:rPr>
                <w:rFonts w:ascii="Arial" w:hAnsi="Arial" w:cs="Arial" w:eastAsia="Arial"/>
                <w:b w:val="0"/>
                <w:i w:val="0"/>
                <w:color w:val="000000"/>
                <w:sz w:val="20"/>
              </w:rPr>
              <w:t>C30/37</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description_MM_lot43.md, document</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module_young</w:t>
            </w:r>
          </w:p>
        </w:tc>
        <w:tc>
          <w:tcPr>
            <w:tcW w:type="dxa" w:w="1701"/>
          </w:tcPr>
          <w:p>
            <w:pPr>
              <w:spacing w:after="20"/>
            </w:pPr>
            <w:r>
              <w:rPr>
                <w:rFonts w:ascii="Arial" w:hAnsi="Arial" w:cs="Arial" w:eastAsia="Arial"/>
                <w:b w:val="0"/>
                <w:i w:val="0"/>
                <w:color w:val="000000"/>
                <w:sz w:val="20"/>
              </w:rPr>
              <w:t>33000</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décision du point 5 (MM, 2026-10-02)</w:t>
            </w:r>
          </w:p>
        </w:tc>
        <w:tc>
          <w:tcPr>
            <w:tcW w:type="dxa" w:w="2835"/>
          </w:tcPr>
          <w:p>
            <w:pPr>
              <w:spacing w:after="20"/>
            </w:pPr>
            <w:r>
              <w:rPr>
                <w:rFonts w:ascii="Arial" w:hAnsi="Arial" w:cs="Arial" w:eastAsia="Arial"/>
                <w:b w:val="0"/>
                <w:i w:val="0"/>
                <w:color w:val="000000"/>
                <w:sz w:val="20"/>
              </w:rPr>
              <w:t>Ecm.</w:t>
            </w:r>
          </w:p>
        </w:tc>
      </w:tr>
      <w:tr>
        <w:trPr>
          <w:cantSplit/>
        </w:trPr>
        <w:tc>
          <w:tcPr>
            <w:tcW w:type="dxa" w:w="1928"/>
          </w:tcPr>
          <w:p>
            <w:pPr>
              <w:spacing w:after="20"/>
            </w:pPr>
            <w:r>
              <w:rPr>
                <w:rFonts w:ascii="Arial" w:hAnsi="Arial" w:cs="Arial" w:eastAsia="Arial"/>
                <w:b w:val="0"/>
                <w:i w:val="0"/>
                <w:color w:val="000000"/>
                <w:sz w:val="20"/>
              </w:rPr>
              <w:t>coefficient_poisson</w:t>
            </w:r>
          </w:p>
        </w:tc>
        <w:tc>
          <w:tcPr>
            <w:tcW w:type="dxa" w:w="1701"/>
          </w:tcPr>
          <w:p>
            <w:pPr>
              <w:spacing w:after="20"/>
            </w:pPr>
            <w:r>
              <w:rPr>
                <w:rFonts w:ascii="Arial" w:hAnsi="Arial" w:cs="Arial" w:eastAsia="Arial"/>
                <w:b w:val="0"/>
                <w:i w:val="0"/>
                <w:color w:val="000000"/>
                <w:sz w:val="20"/>
              </w:rPr>
              <w:t>0,2</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5 (MM, 2026-10-02)</w:t>
            </w:r>
          </w:p>
        </w:tc>
        <w:tc>
          <w:tcPr>
            <w:tcW w:type="dxa" w:w="2835"/>
          </w:tcPr>
          <w:p>
            <w:pPr>
              <w:spacing w:after="20"/>
            </w:pPr>
            <w:r>
              <w:rPr>
                <w:rFonts w:ascii="Arial" w:hAnsi="Arial" w:cs="Arial" w:eastAsia="Arial"/>
                <w:b w:val="0"/>
                <w:i w:val="0"/>
                <w:color w:val="000000"/>
                <w:sz w:val="20"/>
              </w:rPr>
              <w:t>Béton non fissuré.</w:t>
            </w:r>
          </w:p>
        </w:tc>
      </w:tr>
      <w:tr>
        <w:trPr>
          <w:cantSplit/>
        </w:trPr>
        <w:tc>
          <w:tcPr>
            <w:tcW w:type="dxa" w:w="1928"/>
          </w:tcPr>
          <w:p>
            <w:pPr>
              <w:spacing w:after="20"/>
            </w:pPr>
            <w:r>
              <w:rPr>
                <w:rFonts w:ascii="Arial" w:hAnsi="Arial" w:cs="Arial" w:eastAsia="Arial"/>
                <w:b w:val="0"/>
                <w:i w:val="0"/>
                <w:color w:val="000000"/>
                <w:sz w:val="20"/>
              </w:rPr>
              <w:t>fck</w:t>
            </w:r>
          </w:p>
        </w:tc>
        <w:tc>
          <w:tcPr>
            <w:tcW w:type="dxa" w:w="1701"/>
          </w:tcPr>
          <w:p>
            <w:pPr>
              <w:spacing w:after="20"/>
            </w:pPr>
            <w:r>
              <w:rPr>
                <w:rFonts w:ascii="Arial" w:hAnsi="Arial" w:cs="Arial" w:eastAsia="Arial"/>
                <w:b w:val="0"/>
                <w:i w:val="0"/>
                <w:color w:val="000000"/>
                <w:sz w:val="20"/>
              </w:rPr>
              <w:t>30</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décision du point 5 (MM, 2026-10-02)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fctm</w:t>
            </w:r>
          </w:p>
        </w:tc>
        <w:tc>
          <w:tcPr>
            <w:tcW w:type="dxa" w:w="1701"/>
          </w:tcPr>
          <w:p>
            <w:pPr>
              <w:spacing w:after="20"/>
            </w:pPr>
            <w:r>
              <w:rPr>
                <w:rFonts w:ascii="Arial" w:hAnsi="Arial" w:cs="Arial" w:eastAsia="Arial"/>
                <w:b w:val="0"/>
                <w:i w:val="0"/>
                <w:color w:val="000000"/>
                <w:sz w:val="20"/>
              </w:rPr>
              <w:t>2,9</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décision du point 5 (MM, 2026-10-02)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poids_volumique</w:t>
            </w:r>
          </w:p>
        </w:tc>
        <w:tc>
          <w:tcPr>
            <w:tcW w:type="dxa" w:w="1701"/>
          </w:tcPr>
          <w:p>
            <w:pPr>
              <w:spacing w:after="20"/>
            </w:pPr>
            <w:r>
              <w:rPr>
                <w:rFonts w:ascii="Arial" w:hAnsi="Arial" w:cs="Arial" w:eastAsia="Arial"/>
                <w:b w:val="0"/>
                <w:i w:val="0"/>
                <w:color w:val="000000"/>
                <w:sz w:val="20"/>
              </w:rPr>
              <w:t>25</w:t>
            </w:r>
          </w:p>
        </w:tc>
        <w:tc>
          <w:tcPr>
            <w:tcW w:type="dxa" w:w="907"/>
          </w:tcPr>
          <w:p>
            <w:pPr>
              <w:spacing w:after="20"/>
            </w:pPr>
            <w:r>
              <w:rPr>
                <w:rFonts w:ascii="Arial" w:hAnsi="Arial" w:cs="Arial" w:eastAsia="Arial"/>
                <w:b w:val="0"/>
                <w:i w:val="0"/>
                <w:color w:val="000000"/>
                <w:sz w:val="20"/>
              </w:rPr>
              <w:t>kN/m3</w:t>
            </w:r>
          </w:p>
        </w:tc>
        <w:tc>
          <w:tcPr>
            <w:tcW w:type="dxa" w:w="2268"/>
          </w:tcPr>
          <w:p>
            <w:pPr>
              <w:spacing w:after="20"/>
            </w:pPr>
            <w:r>
              <w:rPr>
                <w:rFonts w:ascii="Arial" w:hAnsi="Arial" w:cs="Arial" w:eastAsia="Arial"/>
                <w:b w:val="0"/>
                <w:i w:val="0"/>
                <w:color w:val="000000"/>
                <w:sz w:val="20"/>
              </w:rPr>
              <w:t>décision du point 4 (MM, 2026-10-02)</w:t>
            </w:r>
          </w:p>
        </w:tc>
        <w:tc>
          <w:tcPr>
            <w:tcW w:type="dxa" w:w="2835"/>
          </w:tcPr>
          <w:p>
            <w:pPr>
              <w:spacing w:after="20"/>
            </w:pPr>
            <w:r>
              <w:rPr>
                <w:rFonts w:ascii="Arial" w:hAnsi="Arial" w:cs="Arial" w:eastAsia="Arial"/>
                <w:b w:val="0"/>
                <w:i w:val="0"/>
                <w:color w:val="000000"/>
                <w:sz w:val="20"/>
              </w:rPr>
              <w:t>RHO = poids volumique / g (2 548,42 kg/m³) : calculé par le générateur.</w:t>
            </w:r>
          </w:p>
        </w:tc>
      </w:tr>
    </w:tbl>
    <w:p>
      <w:pPr>
        <w:spacing w:after="40"/>
      </w:pPr>
    </w:p>
    <w:p>
      <w:pPr>
        <w:pStyle w:val="Heading2"/>
      </w:pPr>
      <w:r>
        <w:rPr>
          <w:rFonts w:ascii="Arial" w:hAnsi="Arial" w:cs="Arial" w:eastAsia="Arial"/>
          <w:b/>
          <w:i w:val="0"/>
          <w:color w:val="000000"/>
          <w:sz w:val="20"/>
        </w:rPr>
        <w:t>3.3 Groupe de données : acier</w:t>
      </w:r>
    </w:p>
    <w:p>
      <w:r>
        <w:rPr>
          <w:rFonts w:ascii="Arial" w:hAnsi="Arial" w:cs="Arial" w:eastAsia="Arial"/>
          <w:b/>
          <w:i w:val="0"/>
          <w:color w:val="000000"/>
          <w:sz w:val="20"/>
        </w:rPr>
        <w:t>Données — acier</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nuance</w:t>
            </w:r>
          </w:p>
        </w:tc>
        <w:tc>
          <w:tcPr>
            <w:tcW w:type="dxa" w:w="1701"/>
          </w:tcPr>
          <w:p>
            <w:pPr>
              <w:spacing w:after="20"/>
            </w:pPr>
            <w:r>
              <w:rPr>
                <w:rFonts w:ascii="Arial" w:hAnsi="Arial" w:cs="Arial" w:eastAsia="Arial"/>
                <w:b w:val="0"/>
                <w:i w:val="0"/>
                <w:color w:val="000000"/>
                <w:sz w:val="20"/>
              </w:rPr>
              <w:t>B500B</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fyk</w:t>
            </w:r>
          </w:p>
        </w:tc>
        <w:tc>
          <w:tcPr>
            <w:tcW w:type="dxa" w:w="1701"/>
          </w:tcPr>
          <w:p>
            <w:pPr>
              <w:spacing w:after="20"/>
            </w:pPr>
            <w:r>
              <w:rPr>
                <w:rFonts w:ascii="Arial" w:hAnsi="Arial" w:cs="Arial" w:eastAsia="Arial"/>
                <w:b w:val="0"/>
                <w:i w:val="0"/>
                <w:color w:val="000000"/>
                <w:sz w:val="20"/>
              </w:rPr>
              <w:t>500</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diametre_barres</w:t>
            </w:r>
          </w:p>
        </w:tc>
        <w:tc>
          <w:tcPr>
            <w:tcW w:type="dxa" w:w="1701"/>
          </w:tcPr>
          <w:p>
            <w:pPr>
              <w:spacing w:after="20"/>
            </w:pPr>
            <w:r>
              <w:rPr>
                <w:rFonts w:ascii="Arial" w:hAnsi="Arial" w:cs="Arial" w:eastAsia="Arial"/>
                <w:b w:val="0"/>
                <w:i w:val="0"/>
                <w:color w:val="000000"/>
                <w:sz w:val="20"/>
              </w:rPr>
              <w:t>12</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HA12 dans les deux directions, deux nappes.</w:t>
            </w:r>
          </w:p>
        </w:tc>
      </w:tr>
      <w:tr>
        <w:trPr>
          <w:cantSplit/>
        </w:trPr>
        <w:tc>
          <w:tcPr>
            <w:tcW w:type="dxa" w:w="1928"/>
          </w:tcPr>
          <w:p>
            <w:pPr>
              <w:spacing w:after="20"/>
            </w:pPr>
            <w:r>
              <w:rPr>
                <w:rFonts w:ascii="Arial" w:hAnsi="Arial" w:cs="Arial" w:eastAsia="Arial"/>
                <w:b w:val="0"/>
                <w:i w:val="0"/>
                <w:color w:val="000000"/>
                <w:sz w:val="20"/>
              </w:rPr>
              <w:t>gamma_c</w:t>
            </w:r>
          </w:p>
        </w:tc>
        <w:tc>
          <w:tcPr>
            <w:tcW w:type="dxa" w:w="1701"/>
          </w:tcPr>
          <w:p>
            <w:pPr>
              <w:spacing w:after="20"/>
            </w:pPr>
            <w:r>
              <w:rPr>
                <w:rFonts w:ascii="Arial" w:hAnsi="Arial" w:cs="Arial" w:eastAsia="Arial"/>
                <w:b w:val="0"/>
                <w:i w:val="0"/>
                <w:color w:val="000000"/>
                <w:sz w:val="20"/>
              </w:rPr>
              <w:t>1,5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Situation durable.</w:t>
            </w:r>
          </w:p>
        </w:tc>
      </w:tr>
      <w:tr>
        <w:trPr>
          <w:cantSplit/>
        </w:trPr>
        <w:tc>
          <w:tcPr>
            <w:tcW w:type="dxa" w:w="1928"/>
          </w:tcPr>
          <w:p>
            <w:pPr>
              <w:spacing w:after="20"/>
            </w:pPr>
            <w:r>
              <w:rPr>
                <w:rFonts w:ascii="Arial" w:hAnsi="Arial" w:cs="Arial" w:eastAsia="Arial"/>
                <w:b w:val="0"/>
                <w:i w:val="0"/>
                <w:color w:val="000000"/>
                <w:sz w:val="20"/>
              </w:rPr>
              <w:t>gamma_s</w:t>
            </w:r>
          </w:p>
        </w:tc>
        <w:tc>
          <w:tcPr>
            <w:tcW w:type="dxa" w:w="1701"/>
          </w:tcPr>
          <w:p>
            <w:pPr>
              <w:spacing w:after="20"/>
            </w:pPr>
            <w:r>
              <w:rPr>
                <w:rFonts w:ascii="Arial" w:hAnsi="Arial" w:cs="Arial" w:eastAsia="Arial"/>
                <w:b w:val="0"/>
                <w:i w:val="0"/>
                <w:color w:val="000000"/>
                <w:sz w:val="20"/>
              </w:rPr>
              <w:t>1,15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Situation durable.</w:t>
            </w:r>
          </w:p>
        </w:tc>
      </w:tr>
      <w:tr>
        <w:trPr>
          <w:cantSplit/>
        </w:trPr>
        <w:tc>
          <w:tcPr>
            <w:tcW w:type="dxa" w:w="1928"/>
          </w:tcPr>
          <w:p>
            <w:pPr>
              <w:spacing w:after="20"/>
            </w:pPr>
            <w:r>
              <w:rPr>
                <w:rFonts w:ascii="Arial" w:hAnsi="Arial" w:cs="Arial" w:eastAsia="Arial"/>
                <w:b w:val="0"/>
                <w:i w:val="0"/>
                <w:color w:val="000000"/>
                <w:sz w:val="20"/>
              </w:rPr>
              <w:t>alpha_cc</w:t>
            </w:r>
          </w:p>
        </w:tc>
        <w:tc>
          <w:tcPr>
            <w:tcW w:type="dxa" w:w="1701"/>
          </w:tcPr>
          <w:p>
            <w:pPr>
              <w:spacing w:after="20"/>
            </w:pPr>
            <w:r>
              <w:rPr>
                <w:rFonts w:ascii="Arial" w:hAnsi="Arial" w:cs="Arial" w:eastAsia="Arial"/>
                <w:b w:val="0"/>
                <w:i w:val="0"/>
                <w:color w:val="000000"/>
                <w:sz w:val="20"/>
              </w:rPr>
              <w:t>1,0</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Écrit explicitement dans le .comm (défaut de Code_Aster : 0,85).</w:t>
            </w:r>
          </w:p>
        </w:tc>
      </w:tr>
      <w:tr>
        <w:trPr>
          <w:cantSplit/>
        </w:trPr>
        <w:tc>
          <w:tcPr>
            <w:tcW w:type="dxa" w:w="1928"/>
          </w:tcPr>
          <w:p>
            <w:pPr>
              <w:spacing w:after="20"/>
            </w:pPr>
            <w:r>
              <w:rPr>
                <w:rFonts w:ascii="Arial" w:hAnsi="Arial" w:cs="Arial" w:eastAsia="Arial"/>
                <w:b w:val="0"/>
                <w:i w:val="0"/>
                <w:color w:val="000000"/>
                <w:sz w:val="20"/>
              </w:rPr>
              <w:t>alpha_e</w:t>
            </w:r>
          </w:p>
        </w:tc>
        <w:tc>
          <w:tcPr>
            <w:tcW w:type="dxa" w:w="1701"/>
          </w:tcPr>
          <w:p>
            <w:pPr>
              <w:spacing w:after="20"/>
            </w:pPr>
            <w:r>
              <w:rPr>
                <w:rFonts w:ascii="Arial" w:hAnsi="Arial" w:cs="Arial" w:eastAsia="Arial"/>
                <w:b w:val="0"/>
                <w:i w:val="0"/>
                <w:color w:val="000000"/>
                <w:sz w:val="20"/>
              </w:rPr>
              <w:t>15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Complément d'arbitrage (paramètres ELS).</w:t>
            </w:r>
          </w:p>
        </w:tc>
      </w:tr>
      <w:tr>
        <w:trPr>
          <w:cantSplit/>
        </w:trPr>
        <w:tc>
          <w:tcPr>
            <w:tcW w:type="dxa" w:w="1928"/>
          </w:tcPr>
          <w:p>
            <w:pPr>
              <w:spacing w:after="20"/>
            </w:pPr>
            <w:r>
              <w:rPr>
                <w:rFonts w:ascii="Arial" w:hAnsi="Arial" w:cs="Arial" w:eastAsia="Arial"/>
                <w:b w:val="0"/>
                <w:i w:val="0"/>
                <w:color w:val="000000"/>
                <w:sz w:val="20"/>
              </w:rPr>
              <w:t>sigma_c_els</w:t>
            </w:r>
          </w:p>
        </w:tc>
        <w:tc>
          <w:tcPr>
            <w:tcW w:type="dxa" w:w="1701"/>
          </w:tcPr>
          <w:p>
            <w:pPr>
              <w:spacing w:after="20"/>
            </w:pPr>
            <w:r>
              <w:rPr>
                <w:rFonts w:ascii="Arial" w:hAnsi="Arial" w:cs="Arial" w:eastAsia="Arial"/>
                <w:b w:val="0"/>
                <w:i w:val="0"/>
                <w:color w:val="000000"/>
                <w:sz w:val="20"/>
              </w:rPr>
              <w:t>18</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0,6 fck : artifice de saisie exigé en 2D ; inactivité vérifiée par sensibilité.</w:t>
            </w:r>
          </w:p>
        </w:tc>
      </w:tr>
      <w:tr>
        <w:trPr>
          <w:cantSplit/>
        </w:trPr>
        <w:tc>
          <w:tcPr>
            <w:tcW w:type="dxa" w:w="1928"/>
          </w:tcPr>
          <w:p>
            <w:pPr>
              <w:spacing w:after="20"/>
            </w:pPr>
            <w:r>
              <w:rPr>
                <w:rFonts w:ascii="Arial" w:hAnsi="Arial" w:cs="Arial" w:eastAsia="Arial"/>
                <w:b w:val="0"/>
                <w:i w:val="0"/>
                <w:color w:val="000000"/>
                <w:sz w:val="20"/>
              </w:rPr>
              <w:t>sigma_c_els_qp</w:t>
            </w:r>
          </w:p>
        </w:tc>
        <w:tc>
          <w:tcPr>
            <w:tcW w:type="dxa" w:w="1701"/>
          </w:tcPr>
          <w:p>
            <w:pPr>
              <w:spacing w:after="20"/>
            </w:pPr>
            <w:r>
              <w:rPr>
                <w:rFonts w:ascii="Arial" w:hAnsi="Arial" w:cs="Arial" w:eastAsia="Arial"/>
                <w:b w:val="0"/>
                <w:i w:val="0"/>
                <w:color w:val="000000"/>
                <w:sz w:val="20"/>
              </w:rPr>
              <w:t>13,5</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0,45 fck.</w:t>
            </w:r>
          </w:p>
        </w:tc>
      </w:tr>
      <w:tr>
        <w:trPr>
          <w:cantSplit/>
        </w:trPr>
        <w:tc>
          <w:tcPr>
            <w:tcW w:type="dxa" w:w="1928"/>
          </w:tcPr>
          <w:p>
            <w:pPr>
              <w:spacing w:after="20"/>
            </w:pPr>
            <w:r>
              <w:rPr>
                <w:rFonts w:ascii="Arial" w:hAnsi="Arial" w:cs="Arial" w:eastAsia="Arial"/>
                <w:b w:val="0"/>
                <w:i w:val="0"/>
                <w:color w:val="000000"/>
                <w:sz w:val="20"/>
              </w:rPr>
              <w:t>kt</w:t>
            </w:r>
          </w:p>
        </w:tc>
        <w:tc>
          <w:tcPr>
            <w:tcW w:type="dxa" w:w="1701"/>
          </w:tcPr>
          <w:p>
            <w:pPr>
              <w:spacing w:after="20"/>
            </w:pPr>
            <w:r>
              <w:rPr>
                <w:rFonts w:ascii="Arial" w:hAnsi="Arial" w:cs="Arial" w:eastAsia="Arial"/>
                <w:b w:val="0"/>
                <w:i w:val="0"/>
                <w:color w:val="000000"/>
                <w:sz w:val="20"/>
              </w:rPr>
              <w:t>0,4</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Chargement de longue durée.</w:t>
            </w:r>
          </w:p>
        </w:tc>
      </w:tr>
      <w:tr>
        <w:trPr>
          <w:cantSplit/>
        </w:trPr>
        <w:tc>
          <w:tcPr>
            <w:tcW w:type="dxa" w:w="1928"/>
          </w:tcPr>
          <w:p>
            <w:pPr>
              <w:spacing w:after="20"/>
            </w:pPr>
            <w:r>
              <w:rPr>
                <w:rFonts w:ascii="Arial" w:hAnsi="Arial" w:cs="Arial" w:eastAsia="Arial"/>
                <w:b w:val="0"/>
                <w:i w:val="0"/>
                <w:color w:val="000000"/>
                <w:sz w:val="20"/>
              </w:rPr>
              <w:t>module_young</w:t>
            </w:r>
          </w:p>
        </w:tc>
        <w:tc>
          <w:tcPr>
            <w:tcW w:type="dxa" w:w="1701"/>
          </w:tcPr>
          <w:p>
            <w:pPr>
              <w:spacing w:after="20"/>
            </w:pPr>
            <w:r>
              <w:rPr>
                <w:rFonts w:ascii="Arial" w:hAnsi="Arial" w:cs="Arial" w:eastAsia="Arial"/>
                <w:b w:val="0"/>
                <w:i w:val="0"/>
                <w:color w:val="000000"/>
                <w:sz w:val="20"/>
              </w:rPr>
              <w:t>200000</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EYS. Lot 44 : 200 GPa (EN 1992-1-1, 3.2.7(4)), décision de MM, au lieu de 210 000 MPa au lot 43.</w:t>
            </w:r>
          </w:p>
        </w:tc>
      </w:tr>
      <w:tr>
        <w:trPr>
          <w:cantSplit/>
        </w:trPr>
        <w:tc>
          <w:tcPr>
            <w:tcW w:type="dxa" w:w="1928"/>
          </w:tcPr>
          <w:p>
            <w:pPr>
              <w:spacing w:after="20"/>
            </w:pPr>
            <w:r>
              <w:rPr>
                <w:rFonts w:ascii="Arial" w:hAnsi="Arial" w:cs="Arial" w:eastAsia="Arial"/>
                <w:b w:val="0"/>
                <w:i w:val="0"/>
                <w:color w:val="000000"/>
                <w:sz w:val="20"/>
              </w:rPr>
              <w:t>rapport_sigma_s_els</w:t>
            </w:r>
          </w:p>
        </w:tc>
        <w:tc>
          <w:tcPr>
            <w:tcW w:type="dxa" w:w="1701"/>
          </w:tcPr>
          <w:p>
            <w:pPr>
              <w:spacing w:after="20"/>
            </w:pPr>
            <w:r>
              <w:rPr>
                <w:rFonts w:ascii="Arial" w:hAnsi="Arial" w:cs="Arial" w:eastAsia="Arial"/>
                <w:b w:val="0"/>
                <w:i w:val="0"/>
                <w:color w:val="000000"/>
                <w:sz w:val="20"/>
              </w:rPr>
              <w:t>0,8</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σs ≤ 0,8 fyk sous combinaison caractéristique.</w:t>
            </w:r>
          </w:p>
        </w:tc>
      </w:tr>
    </w:tbl>
    <w:p>
      <w:pPr>
        <w:spacing w:after="40"/>
      </w:pPr>
    </w:p>
    <w:p>
      <w:pPr>
        <w:pStyle w:val="Heading2"/>
      </w:pPr>
      <w:r>
        <w:rPr>
          <w:rFonts w:ascii="Arial" w:hAnsi="Arial" w:cs="Arial" w:eastAsia="Arial"/>
          <w:b/>
          <w:i w:val="0"/>
          <w:color w:val="000000"/>
          <w:sz w:val="20"/>
        </w:rPr>
        <w:t>3.4 Groupe de données : charges</w:t>
      </w:r>
    </w:p>
    <w:p>
      <w:r>
        <w:rPr>
          <w:rFonts w:ascii="Arial" w:hAnsi="Arial" w:cs="Arial" w:eastAsia="Arial"/>
          <w:b/>
          <w:i w:val="0"/>
          <w:color w:val="000000"/>
          <w:sz w:val="20"/>
        </w:rPr>
        <w:t>Données — charges</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exploitation_uniforme</w:t>
            </w:r>
          </w:p>
        </w:tc>
        <w:tc>
          <w:tcPr>
            <w:tcW w:type="dxa" w:w="1701"/>
          </w:tcPr>
          <w:p>
            <w:pPr>
              <w:spacing w:after="20"/>
            </w:pPr>
            <w:r>
              <w:rPr>
                <w:rFonts w:ascii="Arial" w:hAnsi="Arial" w:cs="Arial" w:eastAsia="Arial"/>
                <w:b w:val="0"/>
                <w:i w:val="0"/>
                <w:color w:val="000000"/>
                <w:sz w:val="20"/>
              </w:rPr>
              <w:t>10</w:t>
            </w:r>
          </w:p>
        </w:tc>
        <w:tc>
          <w:tcPr>
            <w:tcW w:type="dxa" w:w="907"/>
          </w:tcPr>
          <w:p>
            <w:pPr>
              <w:spacing w:after="20"/>
            </w:pPr>
            <w:r>
              <w:rPr>
                <w:rFonts w:ascii="Arial" w:hAnsi="Arial" w:cs="Arial" w:eastAsia="Arial"/>
                <w:b w:val="0"/>
                <w:i w:val="0"/>
                <w:color w:val="000000"/>
                <w:sz w:val="20"/>
              </w:rPr>
              <w:t>kPa</w:t>
            </w:r>
          </w:p>
        </w:tc>
        <w:tc>
          <w:tcPr>
            <w:tcW w:type="dxa" w:w="2268"/>
          </w:tcPr>
          <w:p>
            <w:pPr>
              <w:spacing w:after="20"/>
            </w:pPr>
            <w:r>
              <w:rPr>
                <w:rFonts w:ascii="Arial" w:hAnsi="Arial" w:cs="Arial" w:eastAsia="Arial"/>
                <w:b w:val="0"/>
                <w:i w:val="0"/>
                <w:color w:val="000000"/>
                <w:sz w:val="20"/>
              </w:rPr>
              <w:t>description_MM_lot43.md, document</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acceleration_pesanteur</w:t>
            </w:r>
          </w:p>
        </w:tc>
        <w:tc>
          <w:tcPr>
            <w:tcW w:type="dxa" w:w="1701"/>
          </w:tcPr>
          <w:p>
            <w:pPr>
              <w:spacing w:after="20"/>
            </w:pPr>
            <w:r>
              <w:rPr>
                <w:rFonts w:ascii="Arial" w:hAnsi="Arial" w:cs="Arial" w:eastAsia="Arial"/>
                <w:b w:val="0"/>
                <w:i w:val="0"/>
                <w:color w:val="000000"/>
                <w:sz w:val="20"/>
              </w:rPr>
              <w:t>9,81</w:t>
            </w:r>
          </w:p>
        </w:tc>
        <w:tc>
          <w:tcPr>
            <w:tcW w:type="dxa" w:w="907"/>
          </w:tcPr>
          <w:p>
            <w:pPr>
              <w:spacing w:after="20"/>
            </w:pPr>
            <w:r>
              <w:rPr>
                <w:rFonts w:ascii="Arial" w:hAnsi="Arial" w:cs="Arial" w:eastAsia="Arial"/>
                <w:b w:val="0"/>
                <w:i w:val="0"/>
                <w:color w:val="000000"/>
                <w:sz w:val="20"/>
              </w:rPr>
              <w:t>m/s2</w:t>
            </w:r>
          </w:p>
        </w:tc>
        <w:tc>
          <w:tcPr>
            <w:tcW w:type="dxa" w:w="2268"/>
          </w:tcPr>
          <w:p>
            <w:pPr>
              <w:spacing w:after="20"/>
            </w:pPr>
            <w:r>
              <w:rPr>
                <w:rFonts w:ascii="Arial" w:hAnsi="Arial" w:cs="Arial" w:eastAsia="Arial"/>
                <w:b w:val="0"/>
                <w:i w:val="0"/>
                <w:color w:val="000000"/>
                <w:sz w:val="20"/>
              </w:rPr>
              <w:t>décision du point 4 (MM, 2026-10-02)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resultante_poids_propre_attendue</w:t>
            </w:r>
          </w:p>
        </w:tc>
        <w:tc>
          <w:tcPr>
            <w:tcW w:type="dxa" w:w="1701"/>
          </w:tcPr>
          <w:p>
            <w:pPr>
              <w:spacing w:after="20"/>
            </w:pPr>
            <w:r>
              <w:rPr>
                <w:rFonts w:ascii="Arial" w:hAnsi="Arial" w:cs="Arial" w:eastAsia="Arial"/>
                <w:b w:val="0"/>
                <w:i w:val="0"/>
                <w:color w:val="000000"/>
                <w:sz w:val="20"/>
              </w:rPr>
              <w:t>180,0</w:t>
            </w:r>
          </w:p>
        </w:tc>
        <w:tc>
          <w:tcPr>
            <w:tcW w:type="dxa" w:w="907"/>
          </w:tcPr>
          <w:p>
            <w:pPr>
              <w:spacing w:after="20"/>
            </w:pPr>
            <w:r>
              <w:rPr>
                <w:rFonts w:ascii="Arial" w:hAnsi="Arial" w:cs="Arial" w:eastAsia="Arial"/>
                <w:b w:val="0"/>
                <w:i w:val="0"/>
                <w:color w:val="000000"/>
                <w:sz w:val="20"/>
              </w:rPr>
              <w:t>kN</w:t>
            </w:r>
          </w:p>
        </w:tc>
        <w:tc>
          <w:tcPr>
            <w:tcW w:type="dxa" w:w="2268"/>
          </w:tcPr>
          <w:p>
            <w:pPr>
              <w:spacing w:after="20"/>
            </w:pPr>
            <w:r>
              <w:rPr>
                <w:rFonts w:ascii="Arial" w:hAnsi="Arial" w:cs="Arial" w:eastAsia="Arial"/>
                <w:b w:val="0"/>
                <w:i w:val="0"/>
                <w:color w:val="000000"/>
                <w:sz w:val="20"/>
              </w:rPr>
              <w:t>décision du point 4 (MM, 2026-10-02)</w:t>
            </w:r>
          </w:p>
        </w:tc>
        <w:tc>
          <w:tcPr>
            <w:tcW w:type="dxa" w:w="2835"/>
          </w:tcPr>
          <w:p>
            <w:pPr>
              <w:spacing w:after="20"/>
            </w:pPr>
            <w:r>
              <w:rPr>
                <w:rFonts w:ascii="Arial" w:hAnsi="Arial" w:cs="Arial" w:eastAsia="Arial"/>
                <w:b w:val="0"/>
                <w:i w:val="0"/>
                <w:color w:val="000000"/>
                <w:sz w:val="20"/>
              </w:rPr>
              <w:t>Contrôle de résultante du cas G (MM).</w:t>
            </w:r>
          </w:p>
        </w:tc>
      </w:tr>
      <w:tr>
        <w:trPr>
          <w:cantSplit/>
        </w:trPr>
        <w:tc>
          <w:tcPr>
            <w:tcW w:type="dxa" w:w="1928"/>
          </w:tcPr>
          <w:p>
            <w:pPr>
              <w:spacing w:after="20"/>
            </w:pPr>
            <w:r>
              <w:rPr>
                <w:rFonts w:ascii="Arial" w:hAnsi="Arial" w:cs="Arial" w:eastAsia="Arial"/>
                <w:b w:val="0"/>
                <w:i w:val="0"/>
                <w:color w:val="000000"/>
                <w:sz w:val="20"/>
              </w:rPr>
              <w:t>resultante_exploitation_attendue</w:t>
            </w:r>
          </w:p>
        </w:tc>
        <w:tc>
          <w:tcPr>
            <w:tcW w:type="dxa" w:w="1701"/>
          </w:tcPr>
          <w:p>
            <w:pPr>
              <w:spacing w:after="20"/>
            </w:pPr>
            <w:r>
              <w:rPr>
                <w:rFonts w:ascii="Arial" w:hAnsi="Arial" w:cs="Arial" w:eastAsia="Arial"/>
                <w:b w:val="0"/>
                <w:i w:val="0"/>
                <w:color w:val="000000"/>
                <w:sz w:val="20"/>
              </w:rPr>
              <w:t>240,0</w:t>
            </w:r>
          </w:p>
        </w:tc>
        <w:tc>
          <w:tcPr>
            <w:tcW w:type="dxa" w:w="907"/>
          </w:tcPr>
          <w:p>
            <w:pPr>
              <w:spacing w:after="20"/>
            </w:pPr>
            <w:r>
              <w:rPr>
                <w:rFonts w:ascii="Arial" w:hAnsi="Arial" w:cs="Arial" w:eastAsia="Arial"/>
                <w:b w:val="0"/>
                <w:i w:val="0"/>
                <w:color w:val="000000"/>
                <w:sz w:val="20"/>
              </w:rPr>
              <w:t>kN</w:t>
            </w:r>
          </w:p>
        </w:tc>
        <w:tc>
          <w:tcPr>
            <w:tcW w:type="dxa" w:w="2268"/>
          </w:tcPr>
          <w:p>
            <w:pPr>
              <w:spacing w:after="20"/>
            </w:pPr>
            <w:r>
              <w:rPr>
                <w:rFonts w:ascii="Arial" w:hAnsi="Arial" w:cs="Arial" w:eastAsia="Arial"/>
                <w:b w:val="0"/>
                <w:i w:val="0"/>
                <w:color w:val="000000"/>
                <w:sz w:val="20"/>
              </w:rPr>
              <w:t>décision du point 4 (MM, 2026-10-02)</w:t>
            </w:r>
          </w:p>
        </w:tc>
        <w:tc>
          <w:tcPr>
            <w:tcW w:type="dxa" w:w="2835"/>
          </w:tcPr>
          <w:p>
            <w:pPr>
              <w:spacing w:after="20"/>
            </w:pPr>
            <w:r>
              <w:rPr>
                <w:rFonts w:ascii="Arial" w:hAnsi="Arial" w:cs="Arial" w:eastAsia="Arial"/>
                <w:b w:val="0"/>
                <w:i w:val="0"/>
                <w:color w:val="000000"/>
                <w:sz w:val="20"/>
              </w:rPr>
              <w:t>Contrôle de résultante du cas Q (MM).</w:t>
            </w:r>
          </w:p>
        </w:tc>
      </w:tr>
    </w:tbl>
    <w:p>
      <w:pPr>
        <w:spacing w:after="40"/>
      </w:pPr>
    </w:p>
    <w:p>
      <w:pPr>
        <w:pStyle w:val="Heading2"/>
      </w:pPr>
      <w:r>
        <w:rPr>
          <w:rFonts w:ascii="Arial" w:hAnsi="Arial" w:cs="Arial" w:eastAsia="Arial"/>
          <w:b/>
          <w:i w:val="0"/>
          <w:color w:val="000000"/>
          <w:sz w:val="20"/>
        </w:rPr>
        <w:t>3.5 Groupe de données : durabilite</w:t>
      </w:r>
    </w:p>
    <w:p>
      <w:r>
        <w:rPr>
          <w:rFonts w:ascii="Arial" w:hAnsi="Arial" w:cs="Arial" w:eastAsia="Arial"/>
          <w:b/>
          <w:i w:val="0"/>
          <w:color w:val="000000"/>
          <w:sz w:val="20"/>
        </w:rPr>
        <w:t>Données — durabilite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classe_exposition</w:t>
            </w:r>
          </w:p>
        </w:tc>
        <w:tc>
          <w:tcPr>
            <w:tcW w:type="dxa" w:w="1701"/>
          </w:tcPr>
          <w:p>
            <w:pPr>
              <w:spacing w:after="20"/>
            </w:pPr>
            <w:r>
              <w:rPr>
                <w:rFonts w:ascii="Arial" w:hAnsi="Arial" w:cs="Arial" w:eastAsia="Arial"/>
                <w:b w:val="0"/>
                <w:i w:val="0"/>
                <w:color w:val="000000"/>
                <w:sz w:val="20"/>
              </w:rPr>
              <w:t>XC1</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description_MM_lot43.md, document</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enrobage</w:t>
            </w:r>
          </w:p>
        </w:tc>
        <w:tc>
          <w:tcPr>
            <w:tcW w:type="dxa" w:w="1701"/>
          </w:tcPr>
          <w:p>
            <w:pPr>
              <w:spacing w:after="20"/>
            </w:pPr>
            <w:r>
              <w:rPr>
                <w:rFonts w:ascii="Arial" w:hAnsi="Arial" w:cs="Arial" w:eastAsia="Arial"/>
                <w:b w:val="0"/>
                <w:i w:val="0"/>
                <w:color w:val="000000"/>
                <w:sz w:val="20"/>
              </w:rPr>
              <w:t>30</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Enrobage nominal (P6).</w:t>
            </w:r>
          </w:p>
        </w:tc>
      </w:tr>
      <w:tr>
        <w:trPr>
          <w:cantSplit/>
        </w:trPr>
        <w:tc>
          <w:tcPr>
            <w:tcW w:type="dxa" w:w="1928"/>
          </w:tcPr>
          <w:p>
            <w:pPr>
              <w:spacing w:after="20"/>
            </w:pPr>
            <w:r>
              <w:rPr>
                <w:rFonts w:ascii="Arial" w:hAnsi="Arial" w:cs="Arial" w:eastAsia="Arial"/>
                <w:b w:val="0"/>
                <w:i w:val="0"/>
                <w:color w:val="000000"/>
                <w:sz w:val="20"/>
              </w:rPr>
              <w:t>distance_axe_lit_exterieur</w:t>
            </w:r>
          </w:p>
        </w:tc>
        <w:tc>
          <w:tcPr>
            <w:tcW w:type="dxa" w:w="1701"/>
          </w:tcPr>
          <w:p>
            <w:pPr>
              <w:spacing w:after="20"/>
            </w:pPr>
            <w:r>
              <w:rPr>
                <w:rFonts w:ascii="Arial" w:hAnsi="Arial" w:cs="Arial" w:eastAsia="Arial"/>
                <w:b w:val="0"/>
                <w:i w:val="0"/>
                <w:color w:val="000000"/>
                <w:sz w:val="20"/>
              </w:rPr>
              <w:t>36</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Barres portant selon Y (petite portée).</w:t>
            </w:r>
          </w:p>
        </w:tc>
      </w:tr>
      <w:tr>
        <w:trPr>
          <w:cantSplit/>
        </w:trPr>
        <w:tc>
          <w:tcPr>
            <w:tcW w:type="dxa" w:w="1928"/>
          </w:tcPr>
          <w:p>
            <w:pPr>
              <w:spacing w:after="20"/>
            </w:pPr>
            <w:r>
              <w:rPr>
                <w:rFonts w:ascii="Arial" w:hAnsi="Arial" w:cs="Arial" w:eastAsia="Arial"/>
                <w:b w:val="0"/>
                <w:i w:val="0"/>
                <w:color w:val="000000"/>
                <w:sz w:val="20"/>
              </w:rPr>
              <w:t>distance_axe_lit_interieur</w:t>
            </w:r>
          </w:p>
        </w:tc>
        <w:tc>
          <w:tcPr>
            <w:tcW w:type="dxa" w:w="1701"/>
          </w:tcPr>
          <w:p>
            <w:pPr>
              <w:spacing w:after="20"/>
            </w:pPr>
            <w:r>
              <w:rPr>
                <w:rFonts w:ascii="Arial" w:hAnsi="Arial" w:cs="Arial" w:eastAsia="Arial"/>
                <w:b w:val="0"/>
                <w:i w:val="0"/>
                <w:color w:val="000000"/>
                <w:sz w:val="20"/>
              </w:rPr>
              <w:t>48</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Barres portant selon X (grande portée).</w:t>
            </w:r>
          </w:p>
        </w:tc>
      </w:tr>
      <w:tr>
        <w:trPr>
          <w:cantSplit/>
        </w:trPr>
        <w:tc>
          <w:tcPr>
            <w:tcW w:type="dxa" w:w="1928"/>
          </w:tcPr>
          <w:p>
            <w:pPr>
              <w:spacing w:after="20"/>
            </w:pPr>
            <w:r>
              <w:rPr>
                <w:rFonts w:ascii="Arial" w:hAnsi="Arial" w:cs="Arial" w:eastAsia="Arial"/>
                <w:b w:val="0"/>
                <w:i w:val="0"/>
                <w:color w:val="000000"/>
                <w:sz w:val="20"/>
              </w:rPr>
              <w:t>distance_parement_axe_armatures</w:t>
            </w:r>
          </w:p>
        </w:tc>
        <w:tc>
          <w:tcPr>
            <w:tcW w:type="dxa" w:w="1701"/>
          </w:tcPr>
          <w:p>
            <w:pPr>
              <w:spacing w:after="20"/>
            </w:pPr>
            <w:r>
              <w:rPr>
                <w:rFonts w:ascii="Arial" w:hAnsi="Arial" w:cs="Arial" w:eastAsia="Arial"/>
                <w:b w:val="0"/>
                <w:i w:val="0"/>
                <w:color w:val="000000"/>
                <w:sz w:val="20"/>
              </w:rPr>
              <w:t>48</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C_INF = C_SUP de CALC_FERRAILLAGE : une seule distance par face en 2D (catalogue 17.4), valeur sécuritaire pour les deux directions.</w:t>
            </w:r>
          </w:p>
        </w:tc>
      </w:tr>
      <w:tr>
        <w:trPr>
          <w:cantSplit/>
        </w:trPr>
        <w:tc>
          <w:tcPr>
            <w:tcW w:type="dxa" w:w="1928"/>
          </w:tcPr>
          <w:p>
            <w:pPr>
              <w:spacing w:after="20"/>
            </w:pPr>
            <w:r>
              <w:rPr>
                <w:rFonts w:ascii="Arial" w:hAnsi="Arial" w:cs="Arial" w:eastAsia="Arial"/>
                <w:b w:val="0"/>
                <w:i w:val="0"/>
                <w:color w:val="000000"/>
                <w:sz w:val="20"/>
              </w:rPr>
              <w:t>ouverture_fissure_limite</w:t>
            </w:r>
          </w:p>
        </w:tc>
        <w:tc>
          <w:tcPr>
            <w:tcW w:type="dxa" w:w="1701"/>
          </w:tcPr>
          <w:p>
            <w:pPr>
              <w:spacing w:after="20"/>
            </w:pPr>
            <w:r>
              <w:rPr>
                <w:rFonts w:ascii="Arial" w:hAnsi="Arial" w:cs="Arial" w:eastAsia="Arial"/>
                <w:b w:val="0"/>
                <w:i w:val="0"/>
                <w:color w:val="000000"/>
                <w:sz w:val="20"/>
              </w:rPr>
              <w:t>0,4</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14 (MM, 2026-10-02)</w:t>
            </w:r>
          </w:p>
        </w:tc>
        <w:tc>
          <w:tcPr>
            <w:tcW w:type="dxa" w:w="2835"/>
          </w:tcPr>
          <w:p>
            <w:pPr>
              <w:spacing w:after="20"/>
            </w:pPr>
            <w:r>
              <w:rPr>
                <w:rFonts w:ascii="Arial" w:hAnsi="Arial" w:cs="Arial" w:eastAsia="Arial"/>
                <w:b w:val="0"/>
                <w:i w:val="0"/>
                <w:color w:val="000000"/>
                <w:sz w:val="20"/>
              </w:rPr>
              <w:t>Sous combinaison quasi permanente (tableau 7.1N ; 7.1NF à vérifier par MM).</w:t>
            </w:r>
          </w:p>
        </w:tc>
      </w:tr>
    </w:tbl>
    <w:p>
      <w:pPr>
        <w:spacing w:after="40"/>
      </w:pPr>
    </w:p>
    <w:p>
      <w:pPr>
        <w:pStyle w:val="Heading2"/>
      </w:pPr>
      <w:r>
        <w:rPr>
          <w:rFonts w:ascii="Arial" w:hAnsi="Arial" w:cs="Arial" w:eastAsia="Arial"/>
          <w:b/>
          <w:i w:val="0"/>
          <w:color w:val="000000"/>
          <w:sz w:val="20"/>
        </w:rPr>
        <w:t>3.6 Groupe de données : combinaisons</w:t>
      </w:r>
    </w:p>
    <w:p>
      <w:r>
        <w:rPr>
          <w:rFonts w:ascii="Arial" w:hAnsi="Arial" w:cs="Arial" w:eastAsia="Arial"/>
          <w:b/>
          <w:i w:val="0"/>
          <w:color w:val="000000"/>
          <w:sz w:val="20"/>
        </w:rPr>
        <w:t>Données — combinaisons</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categorie_exploitation</w:t>
            </w:r>
          </w:p>
        </w:tc>
        <w:tc>
          <w:tcPr>
            <w:tcW w:type="dxa" w:w="1701"/>
          </w:tcPr>
          <w:p>
            <w:pPr>
              <w:spacing w:after="20"/>
            </w:pPr>
            <w:r>
              <w:rPr>
                <w:rFonts w:ascii="Arial" w:hAnsi="Arial" w:cs="Arial" w:eastAsia="Arial"/>
                <w:b w:val="0"/>
                <w:i w:val="0"/>
                <w:color w:val="000000"/>
                <w:sz w:val="20"/>
              </w:rPr>
              <w:t>E</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2026-10-02)</w:t>
            </w:r>
          </w:p>
        </w:tc>
        <w:tc>
          <w:tcPr>
            <w:tcW w:type="dxa" w:w="2835"/>
          </w:tcPr>
          <w:p>
            <w:pPr>
              <w:spacing w:after="20"/>
            </w:pPr>
            <w:r>
              <w:rPr>
                <w:rFonts w:ascii="Arial" w:hAnsi="Arial" w:cs="Arial" w:eastAsia="Arial"/>
                <w:b w:val="0"/>
                <w:i w:val="0"/>
                <w:color w:val="000000"/>
                <w:sz w:val="20"/>
              </w:rPr>
              <w:t>Aires de stockage.</w:t>
            </w:r>
          </w:p>
        </w:tc>
      </w:tr>
      <w:tr>
        <w:trPr>
          <w:cantSplit/>
        </w:trPr>
        <w:tc>
          <w:tcPr>
            <w:tcW w:type="dxa" w:w="1928"/>
          </w:tcPr>
          <w:p>
            <w:pPr>
              <w:spacing w:after="20"/>
            </w:pPr>
            <w:r>
              <w:rPr>
                <w:rFonts w:ascii="Arial" w:hAnsi="Arial" w:cs="Arial" w:eastAsia="Arial"/>
                <w:b w:val="0"/>
                <w:i w:val="0"/>
                <w:color w:val="000000"/>
                <w:sz w:val="20"/>
              </w:rPr>
              <w:t>gamma_g_defavorable</w:t>
            </w:r>
          </w:p>
        </w:tc>
        <w:tc>
          <w:tcPr>
            <w:tcW w:type="dxa" w:w="1701"/>
          </w:tcPr>
          <w:p>
            <w:pPr>
              <w:spacing w:after="20"/>
            </w:pPr>
            <w:r>
              <w:rPr>
                <w:rFonts w:ascii="Arial" w:hAnsi="Arial" w:cs="Arial" w:eastAsia="Arial"/>
                <w:b w:val="0"/>
                <w:i w:val="0"/>
                <w:color w:val="000000"/>
                <w:sz w:val="20"/>
              </w:rPr>
              <w:t>1,35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2026-10-02)</w:t>
            </w:r>
          </w:p>
        </w:tc>
        <w:tc>
          <w:tcPr>
            <w:tcW w:type="dxa" w:w="2835"/>
          </w:tcPr>
          <w:p>
            <w:pPr>
              <w:spacing w:after="20"/>
            </w:pPr>
            <w:r>
              <w:rPr>
                <w:rFonts w:ascii="Arial" w:hAnsi="Arial" w:cs="Arial" w:eastAsia="Arial"/>
                <w:b w:val="0"/>
                <w:i w:val="0"/>
                <w:color w:val="000000"/>
                <w:sz w:val="20"/>
              </w:rPr>
              <w:t>G toujours défavorable : aucun γG favorable.</w:t>
            </w:r>
          </w:p>
        </w:tc>
      </w:tr>
      <w:tr>
        <w:trPr>
          <w:cantSplit/>
        </w:trPr>
        <w:tc>
          <w:tcPr>
            <w:tcW w:type="dxa" w:w="1928"/>
          </w:tcPr>
          <w:p>
            <w:pPr>
              <w:spacing w:after="20"/>
            </w:pPr>
            <w:r>
              <w:rPr>
                <w:rFonts w:ascii="Arial" w:hAnsi="Arial" w:cs="Arial" w:eastAsia="Arial"/>
                <w:b w:val="0"/>
                <w:i w:val="0"/>
                <w:color w:val="000000"/>
                <w:sz w:val="20"/>
              </w:rPr>
              <w:t>gamma_q</w:t>
            </w:r>
          </w:p>
        </w:tc>
        <w:tc>
          <w:tcPr>
            <w:tcW w:type="dxa" w:w="1701"/>
          </w:tcPr>
          <w:p>
            <w:pPr>
              <w:spacing w:after="20"/>
            </w:pPr>
            <w:r>
              <w:rPr>
                <w:rFonts w:ascii="Arial" w:hAnsi="Arial" w:cs="Arial" w:eastAsia="Arial"/>
                <w:b w:val="0"/>
                <w:i w:val="0"/>
                <w:color w:val="000000"/>
                <w:sz w:val="20"/>
              </w:rPr>
              <w:t>1,5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2026-10-02)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q_psi0</w:t>
            </w:r>
          </w:p>
        </w:tc>
        <w:tc>
          <w:tcPr>
            <w:tcW w:type="dxa" w:w="1701"/>
          </w:tcPr>
          <w:p>
            <w:pPr>
              <w:spacing w:after="20"/>
            </w:pPr>
            <w:r>
              <w:rPr>
                <w:rFonts w:ascii="Arial" w:hAnsi="Arial" w:cs="Arial" w:eastAsia="Arial"/>
                <w:b w:val="0"/>
                <w:i w:val="0"/>
                <w:color w:val="000000"/>
                <w:sz w:val="20"/>
              </w:rPr>
              <w:t>1,0</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2026-10-02)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q_psi1</w:t>
            </w:r>
          </w:p>
        </w:tc>
        <w:tc>
          <w:tcPr>
            <w:tcW w:type="dxa" w:w="1701"/>
          </w:tcPr>
          <w:p>
            <w:pPr>
              <w:spacing w:after="20"/>
            </w:pPr>
            <w:r>
              <w:rPr>
                <w:rFonts w:ascii="Arial" w:hAnsi="Arial" w:cs="Arial" w:eastAsia="Arial"/>
                <w:b w:val="0"/>
                <w:i w:val="0"/>
                <w:color w:val="000000"/>
                <w:sz w:val="20"/>
              </w:rPr>
              <w:t>0,9</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2026-10-02)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q_psi2</w:t>
            </w:r>
          </w:p>
        </w:tc>
        <w:tc>
          <w:tcPr>
            <w:tcW w:type="dxa" w:w="1701"/>
          </w:tcPr>
          <w:p>
            <w:pPr>
              <w:spacing w:after="20"/>
            </w:pPr>
            <w:r>
              <w:rPr>
                <w:rFonts w:ascii="Arial" w:hAnsi="Arial" w:cs="Arial" w:eastAsia="Arial"/>
                <w:b w:val="0"/>
                <w:i w:val="0"/>
                <w:color w:val="000000"/>
                <w:sz w:val="20"/>
              </w:rPr>
              <w:t>0,8</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2026-10-02)</w:t>
            </w:r>
          </w:p>
        </w:tc>
        <w:tc>
          <w:tcPr>
            <w:tcW w:type="dxa" w:w="2835"/>
          </w:tcPr>
          <w:p>
            <w:pPr>
              <w:spacing w:after="20"/>
            </w:pPr>
            <w:r>
              <w:rPr>
                <w:rFonts w:ascii="Arial" w:hAnsi="Arial" w:cs="Arial" w:eastAsia="Arial"/>
                <w:b w:val="0"/>
                <w:i w:val="0"/>
                <w:color w:val="000000"/>
                <w:sz w:val="20"/>
              </w:rPr>
            </w:r>
          </w:p>
        </w:tc>
      </w:tr>
    </w:tbl>
    <w:p>
      <w:pPr>
        <w:spacing w:after="40"/>
      </w:pPr>
    </w:p>
    <w:p>
      <w:pPr>
        <w:pStyle w:val="Heading2"/>
      </w:pPr>
      <w:r>
        <w:rPr>
          <w:rFonts w:ascii="Arial" w:hAnsi="Arial" w:cs="Arial" w:eastAsia="Arial"/>
          <w:b/>
          <w:i w:val="0"/>
          <w:color w:val="000000"/>
          <w:sz w:val="20"/>
        </w:rPr>
        <w:t>3.7 Groupe de données : maillage</w:t>
      </w:r>
    </w:p>
    <w:p>
      <w:r>
        <w:rPr>
          <w:rFonts w:ascii="Arial" w:hAnsi="Arial" w:cs="Arial" w:eastAsia="Arial"/>
          <w:b/>
          <w:i w:val="0"/>
          <w:color w:val="000000"/>
          <w:sz w:val="20"/>
        </w:rPr>
        <w:t>Données — maillage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tailles_convergence</w:t>
            </w:r>
          </w:p>
        </w:tc>
        <w:tc>
          <w:tcPr>
            <w:tcW w:type="dxa" w:w="1701"/>
          </w:tcPr>
          <w:p>
            <w:pPr>
              <w:spacing w:after="20"/>
            </w:pPr>
            <w:r>
              <w:rPr>
                <w:rFonts w:ascii="Arial" w:hAnsi="Arial" w:cs="Arial" w:eastAsia="Arial"/>
                <w:b w:val="0"/>
                <w:i w:val="0"/>
                <w:color w:val="000000"/>
                <w:sz w:val="20"/>
              </w:rPr>
              <w:t>0,5 ; 0,25 ; 0,125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10 (Claude (superviseur), section B de arbitrage_dalle_appuyee_01_v1 — document validé par MM, 2026-10-02)</w:t>
            </w:r>
          </w:p>
        </w:tc>
        <w:tc>
          <w:tcPr>
            <w:tcW w:type="dxa" w:w="2835"/>
          </w:tcPr>
          <w:p>
            <w:pPr>
              <w:spacing w:after="20"/>
            </w:pPr>
            <w:r>
              <w:rPr>
                <w:rFonts w:ascii="Arial" w:hAnsi="Arial" w:cs="Arial" w:eastAsia="Arial"/>
                <w:b w:val="0"/>
                <w:i w:val="0"/>
                <w:color w:val="000000"/>
                <w:sz w:val="20"/>
              </w:rPr>
              <w:t>Suite de rapport 2 (12×8, 24×16, 48×32 mailles) ; la chaîne projet utilise la plus fine.</w:t>
            </w:r>
          </w:p>
        </w:tc>
      </w:tr>
    </w:tbl>
    <w:p>
      <w:pPr>
        <w:spacing w:after="40"/>
      </w:pPr>
    </w:p>
    <w:p>
      <w:pPr>
        <w:pStyle w:val="Heading2"/>
      </w:pPr>
      <w:r>
        <w:rPr>
          <w:rFonts w:ascii="Arial" w:hAnsi="Arial" w:cs="Arial" w:eastAsia="Arial"/>
          <w:b/>
          <w:i w:val="0"/>
          <w:color w:val="000000"/>
          <w:sz w:val="20"/>
        </w:rPr>
        <w:t>3.8 Convention de nommage des groupes</w:t>
      </w:r>
    </w:p>
    <w:p>
      <w:r>
        <w:rPr>
          <w:rFonts w:ascii="Arial" w:hAnsi="Arial" w:cs="Arial" w:eastAsia="Arial"/>
          <w:b/>
          <w:i w:val="0"/>
          <w:color w:val="000000"/>
          <w:sz w:val="20"/>
        </w:rPr>
        <w:t>Groupes de mailles et de nœuds</w:t>
      </w:r>
    </w:p>
    <w:tbl>
      <w:tblPr>
        <w:tblStyle w:val="TableGrid"/>
        <w:tblW w:type="auto" w:w="0"/>
        <w:jc w:val="center"/>
        <w:tblLayout w:type="fixed"/>
        <w:tblLook w:firstColumn="1" w:firstRow="1" w:lastColumn="0" w:lastRow="0" w:noHBand="0" w:noVBand="1" w:val="04A0"/>
      </w:tblPr>
      <w:tblGrid>
        <w:gridCol w:w="1814"/>
        <w:gridCol w:w="907"/>
        <w:gridCol w:w="3288"/>
        <w:gridCol w:w="680"/>
        <w:gridCol w:w="1361"/>
        <w:gridCol w:w="1587"/>
      </w:tblGrid>
      <w:tr>
        <w:trPr>
          <w:tblHeader w:val="true"/>
        </w:trPr>
        <w:tc>
          <w:tcPr>
            <w:tcW w:type="dxa" w:w="1814"/>
            <w:shd w:val="clear" w:color="auto" w:fill="D9D9D9"/>
          </w:tcPr>
          <w:p>
            <w:pPr>
              <w:spacing w:after="20"/>
            </w:pPr>
            <w:r>
              <w:rPr>
                <w:rFonts w:ascii="Arial" w:hAnsi="Arial" w:cs="Arial" w:eastAsia="Arial"/>
                <w:b/>
                <w:i w:val="0"/>
                <w:color w:val="000000"/>
                <w:sz w:val="20"/>
              </w:rPr>
              <w:t>Groupe</w:t>
            </w:r>
          </w:p>
        </w:tc>
        <w:tc>
          <w:tcPr>
            <w:tcW w:type="dxa" w:w="907"/>
            <w:shd w:val="clear" w:color="auto" w:fill="D9D9D9"/>
          </w:tcPr>
          <w:p>
            <w:pPr>
              <w:spacing w:after="20"/>
            </w:pPr>
            <w:r>
              <w:rPr>
                <w:rFonts w:ascii="Arial" w:hAnsi="Arial" w:cs="Arial" w:eastAsia="Arial"/>
                <w:b/>
                <w:i w:val="0"/>
                <w:color w:val="000000"/>
                <w:sz w:val="20"/>
              </w:rPr>
              <w:t>Type</w:t>
            </w:r>
          </w:p>
        </w:tc>
        <w:tc>
          <w:tcPr>
            <w:tcW w:type="dxa" w:w="3288"/>
            <w:shd w:val="clear" w:color="auto" w:fill="D9D9D9"/>
          </w:tcPr>
          <w:p>
            <w:pPr>
              <w:spacing w:after="20"/>
            </w:pPr>
            <w:r>
              <w:rPr>
                <w:rFonts w:ascii="Arial" w:hAnsi="Arial" w:cs="Arial" w:eastAsia="Arial"/>
                <w:b/>
                <w:i w:val="0"/>
                <w:color w:val="000000"/>
                <w:sz w:val="20"/>
              </w:rPr>
              <w:t>Description</w:t>
            </w:r>
          </w:p>
        </w:tc>
        <w:tc>
          <w:tcPr>
            <w:tcW w:type="dxa" w:w="680"/>
            <w:shd w:val="clear" w:color="auto" w:fill="D9D9D9"/>
          </w:tcPr>
          <w:p>
            <w:pPr>
              <w:spacing w:after="20"/>
            </w:pPr>
            <w:r>
              <w:rPr>
                <w:rFonts w:ascii="Arial" w:hAnsi="Arial" w:cs="Arial" w:eastAsia="Arial"/>
                <w:b/>
                <w:i w:val="0"/>
                <w:color w:val="000000"/>
                <w:sz w:val="20"/>
              </w:rPr>
              <w:t>Point</w:t>
            </w:r>
          </w:p>
        </w:tc>
        <w:tc>
          <w:tcPr>
            <w:tcW w:type="dxa" w:w="1361"/>
            <w:shd w:val="clear" w:color="auto" w:fill="D9D9D9"/>
          </w:tcPr>
          <w:p>
            <w:pPr>
              <w:spacing w:after="20"/>
            </w:pPr>
            <w:r>
              <w:rPr>
                <w:rFonts w:ascii="Arial" w:hAnsi="Arial" w:cs="Arial" w:eastAsia="Arial"/>
                <w:b/>
                <w:i w:val="0"/>
                <w:color w:val="000000"/>
                <w:sz w:val="20"/>
              </w:rPr>
              <w:t>Statut</w:t>
            </w:r>
          </w:p>
        </w:tc>
        <w:tc>
          <w:tcPr>
            <w:tcW w:type="dxa" w:w="1587"/>
            <w:shd w:val="clear" w:color="auto" w:fill="D9D9D9"/>
          </w:tcPr>
          <w:p>
            <w:pPr>
              <w:spacing w:after="20"/>
            </w:pPr>
            <w:r>
              <w:rPr>
                <w:rFonts w:ascii="Arial" w:hAnsi="Arial" w:cs="Arial" w:eastAsia="Arial"/>
                <w:b/>
                <w:i w:val="0"/>
                <w:color w:val="000000"/>
                <w:sz w:val="20"/>
              </w:rPr>
              <w:t>Contrôle</w:t>
            </w:r>
          </w:p>
        </w:tc>
      </w:tr>
      <w:tr>
        <w:trPr>
          <w:cantSplit/>
        </w:trPr>
        <w:tc>
          <w:tcPr>
            <w:tcW w:type="dxa" w:w="1814"/>
          </w:tcPr>
          <w:p>
            <w:pPr>
              <w:spacing w:after="20"/>
            </w:pPr>
            <w:r>
              <w:rPr>
                <w:rFonts w:ascii="Arial" w:hAnsi="Arial" w:cs="Arial" w:eastAsia="Arial"/>
                <w:b w:val="0"/>
                <w:i w:val="0"/>
                <w:color w:val="000000"/>
                <w:sz w:val="20"/>
              </w:rPr>
              <w:t>DALLE</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Toutes les mailles QUAD4 de la dalle (surface).</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APPUI_X0</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Bord X = 0 (SEG2).</w:t>
            </w:r>
          </w:p>
        </w:tc>
        <w:tc>
          <w:tcPr>
            <w:tcW w:type="dxa" w:w="680"/>
          </w:tcPr>
          <w:p>
            <w:pPr>
              <w:spacing w:after="20"/>
            </w:pPr>
            <w:r>
              <w:rPr>
                <w:rFonts w:ascii="Arial" w:hAnsi="Arial" w:cs="Arial" w:eastAsia="Arial"/>
                <w:b w:val="0"/>
                <w:i w:val="0"/>
                <w:color w:val="000000"/>
                <w:sz w:val="20"/>
              </w:rPr>
              <w:t>6</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APPUI_X6</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Bord X = 6,00 (SEG2).</w:t>
            </w:r>
          </w:p>
        </w:tc>
        <w:tc>
          <w:tcPr>
            <w:tcW w:type="dxa" w:w="680"/>
          </w:tcPr>
          <w:p>
            <w:pPr>
              <w:spacing w:after="20"/>
            </w:pPr>
            <w:r>
              <w:rPr>
                <w:rFonts w:ascii="Arial" w:hAnsi="Arial" w:cs="Arial" w:eastAsia="Arial"/>
                <w:b w:val="0"/>
                <w:i w:val="0"/>
                <w:color w:val="000000"/>
                <w:sz w:val="20"/>
              </w:rPr>
              <w:t>6</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APPUI_Y0</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Bord Y = 0 (SEG2).</w:t>
            </w:r>
          </w:p>
        </w:tc>
        <w:tc>
          <w:tcPr>
            <w:tcW w:type="dxa" w:w="680"/>
          </w:tcPr>
          <w:p>
            <w:pPr>
              <w:spacing w:after="20"/>
            </w:pPr>
            <w:r>
              <w:rPr>
                <w:rFonts w:ascii="Arial" w:hAnsi="Arial" w:cs="Arial" w:eastAsia="Arial"/>
                <w:b w:val="0"/>
                <w:i w:val="0"/>
                <w:color w:val="000000"/>
                <w:sz w:val="20"/>
              </w:rPr>
              <w:t>6</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APPUI_Y4</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Bord Y = 4,00 (SEG2).</w:t>
            </w:r>
          </w:p>
        </w:tc>
        <w:tc>
          <w:tcPr>
            <w:tcW w:type="dxa" w:w="680"/>
          </w:tcPr>
          <w:p>
            <w:pPr>
              <w:spacing w:after="20"/>
            </w:pPr>
            <w:r>
              <w:rPr>
                <w:rFonts w:ascii="Arial" w:hAnsi="Arial" w:cs="Arial" w:eastAsia="Arial"/>
                <w:b w:val="0"/>
                <w:i w:val="0"/>
                <w:color w:val="000000"/>
                <w:sz w:val="20"/>
              </w:rPr>
              <w:t>6</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APPUIS</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Réunion des nœuds des quatre bords : DZ = 0.</w:t>
            </w:r>
          </w:p>
        </w:tc>
        <w:tc>
          <w:tcPr>
            <w:tcW w:type="dxa" w:w="680"/>
          </w:tcPr>
          <w:p>
            <w:pPr>
              <w:spacing w:after="20"/>
            </w:pPr>
            <w:r>
              <w:rPr>
                <w:rFonts w:ascii="Arial" w:hAnsi="Arial" w:cs="Arial" w:eastAsia="Arial"/>
                <w:b w:val="0"/>
                <w:i w:val="0"/>
                <w:color w:val="000000"/>
                <w:sz w:val="20"/>
              </w:rPr>
              <w:t>6</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P_A</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Coin A (0, 0, 0) : DX = DY = 0.</w:t>
            </w:r>
          </w:p>
        </w:tc>
        <w:tc>
          <w:tcPr>
            <w:tcW w:type="dxa" w:w="680"/>
          </w:tcPr>
          <w:p>
            <w:pPr>
              <w:spacing w:after="20"/>
            </w:pPr>
            <w:r>
              <w:rPr>
                <w:rFonts w:ascii="Arial" w:hAnsi="Arial" w:cs="Arial" w:eastAsia="Arial"/>
                <w:b w:val="0"/>
                <w:i w:val="0"/>
                <w:color w:val="000000"/>
                <w:sz w:val="20"/>
              </w:rPr>
              <w:t>6</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P_B</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Coin B (6, 0, 0), adjacent selon X : DY = 0.</w:t>
            </w:r>
          </w:p>
        </w:tc>
        <w:tc>
          <w:tcPr>
            <w:tcW w:type="dxa" w:w="680"/>
          </w:tcPr>
          <w:p>
            <w:pPr>
              <w:spacing w:after="20"/>
            </w:pPr>
            <w:r>
              <w:rPr>
                <w:rFonts w:ascii="Arial" w:hAnsi="Arial" w:cs="Arial" w:eastAsia="Arial"/>
                <w:b w:val="0"/>
                <w:i w:val="0"/>
                <w:color w:val="000000"/>
                <w:sz w:val="20"/>
              </w:rPr>
              <w:t>6</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CENTRE</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Nœud central (3,0 ; 2,0) : comparaison à Navier.</w:t>
            </w:r>
          </w:p>
        </w:tc>
        <w:tc>
          <w:tcPr>
            <w:tcW w:type="dxa" w:w="680"/>
          </w:tcPr>
          <w:p>
            <w:pPr>
              <w:spacing w:after="20"/>
            </w:pPr>
            <w:r>
              <w:rPr>
                <w:rFonts w:ascii="Arial" w:hAnsi="Arial" w:cs="Arial" w:eastAsia="Arial"/>
                <w:b w:val="0"/>
                <w:i w:val="0"/>
                <w:color w:val="000000"/>
                <w:sz w:val="20"/>
              </w:rPr>
              <w:t>10</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bl>
    <w:p>
      <w:pPr>
        <w:spacing w:after="40"/>
      </w:pPr>
    </w:p>
    <w:p>
      <w:pPr>
        <w:pStyle w:val="Heading1"/>
      </w:pPr>
      <w:r>
        <w:rPr>
          <w:rFonts w:ascii="Arial" w:hAnsi="Arial" w:cs="Arial" w:eastAsia="Arial"/>
          <w:b/>
          <w:i w:val="0"/>
          <w:color w:val="000000"/>
          <w:sz w:val="20"/>
        </w:rPr>
        <w:t>4. Points de la fiche</w:t>
      </w:r>
    </w:p>
    <w:p>
      <w:pPr>
        <w:pStyle w:val="Heading2"/>
      </w:pPr>
      <w:r>
        <w:rPr>
          <w:rFonts w:ascii="Arial" w:hAnsi="Arial" w:cs="Arial" w:eastAsia="Arial"/>
          <w:b/>
          <w:i w:val="0"/>
          <w:color w:val="000000"/>
          <w:sz w:val="20"/>
        </w:rPr>
        <w:t>4.1 Point 0</w:t>
      </w:r>
    </w:p>
    <w:p>
      <w:r>
        <w:rPr>
          <w:rFonts w:ascii="Arial" w:hAnsi="Arial" w:cs="Arial" w:eastAsia="Arial"/>
          <w:b/>
          <w:i w:val="0"/>
          <w:color w:val="000000"/>
          <w:sz w:val="20"/>
        </w:rPr>
        <w:t>Objet et périmètre du calcul</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Calcul élastique linéaire et non fissuré de la dalle seule (plaque), sous chargement statique. Les flèches obtenues sont des flèches instantanées et non fissurées ; la flèche à long terme (fluage, fissuration, EC2 7.4.3) est hors périmètre, et le compte rendu le dit explicitement. Le ferraillage est calculé par CALC_FERRAILLAGE sur les efforts élastiques.</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P2 de MM : « Le calcul est élastique linéaire et non fissuré. Les flèches obtenues sont des flèches instantanées et non fissurées. »</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Flèches instantanées seulement ; aucune flèche différée, aucun effet de la fissuration sur la raideur ; EC2 7.4.3 hors périmètre.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Estimation des flèches à long terme (fluage, fissuration). — motif : Hors périmètre de ce lot (P2).</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arbitrage_dalle_appuyee_01_v1, A, P2 (2026-10-02)</w:t>
      </w:r>
    </w:p>
    <w:p>
      <w:pPr>
        <w:ind w:left="340"/>
      </w:pPr>
      <w:r>
        <w:rPr>
          <w:rFonts w:ascii="Arial" w:hAnsi="Arial" w:cs="Arial" w:eastAsia="Arial"/>
          <w:b w:val="0"/>
          <w:i w:val="0"/>
          <w:color w:val="000000"/>
          <w:sz w:val="20"/>
        </w:rPr>
        <w:t>– norme — EN 1992-1-1, 7.4.3 — référence normative fournie par MM, non indexée</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2026-10-02</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methode ("précédents : périmètre du calcul (search_connaissances, couche precedents)") : PRE-009 (quai) : périmètre d'un modèle 3D d'écran ; son contenu (géotechnique amont, charges localisées) ne s'applique pas à une dalle isolée, non proposé. Déduction : MM demande « les déplacements » sans dire s'ils sont instantanés ou à long terme ; un calcul élastique linéaire ne donne que les premiers. La comparaison à Navier (niveau E) porte sur le calcul élastique.</w:t>
      </w:r>
    </w:p>
    <w:p>
      <w:pPr>
        <w:pStyle w:val="Heading2"/>
      </w:pPr>
      <w:r>
        <w:rPr>
          <w:rFonts w:ascii="Arial" w:hAnsi="Arial" w:cs="Arial" w:eastAsia="Arial"/>
          <w:b/>
          <w:i w:val="0"/>
          <w:color w:val="000000"/>
          <w:sz w:val="20"/>
        </w:rPr>
        <w:t>4.2 Point 1</w:t>
      </w:r>
    </w:p>
    <w:p>
      <w:r>
        <w:rPr>
          <w:rFonts w:ascii="Arial" w:hAnsi="Arial" w:cs="Arial" w:eastAsia="Arial"/>
          <w:b/>
          <w:i w:val="0"/>
          <w:color w:val="000000"/>
          <w:sz w:val="20"/>
        </w:rPr>
        <w:t>Choix de la modélisation de plaque de la dalle (h/L = 1/13,3)</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Modélisation DKT (Love-Kirchhoff) pour toute la dalle.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P1 de MM : avec h/L = 0,30/4,00 = 1/13,3, la part de cisaillement transverse dans la flèche d'une bande simplement appuyée vaut environ 0,8·E/(κG)·(h/L)², soit à peu près 1,3 % avec ν = 0,2 et κ = 5/6, négligeable devant la précision d'ingénieur ; les moments d'une plaque appuyée y sont peu sensibles. La référence du niveau E est Kirchhoff (Navier) : DKT est la seule modélisation qui rend la comparaison exacte, sans correction.</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Déformation d'effort tranchant négligée (environ 1,3 % de la flèche selon l'estimation de MM) ; aucune étude de sensibilité DST dans ce lot.</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DST (cisaillement transverse), y compris en sensibilité. — motif : Ajoute un écart de modèle qui brouille le niveau E, sans bénéfice pour cet ouvrage ; la sensibilité DST est hors périmètre de ce lot (P1).</w:t>
      </w:r>
    </w:p>
    <w:p>
      <w:pPr>
        <w:ind w:left="340"/>
      </w:pPr>
      <w:r>
        <w:rPr>
          <w:rFonts w:ascii="Arial" w:hAnsi="Arial" w:cs="Arial" w:eastAsia="Arial"/>
          <w:b w:val="0"/>
          <w:i w:val="0"/>
          <w:color w:val="000000"/>
          <w:sz w:val="20"/>
        </w:rPr>
        <w:t>– Q4GG (modélisation du cas test SSLS127). — motif : Même raison que DST : écart de modèle par rapport à Kirchhoff (P1).</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arbitrage_dalle_appuyee_01_v1, A, P1 (2026-10-02)</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2026-10-02</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methode ("DKT DST Kirchhoff cisaillement transverse plaque mince épaisse choix modélisation") : U2.02.01 § Conclusion : DKT pour h/L &lt; 1/20, DST/Q4G ou coque courbe pour les structures épaisses ; rien pour 1/20 &lt; h/L &lt; 1/10. Cherché sous methode ("plaque rectangulaire simplement appuyée pression uniforme flèche centre DKT (famille V)") : SSLS127 (DKTG, Q4GG), SSNV129 (DKT, contact) : aucun ne départage DKT et DST pour cet élancement. Cherché sous methode ("précédents : choix de modélisation de coque (search_connaissances, couche precedents)") : PRE-001 et PRE-011 (quai) : tube métallique facettisé de 14 mm, élancement sans rapport ; non proposés. Déduction : Le niveau E demandé (Navier, Kirchhoff) n'est exact que pour DKT ; avec DST, il faudrait une référence de Reissner-Mindlin ou accepter un écart de cisaillement à estimer. Les mailles QUAD4 donnent l'élément DKQ (R3.07.03).</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CA-046, CA-047, CA-002, CA-025</w:t>
      </w:r>
    </w:p>
    <w:p>
      <w:pPr>
        <w:pStyle w:val="Heading2"/>
      </w:pPr>
      <w:r>
        <w:rPr>
          <w:rFonts w:ascii="Arial" w:hAnsi="Arial" w:cs="Arial" w:eastAsia="Arial"/>
          <w:b/>
          <w:i w:val="0"/>
          <w:color w:val="000000"/>
          <w:sz w:val="20"/>
        </w:rPr>
        <w:t>4.3 Point 4</w:t>
      </w:r>
    </w:p>
    <w:p>
      <w:r>
        <w:rPr>
          <w:rFonts w:ascii="Arial" w:hAnsi="Arial" w:cs="Arial" w:eastAsia="Arial"/>
          <w:b/>
          <w:i w:val="0"/>
          <w:color w:val="000000"/>
          <w:sz w:val="20"/>
        </w:rPr>
        <w:t>Valeurs et application des charges : poids volumique, g, forme de la charge d'exploitation</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Deux cas de charge calculés séparément, chacun comparé à Navier. G : poids propre, poids volumique 25 kN/m³, appliqué par PESANTEUR avec g = 9,81 m/s² et RHO = 25 000 / 9,81 = 2 548,42 kg/m³, de façon que ρ·g vaille exactement 25 kN/m³ ; résultante attendue 25 × 6 × 4 × 0,30 = 180,0 kN. Q : exploitation de 10 kPa en charge surfacique de direction globale −Z (FORCE_COQUE/FZ), et non en PRES, pour ne pas dépendre de l'orientation des normales ; résultante attendue 240,0 kN.</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P3 de MM.</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Exploitation uniforme sur toute la dalle ; aucune disposition partielle. RHO est un artifice pour obtenir ρ·g = 25 kN/m³ (le poids volumique du béton armé, pas sa masse volumique réelle) : il n'est valable qu'en statique.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RHO = 2500 kg/m³ et g = 9,81 m/s² (poids 24,5 kN/m³). — motif : MM retient 25 kN/m³ exactement (P3).</w:t>
      </w:r>
    </w:p>
    <w:p>
      <w:pPr>
        <w:ind w:left="340"/>
      </w:pPr>
      <w:r>
        <w:rPr>
          <w:rFonts w:ascii="Arial" w:hAnsi="Arial" w:cs="Arial" w:eastAsia="Arial"/>
          <w:b w:val="0"/>
          <w:i w:val="0"/>
          <w:color w:val="000000"/>
          <w:sz w:val="20"/>
        </w:rPr>
        <w:t>– Exploitation par FORCE_COQUE/PRES après ORIE_NORM_COQUE. — motif : Le résultat dépendrait de l'orientation des normales (P3).</w:t>
      </w:r>
    </w:p>
    <w:p>
      <w:pPr>
        <w:ind w:left="340"/>
      </w:pPr>
      <w:r>
        <w:rPr>
          <w:rFonts w:ascii="Arial" w:hAnsi="Arial" w:cs="Arial" w:eastAsia="Arial"/>
          <w:b w:val="0"/>
          <w:i w:val="0"/>
          <w:color w:val="000000"/>
          <w:sz w:val="20"/>
        </w:rPr>
        <w:t>– Dispositions partielles (damier) de l'exploitation. — motif : Non retenues par P3 : exploitation uniforme de 10 kPa.</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arbitrage_dalle_appuyee_01_v1, A, P3 (2026-10-02)</w:t>
      </w:r>
    </w:p>
    <w:p>
      <w:pPr>
        <w:ind w:left="340"/>
      </w:pPr>
      <w:r>
        <w:rPr>
          <w:rFonts w:ascii="Arial" w:hAnsi="Arial" w:cs="Arial" w:eastAsia="Arial"/>
          <w:b w:val="0"/>
          <w:i w:val="0"/>
          <w:color w:val="000000"/>
          <w:sz w:val="20"/>
        </w:rPr>
        <w:t>– norme — EN 1991-1-1, annexe A — référence normative fournie par MM, non indexée</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2026-10-02</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syntaxe ("FORCE_COQUE PRES pression positive normale sens FX FY FZ repère global") : U4.44.01 § FORCE_COQUE : FZ global ou PRES normale ; ne fixe aucune valeur de charge. Cherché sous methode ("précédents : poids propre, poids volumique (search_connaissances, couche precedents)") : aucun précédent sur le poids volumique d'un béton armé. Déduction : Une dalle isostatique sur quatre appuis simples sous charge uniforme a ses moments maximaux sous chargement total ; une disposition partielle n'est utile que pour une dalle continue (hors périmètre de la description).</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CA-048, CA-024, CA-018</w:t>
      </w:r>
    </w:p>
    <w:p>
      <w:pPr>
        <w:pStyle w:val="Heading2"/>
      </w:pPr>
      <w:r>
        <w:rPr>
          <w:rFonts w:ascii="Arial" w:hAnsi="Arial" w:cs="Arial" w:eastAsia="Arial"/>
          <w:b/>
          <w:i w:val="0"/>
          <w:color w:val="000000"/>
          <w:sz w:val="20"/>
        </w:rPr>
        <w:t>4.4 Point 5</w:t>
      </w:r>
    </w:p>
    <w:p>
      <w:r>
        <w:rPr>
          <w:rFonts w:ascii="Arial" w:hAnsi="Arial" w:cs="Arial" w:eastAsia="Arial"/>
          <w:b/>
          <w:i w:val="0"/>
          <w:color w:val="000000"/>
          <w:sz w:val="20"/>
        </w:rPr>
        <w:t>Paramètres élastiques du béton C30/37 (E, ν) et hypothèse de béton non fissuré</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Béton C30/37 : E = Ecm = 33 000 MPa, ν = 0,2 (béton non fissuré), fck = 30 MPa, fctm = 2,9 MPa. Calcul élastique linéaire et non fissuré. ν est figé avant l'écriture du critère du niveau 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P2 de MM.</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Béton non fissuré : raideur de flexion surestimée pour une dalle fissurée ; flèches instantanées seulement.</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ν = 0 (béton fissuré). — motif : MM retient le béton non fissuré, ν = 0,2 (P2).</w:t>
      </w:r>
    </w:p>
    <w:p>
      <w:pPr>
        <w:ind w:left="340"/>
      </w:pPr>
      <w:r>
        <w:rPr>
          <w:rFonts w:ascii="Arial" w:hAnsi="Arial" w:cs="Arial" w:eastAsia="Arial"/>
          <w:b w:val="0"/>
          <w:i w:val="0"/>
          <w:color w:val="000000"/>
          <w:sz w:val="20"/>
        </w:rPr>
        <w:t>– Module effectif à long terme. — motif : Flèche à long terme hors périmètre (P2).</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arbitrage_dalle_appuyee_01_v1, A, P2 (2026-10-02)</w:t>
      </w:r>
    </w:p>
    <w:p>
      <w:pPr>
        <w:ind w:left="340"/>
      </w:pPr>
      <w:r>
        <w:rPr>
          <w:rFonts w:ascii="Arial" w:hAnsi="Arial" w:cs="Arial" w:eastAsia="Arial"/>
          <w:b w:val="0"/>
          <w:i w:val="0"/>
          <w:color w:val="000000"/>
          <w:sz w:val="20"/>
        </w:rPr>
        <w:t>– norme — EN 1992-1-1, tableau 3.1 — référence normative fournie par MM, non indexée</w:t>
      </w:r>
    </w:p>
    <w:p>
      <w:pPr>
        <w:ind w:left="340"/>
      </w:pPr>
      <w:r>
        <w:rPr>
          <w:rFonts w:ascii="Arial" w:hAnsi="Arial" w:cs="Arial" w:eastAsia="Arial"/>
          <w:b w:val="0"/>
          <w:i w:val="0"/>
          <w:color w:val="000000"/>
          <w:sz w:val="20"/>
        </w:rPr>
        <w:t>– norme — EN 1992-1-1, 3.1.3(4) — référence normative fournie par MM, non indexée</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2026-10-02</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methode ("précédents : module béton (search_connaissances, couche precedents)") : aucun résultat. Déduction : Les moments de Navier dépendent de ν (Mx et My au centre) mais pas de E ; la flèche dépend de E et de ν. La valeur de ν est donc à fixer avant le critère du niveau E.</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CA-049</w:t>
      </w:r>
    </w:p>
    <w:p>
      <w:pPr>
        <w:pStyle w:val="Heading2"/>
      </w:pPr>
      <w:r>
        <w:rPr>
          <w:rFonts w:ascii="Arial" w:hAnsi="Arial" w:cs="Arial" w:eastAsia="Arial"/>
          <w:b/>
          <w:i w:val="0"/>
          <w:color w:val="000000"/>
          <w:sz w:val="20"/>
        </w:rPr>
        <w:t>4.5 Point 6</w:t>
      </w:r>
    </w:p>
    <w:p>
      <w:r>
        <w:rPr>
          <w:rFonts w:ascii="Arial" w:hAnsi="Arial" w:cs="Arial" w:eastAsia="Arial"/>
          <w:b/>
          <w:i w:val="0"/>
          <w:color w:val="000000"/>
          <w:sz w:val="20"/>
        </w:rPr>
        <w:t>Représentation de l'appui simple et des mouvements de corps rigide de membrane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Dalle entière, sans symétrie. Appui bilatéral sur les quatre bords : DZ = 0 sur `APPUIS`, rotations libres (hypothèse de Navier, coins retenus). Plan de la dalle : blocage isostatique, DX = DY = 0 au coin `P_A` et DY = 0 au coin `P_B`, adjacent selon X, sans aucune redondance avec d'autres conditions (DIAG-001). La réaction concentrée aux coins, dirigée vers le bas, est attendue et se commente comme résultat physique. La symétrie des résultats selon les deux axes est un contrôle de niveau D.</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P4 de MM.</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Appui bilatéral : un appui réel qui laisse les coins se soulever (contact unilatéral) n'est pas représenté.</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Appui unilatéral (contact). — motif : Calcul de contact non linéaire, hors périmètre (P4).</w:t>
      </w:r>
    </w:p>
    <w:p>
      <w:pPr>
        <w:ind w:left="340"/>
      </w:pPr>
      <w:r>
        <w:rPr>
          <w:rFonts w:ascii="Arial" w:hAnsi="Arial" w:cs="Arial" w:eastAsia="Arial"/>
          <w:b w:val="0"/>
          <w:i w:val="0"/>
          <w:color w:val="000000"/>
          <w:sz w:val="20"/>
        </w:rPr>
        <w:t>– Quart de dalle avec deux plans de symétrie. — motif : Le modèle est petit ; la symétrie devient un contrôle de niveau D, et le piège des conditions de symétrie des coques disparaît (P4).</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arbitrage_dalle_appuyee_01_v1, A, P4 (2026-10-02)</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2026-10-02</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theorie ("plaque mince simplement appuyée charge uniforme solution analytique (famille V)") : SSLS127 : DZ = 0 sur le contour, quart de dalle ; ne dit rien des coins ni de la membrane. Cherché sous methode ("précédents : appui (search_connaissances, couches precedents et patrons)") : PRE-014 (appui vertical d'un écran, DZ au pied des tubes) : hors sujet, non proposé. Déduction : La solution de Navier suppose w = 0 et Mn = 0 sur tout le bord, donc des réactions de coin dirigées vers le bas (les coins sont tenus). Un modèle « DZ = 0 bilatéral » la reproduit ; un appui réel qui laisse les coins se soulever n'est pas cette plaque.</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CA-050, CA-030, CA-023</w:t>
      </w:r>
    </w:p>
    <w:p>
      <w:pPr>
        <w:pStyle w:val="Heading2"/>
      </w:pPr>
      <w:r>
        <w:rPr>
          <w:rFonts w:ascii="Arial" w:hAnsi="Arial" w:cs="Arial" w:eastAsia="Arial"/>
          <w:b/>
          <w:i w:val="0"/>
          <w:color w:val="000000"/>
          <w:sz w:val="20"/>
        </w:rPr>
        <w:t>4.6 Point 9</w:t>
      </w:r>
    </w:p>
    <w:p>
      <w:r>
        <w:rPr>
          <w:rFonts w:ascii="Arial" w:hAnsi="Arial" w:cs="Arial" w:eastAsia="Arial"/>
          <w:b/>
          <w:i w:val="0"/>
          <w:color w:val="000000"/>
          <w:sz w:val="20"/>
        </w:rPr>
        <w:t>Repère global, origine et unités du modèle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Origine au coin A (0, 0, 0). X selon le côté de 6,00 m, Y selon le côté de 4,00 m, Z vers le haut. Plan de la dalle à z = 0 (feuillet moyen). Unités m, N, Pa, kg.</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Section B de l'arbitrage (choix de modélisation vérifié par le niveau E et les contrôles D). Repère de la série de Navier (origine au coin).</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Convention de repère : sans limite physique.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Origine au centre de la dalle. — motif : Non retenue par la section B (origine au coin A).</w:t>
      </w:r>
    </w:p>
    <w:p>
      <w:pPr>
        <w:ind w:left="340"/>
      </w:pPr>
      <w:r>
        <w:rPr>
          <w:rFonts w:ascii="Arial" w:hAnsi="Arial" w:cs="Arial" w:eastAsia="Arial"/>
          <w:b w:val="0"/>
          <w:i w:val="0"/>
          <w:color w:val="000000"/>
          <w:sz w:val="20"/>
        </w:rPr>
        <w:t>– Précédent PRE-012 (repère du quai). — motif : Repère propre au quai (axe de tube, cote CM) ; seule la déclaration du repère et des unités dans la fiche est reprise.</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arbitrage_dalle_appuyee_01_v1, B, repère (2026-10-02)</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Claude (superviseur), section B de arbitrage_dalle_appuyee_01_v1 — document validé par MM, le 2026-10-02</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methode ("précédents : repère global (search_connaissances, couche precedents)") : PRE-012 (quai, point 9) : repère déclaré dans la fiche, unités m, N, Pa, kg. Précédent proposé, non appliqué : PRE-012, origine precedent_projet. Domaine de validité du précédent : Le plan des serrures dans l'axe des tubes est une idéalisation : la position réelle des serrures dépend du type de connecteur. Les unités SI imposent des charges en N et des raideurs en N/m ou N·m, et non les MN utilisés dans les décisions ; la conversion est à la charge du générateur et doit être contrôlée. — à confronter au présent ouvrage et à arbitrer par MM (record_practice_decision).</w:t>
      </w:r>
    </w:p>
    <w:p>
      <w:pPr>
        <w:pStyle w:val="Heading2"/>
      </w:pPr>
      <w:r>
        <w:rPr>
          <w:rFonts w:ascii="Arial" w:hAnsi="Arial" w:cs="Arial" w:eastAsia="Arial"/>
          <w:b/>
          <w:i w:val="0"/>
          <w:color w:val="000000"/>
          <w:sz w:val="20"/>
        </w:rPr>
        <w:t>4.7 Point 10</w:t>
      </w:r>
    </w:p>
    <w:p>
      <w:r>
        <w:rPr>
          <w:rFonts w:ascii="Arial" w:hAnsi="Arial" w:cs="Arial" w:eastAsia="Arial"/>
          <w:b/>
          <w:i w:val="0"/>
          <w:color w:val="000000"/>
          <w:sz w:val="20"/>
        </w:rPr>
        <w:t>Discrétisation : type de mailles, taille, étude de convergence, nœud au centre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Mailles QUAD4 régulières sous la modélisation DKT. Suite de convergence de rapport 2 : tailles 0,50 / 0,25 / 0,125 m, soit 12×8, 24×16 et 48×32 mailles, avec un nœud au centre (3,0 ; 2,0) dans les trois maillages. Moments au centre lus en EFGE_NOEU au nœud `CENTRE` pour la comparaison à Navier ; EFGE_ELNO sert seulement à contrôler l'écart de lissage au centre.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Section B de l'arbitrage. Le précédent PRE-013 (quai) n'avait fait l'objet d'aucune étude de convergence : la suite de rapport 2 en tient lieu ici.</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Convergence établie aux seuls points de comparaison (centre) ; les coins, où Mxy est maximal, ne sont pas couverts par la référence de Navier au même titre.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TRIA3. — motif : Non retenus par la section B (QUAD4 réguliers).</w:t>
      </w:r>
    </w:p>
    <w:p>
      <w:pPr>
        <w:ind w:left="340"/>
      </w:pPr>
      <w:r>
        <w:rPr>
          <w:rFonts w:ascii="Arial" w:hAnsi="Arial" w:cs="Arial" w:eastAsia="Arial"/>
          <w:b w:val="0"/>
          <w:i w:val="0"/>
          <w:color w:val="000000"/>
          <w:sz w:val="20"/>
        </w:rPr>
        <w:t>– Moments lus en EFGE_ELNO d'une maille pour la comparaison. — motif : EFGE_ELNO ne sert qu'à contrôler l'écart de lissage (section B).</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arbitrage_dalle_appuyee_01_v1, B, mailles, suite de convergence, lecture des moments (2026-10-02)</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Claude (superviseur), section B de arbitrage_dalle_appuyee_01_v1 — document validé par MM, le 2026-10-02</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methode ("convergence maillage (search_connaissances, toutes couches)") : aucun résultat : la base ne contient aucune étude de convergence. Précédent proposé, non appliqué : PRE-013, origine precedent_projet. Domaine de validité du précédent : - L'épaisseur uniforme de 14 mm sous-estime la raideur côté terre, où il n'y a pas de corrosion.</w:t>
      </w:r>
    </w:p>
    <w:p>
      <w:r>
        <w:rPr>
          <w:rFonts w:ascii="Arial" w:hAnsi="Arial" w:cs="Arial" w:eastAsia="Arial"/>
          <w:b w:val="0"/>
          <w:i w:val="0"/>
          <w:color w:val="000000"/>
          <w:sz w:val="20"/>
        </w:rPr>
        <w:t>- Le bord libre des palplanches en tête ignore leur encastrement réel dans la poutre.</w:t>
      </w:r>
    </w:p>
    <w:p>
      <w:r>
        <w:rPr>
          <w:rFonts w:ascii="Arial" w:hAnsi="Arial" w:cs="Arial" w:eastAsia="Arial"/>
          <w:b w:val="0"/>
          <w:i w:val="0"/>
          <w:color w:val="000000"/>
          <w:sz w:val="20"/>
        </w:rPr>
        <w:t>- L'accrochage du tirant en un seul nœud crée une singularité locale de contrainte : les contraintes du tube autour de ce nœud ne sont pas exploitables.</w:t>
      </w:r>
    </w:p>
    <w:p>
      <w:r>
        <w:rPr>
          <w:rFonts w:ascii="Arial" w:hAnsi="Arial" w:cs="Arial" w:eastAsia="Arial"/>
          <w:b w:val="0"/>
          <w:i w:val="0"/>
          <w:color w:val="000000"/>
          <w:sz w:val="20"/>
        </w:rPr>
        <w:t>- La taille de maille (0,25 m, 40 facettes) n'a fait l'objet d'aucune étude de convergence. — à confronter au présent ouvrage et à arbitrer par MM (record_practice_decision).</w:t>
      </w:r>
    </w:p>
    <w:p>
      <w:pPr>
        <w:pStyle w:val="Heading2"/>
      </w:pPr>
      <w:r>
        <w:rPr>
          <w:rFonts w:ascii="Arial" w:hAnsi="Arial" w:cs="Arial" w:eastAsia="Arial"/>
          <w:b/>
          <w:i w:val="0"/>
          <w:color w:val="000000"/>
          <w:sz w:val="20"/>
        </w:rPr>
        <w:t>4.8 Point 13</w:t>
      </w:r>
    </w:p>
    <w:p>
      <w:r>
        <w:rPr>
          <w:rFonts w:ascii="Arial" w:hAnsi="Arial" w:cs="Arial" w:eastAsia="Arial"/>
          <w:b/>
          <w:i w:val="0"/>
          <w:color w:val="000000"/>
          <w:sz w:val="20"/>
        </w:rPr>
        <w:t>Combinaisons d'actions ELU et ELS (poids propre G, exploitation Q)</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Catégorie d'usage E (aires de stockage) : ψ0 = 1,0, ψ1 = 0,9, ψ2 = 0,8. ELU fondamental : 1,35 G + 1,5 Q, G toujours défavorable (aucun cas favorable). ELS caractéristique : G + Q. ELS quasi permanent : G + 0,8 Q. PRE-016 (quai) n'est retenu que pour γG = 1,35 et γQ = 1,5.</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P5 de MM : 10 kPa dépasse les valeurs usuelles des catégories A à D ; la catégorie E est la seule cohérente avec cette intensité. G est toujours défavorable sur une travée isostatique.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Dalle isostatique sous deux actions (G, Q) ; le reste de PRE-016 (actions du quai) ne s'applique pas.</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γG favorable (1,0 G + 1,5 Q). — motif : G est toujours défavorable sur une travée isostatique (P5).</w:t>
      </w:r>
    </w:p>
    <w:p>
      <w:pPr>
        <w:ind w:left="340"/>
      </w:pPr>
      <w:r>
        <w:rPr>
          <w:rFonts w:ascii="Arial" w:hAnsi="Arial" w:cs="Arial" w:eastAsia="Arial"/>
          <w:b w:val="0"/>
          <w:i w:val="0"/>
          <w:color w:val="000000"/>
          <w:sz w:val="20"/>
        </w:rPr>
        <w:t>– Catégories d'usage A à D. — motif : 10 kPa dépasse leurs valeurs usuelles (P5).</w:t>
      </w:r>
    </w:p>
    <w:p>
      <w:pPr>
        <w:ind w:left="340"/>
      </w:pPr>
      <w:r>
        <w:rPr>
          <w:rFonts w:ascii="Arial" w:hAnsi="Arial" w:cs="Arial" w:eastAsia="Arial"/>
          <w:b w:val="0"/>
          <w:i w:val="0"/>
          <w:color w:val="000000"/>
          <w:sz w:val="20"/>
        </w:rPr>
        <w:t>– Reste du précédent PRE-016 (actions G, EAU, Q1, Q3, A du quai). — motif : Actions propres au quai (P5).</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arbitrage_dalle_appuyee_01_v1, A, P5 (2026-10-02)</w:t>
      </w:r>
    </w:p>
    <w:p>
      <w:pPr>
        <w:ind w:left="340"/>
      </w:pPr>
      <w:r>
        <w:rPr>
          <w:rFonts w:ascii="Arial" w:hAnsi="Arial" w:cs="Arial" w:eastAsia="Arial"/>
          <w:b w:val="0"/>
          <w:i w:val="0"/>
          <w:color w:val="000000"/>
          <w:sz w:val="20"/>
        </w:rPr>
        <w:t>– précédent de projet — PRE-016 — quai_cw_test_01, point 13 (projets/quai_cw_test_01/fiche/hypotheses_combiwall_reference_arbitree.json), décidé par MM le 2026-09-25</w:t>
      </w:r>
    </w:p>
    <w:p>
      <w:pPr>
        <w:ind w:left="340"/>
      </w:pPr>
      <w:r>
        <w:rPr>
          <w:rFonts w:ascii="Arial" w:hAnsi="Arial" w:cs="Arial" w:eastAsia="Arial"/>
          <w:b w:val="0"/>
          <w:i w:val="0"/>
          <w:color w:val="000000"/>
          <w:sz w:val="20"/>
        </w:rPr>
        <w:t>– norme — EN 1991-1-1, tableau 6.1 — référence normative fournie par MM, non indexée</w:t>
      </w:r>
    </w:p>
    <w:p>
      <w:pPr>
        <w:ind w:left="340"/>
      </w:pPr>
      <w:r>
        <w:rPr>
          <w:rFonts w:ascii="Arial" w:hAnsi="Arial" w:cs="Arial" w:eastAsia="Arial"/>
          <w:b w:val="0"/>
          <w:i w:val="0"/>
          <w:color w:val="000000"/>
          <w:sz w:val="20"/>
        </w:rPr>
        <w:t>– norme — EN 1990, tableau A1.1 — référence normative fournie par MM, non indexée</w:t>
      </w:r>
    </w:p>
    <w:p>
      <w:pPr>
        <w:ind w:left="340"/>
      </w:pPr>
      <w:r>
        <w:rPr>
          <w:rFonts w:ascii="Arial" w:hAnsi="Arial" w:cs="Arial" w:eastAsia="Arial"/>
          <w:b w:val="0"/>
          <w:i w:val="0"/>
          <w:color w:val="000000"/>
          <w:sz w:val="20"/>
        </w:rPr>
        <w:t>– norme — EN 1990, 6.10 — référence normative fournie par MM, non indexée</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2026-10-02</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methode ("précédents : combinaisons (search_connaissances, couche precedents)") : PRE-016 (quai, point 13) : combinaisons de l'EN 1990, γG 1,35/1,00, γQ 1,50. Précédent proposé, non appliqué : PRE-016, origine precedent_projet. Domaine de validité du précédent : - Les coefficients ψ de Q1 et Q3 sont des valeurs usuelles non justifiées par un référentiel portuaire propre au projet.</w:t>
      </w:r>
    </w:p>
    <w:p>
      <w:r>
        <w:rPr>
          <w:rFonts w:ascii="Arial" w:hAnsi="Arial" w:cs="Arial" w:eastAsia="Arial"/>
          <w:b w:val="0"/>
          <w:i w:val="0"/>
          <w:color w:val="000000"/>
          <w:sz w:val="20"/>
        </w:rPr>
        <w:t>- Conformément à la décision 7 (D15), le modèle n'est représentatif que pour les effets des charges localisées. Les efforts des tubes et des palplanches sous G, EAU et Q1 relèvent du calcul géotechnique amont : leurs combinaisons issues de ce modèle ne sont pas des efforts de dimensionnement des tubes. Pour la poutre de couronnement, les charges de terre et d'eau uniformes ne produisent pas de flexion dans son plan (lot 37), et ses efforts sont dominés par Q3 et A. — à confronter au présent ouvrage et à arbitrer par MM (record_practice_decision).</w:t>
      </w:r>
    </w:p>
    <w:p>
      <w:pPr>
        <w:pStyle w:val="Heading2"/>
      </w:pPr>
      <w:r>
        <w:rPr>
          <w:rFonts w:ascii="Arial" w:hAnsi="Arial" w:cs="Arial" w:eastAsia="Arial"/>
          <w:b/>
          <w:i w:val="0"/>
          <w:color w:val="000000"/>
          <w:sz w:val="20"/>
        </w:rPr>
        <w:t>4.9 Point 14</w:t>
      </w:r>
    </w:p>
    <w:p>
      <w:r>
        <w:rPr>
          <w:rFonts w:ascii="Arial" w:hAnsi="Arial" w:cs="Arial" w:eastAsia="Arial"/>
          <w:b/>
          <w:i w:val="0"/>
          <w:color w:val="000000"/>
          <w:sz w:val="20"/>
        </w:rPr>
        <w:t>Ferraillage : acier, distance parement–axe, ELS en XC1 (contraintes, fissuration), ferraillage minimal</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Acier B500B, fyk = 500 MPa. γc = 1,5 et γs = 1,15 en situation durable ; ALPHA_CC = 1,0 écrit explicitement dans le .comm (la valeur par défaut 0,85 n'est pas retenue). Barres HA12 dans les deux directions, nappes inférieure et supérieure. Distance du parement à l'axe, enrobage nominal 30 mm : lit extérieur (barres portant dans la petite portée, Y) 30 + 6 = 36 mm ; lit intérieur (barres portant dans la grande portée, X) 30 + 12 + 6 = 48 mm. CALC_FERRAILLAGE n'admet qu'une distance par face en 2D (catalogue 17.4 : C_INF et C_SUP, un réel chacun) : 48 mm est retenu pour les deux directions et déclaré ; la contre-vérification manuelle utilise la même valeur. ELS en XC1 : wk limite = 0,4 mm sous combinaison quasi permanente ; σs ≤ 0,8 fyk sous combinaison caractéristique ; pas de limite sur σc en XC1. Ferraillage minimal : non-fragilité As,min = max(0,26·fctm/fyk ; 0,0013)·b·d ; maîtrise de la fissuration en flexion simple, kc = 0,4, k = 1,0, fct,eff = fctm, Act = b·h/2 ; armatures de répartition ≥ 20 % des armatures principales. Méthode 2D native de CALC_FERRAILLAGE pour les plaques ; contre-vérification indépendante au centre de la dalle (Mxy nul par symétrie) ; coins relevés et commentés, armatures de coin signalées, non calculées.</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Décision P6 de MM. Distance à l'axe selon PRE-018 (enrobage mesuré au nu de l'armature). Maîtrise de la fissuration : application de D21 (PRE-020, décision de MM sur la poutre de couronnement du quai, EN 1992-1-1, 7.3.2) à une pièce fléchie : Act est la zone tendue complète de la section avant fissuration, soit b·h/2 en flexion ; kc = 0,4 dépend de la sollicitation ; k = 1,0 dépend de h (h ≤ 300 mm). Correction du lot 45 : l'arbitrage v1 et la fiche du lot 43 présentaient kc = 0,4 et Act = b·h/2 comme une exception à D21 (« PRE-021 », identifiant qui n'a jamais existé : D21 est PRE-020) ; c'est l'application de D21.</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Une seule distance (48 mm) pour les deux directions : défavorable pour le lit extérieur (Y, 36 mm réels). wk = 0,4 mm est la valeur recommandée du tableau 7.1N ; MM vérifie le tableau 7.1NF de l'annexe nationale. Armatures de coin (9.3.1.3) non calculées.</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ALPHA_CC = 0,85 (défaut de CALC_FERRAILLAGE). — motif : Annexe nationale française : αcc = 1,0, comme au quai (P6).</w:t>
      </w:r>
    </w:p>
    <w:p>
      <w:pPr>
        <w:ind w:left="340"/>
      </w:pPr>
      <w:r>
        <w:rPr>
          <w:rFonts w:ascii="Arial" w:hAnsi="Arial" w:cs="Arial" w:eastAsia="Arial"/>
          <w:b w:val="0"/>
          <w:i w:val="0"/>
          <w:color w:val="000000"/>
          <w:sz w:val="20"/>
        </w:rPr>
        <w:t>– Deux distances par face (36 mm en Y, 48 mm en X). — motif : Une seule distance par face en 2D dans CALC_FERRAILLAGE ; 48 mm, sécuritaire, est retenu (P6).</w:t>
      </w:r>
    </w:p>
    <w:p>
      <w:pPr>
        <w:ind w:left="340"/>
      </w:pPr>
      <w:r>
        <w:rPr>
          <w:rFonts w:ascii="Arial" w:hAnsi="Arial" w:cs="Arial" w:eastAsia="Arial"/>
          <w:b w:val="0"/>
          <w:i w:val="0"/>
          <w:color w:val="000000"/>
          <w:sz w:val="20"/>
        </w:rPr>
        <w:t>– Précédent PRE-017 (XS3, wk = 0,2 mm, enrobage 65 mm du quai). — motif : Exposition XC1 et enrobage de 30 mm donnés par MM.</w:t>
      </w:r>
    </w:p>
    <w:p>
      <w:pPr>
        <w:ind w:left="340"/>
      </w:pPr>
      <w:r>
        <w:rPr>
          <w:rFonts w:ascii="Arial" w:hAnsi="Arial" w:cs="Arial" w:eastAsia="Arial"/>
          <w:b w:val="0"/>
          <w:i w:val="0"/>
          <w:color w:val="000000"/>
          <w:sz w:val="20"/>
        </w:rPr>
        <w:t>– Calcul des armatures de coin (9.3.1.3). — motif : Signalées, non calculées (P6).</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arbitrage_dalle_appuyee_01_v1, A, P6 (2026-10-02)</w:t>
      </w:r>
    </w:p>
    <w:p>
      <w:pPr>
        <w:ind w:left="340"/>
      </w:pPr>
      <w:r>
        <w:rPr>
          <w:rFonts w:ascii="Arial" w:hAnsi="Arial" w:cs="Arial" w:eastAsia="Arial"/>
          <w:b w:val="0"/>
          <w:i w:val="0"/>
          <w:color w:val="000000"/>
          <w:sz w:val="20"/>
        </w:rPr>
        <w:t>– précédent de projet — PRE-018 — quai_cw_test_01, point 14 (projets/quai_cw_test_01/fiche/hypotheses_combiwall_reference_arbitree.json), décidé par MM le 2026-09-28</w:t>
      </w:r>
    </w:p>
    <w:p>
      <w:pPr>
        <w:ind w:left="340"/>
      </w:pPr>
      <w:r>
        <w:rPr>
          <w:rFonts w:ascii="Arial" w:hAnsi="Arial" w:cs="Arial" w:eastAsia="Arial"/>
          <w:b w:val="0"/>
          <w:i w:val="0"/>
          <w:color w:val="000000"/>
          <w:sz w:val="20"/>
        </w:rPr>
        <w:t>– norme — EN 1992-1-1, tableau 2.1N — référence normative fournie par MM, non indexée</w:t>
      </w:r>
    </w:p>
    <w:p>
      <w:pPr>
        <w:ind w:left="340"/>
      </w:pPr>
      <w:r>
        <w:rPr>
          <w:rFonts w:ascii="Arial" w:hAnsi="Arial" w:cs="Arial" w:eastAsia="Arial"/>
          <w:b w:val="0"/>
          <w:i w:val="0"/>
          <w:color w:val="000000"/>
          <w:sz w:val="20"/>
        </w:rPr>
        <w:t>– norme — EN 1992-1-1, 3.1.6(1)P (annexe nationale française) — référence normative fournie par MM, non indexée</w:t>
      </w:r>
    </w:p>
    <w:p>
      <w:pPr>
        <w:ind w:left="340"/>
      </w:pPr>
      <w:r>
        <w:rPr>
          <w:rFonts w:ascii="Arial" w:hAnsi="Arial" w:cs="Arial" w:eastAsia="Arial"/>
          <w:b w:val="0"/>
          <w:i w:val="0"/>
          <w:color w:val="000000"/>
          <w:sz w:val="20"/>
        </w:rPr>
        <w:t>– norme — EN 1992-1-1, tableau 7.1N — référence normative fournie par MM, non indexée</w:t>
      </w:r>
    </w:p>
    <w:p>
      <w:pPr>
        <w:ind w:left="340"/>
      </w:pPr>
      <w:r>
        <w:rPr>
          <w:rFonts w:ascii="Arial" w:hAnsi="Arial" w:cs="Arial" w:eastAsia="Arial"/>
          <w:b w:val="0"/>
          <w:i w:val="0"/>
          <w:color w:val="000000"/>
          <w:sz w:val="20"/>
        </w:rPr>
        <w:t>– norme — EN 1992-1-1, 7.2(5) — référence normative fournie par MM, non indexée</w:t>
      </w:r>
    </w:p>
    <w:p>
      <w:pPr>
        <w:ind w:left="340"/>
      </w:pPr>
      <w:r>
        <w:rPr>
          <w:rFonts w:ascii="Arial" w:hAnsi="Arial" w:cs="Arial" w:eastAsia="Arial"/>
          <w:b w:val="0"/>
          <w:i w:val="0"/>
          <w:color w:val="000000"/>
          <w:sz w:val="20"/>
        </w:rPr>
        <w:t>– norme — EN 1992-1-1, 9.3.1.1 et 9.2.1.1 — référence normative fournie par MM, non indexée</w:t>
      </w:r>
    </w:p>
    <w:p>
      <w:pPr>
        <w:ind w:left="340"/>
      </w:pPr>
      <w:r>
        <w:rPr>
          <w:rFonts w:ascii="Arial" w:hAnsi="Arial" w:cs="Arial" w:eastAsia="Arial"/>
          <w:b w:val="0"/>
          <w:i w:val="0"/>
          <w:color w:val="000000"/>
          <w:sz w:val="20"/>
        </w:rPr>
        <w:t>– norme — EN 1992-1-1, 7.3.2 — référence normative fournie par MM, non indexée</w:t>
      </w:r>
    </w:p>
    <w:p>
      <w:pPr>
        <w:ind w:left="340"/>
      </w:pPr>
      <w:r>
        <w:rPr>
          <w:rFonts w:ascii="Arial" w:hAnsi="Arial" w:cs="Arial" w:eastAsia="Arial"/>
          <w:b w:val="0"/>
          <w:i w:val="0"/>
          <w:color w:val="000000"/>
          <w:sz w:val="20"/>
        </w:rPr>
        <w:t>– arbitrage de MM — consigne du lot 45 (docs/lots/lot45_consigne.md), conséquence pour la dalle : kc = 0,4 et Act = b·h/2 appliquent D21 (PRE-020) (2026-10-02)</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2026-10-02</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methode ("précédents : enrobage, fissuration, axe des armatures (search_connaissances)") : PRE-017 (durabilité du quai, XS3, wk 0,2 mm) et PRE-018 (axe des armatures à 0,10 m) trouvés. Cherché sous syntaxe ("CALC_FERRAILLAGE (get_command_schema)") : TYPE_COMB ELU/ELS/ELS_QP, WMAX_INF/WMAX_SUP en 2D, METHODE_2D CAPRA-MAURY/SANDWICH. Déduction : L'enrobage de 30 mm n'est pas la distance à l'axe (PRE-018) ; il faut un diamètre de barre pour passer de l'un à l'autre. ALPHA_CC = 0,85 par défaut dans CALC_FERRAILLAGE alors que le quai a retenu 1,0 (projet.yaml du quai) : valeur à fixer explicitement. Précédent proposé, non appliqué : PRE-017, origine precedent_projet. Domaine de validité du précédent : Ces valeurs s'appliquent à la seule poutre de couronnement, seul élément en béton armé du modèle. Les tubes et les palplanches en acier relèvent de l'EN 1993-5, hors de cette décision. — à confronter au présent ouvrage et à arbitrer par MM (record_practice_decision). Précédent proposé, non appliqué : PRE-018, origine precedent_projet. Domaine de validité du précédent : La valeur est forfaitaire ; elle sera à ajuster au ferraillage réellement retenu. — à confronter au présent ouvrage et à arbitrer par MM (record_practice_decision).</w:t>
      </w:r>
    </w:p>
    <w:p>
      <w:r>
        <w:rPr>
          <w:rFonts w:ascii="Arial" w:hAnsi="Arial" w:cs="Arial" w:eastAsia="Arial"/>
          <w:b/>
          <w:i w:val="0"/>
          <w:color w:val="000000"/>
          <w:sz w:val="20"/>
        </w:rPr>
        <w:t>Paramètres ELS obligatoires de CALC_FERRAILLAGE en 2D (ALPHA_E, SIGC_*_ELS, SIGC_ELS_QP, KT, EYS)</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ALPHA_E = 15. SIGC_INF_ELS = SIGC_SUP_ELS = 0,6 fck = 18 MPa, avec un second calcul à valeur non contraignante pour montrer que la limite n'est pas active (rapportée si elle l'est). SIGC_ELS_QP = 0,45 fck = 13,5 MPa. KT = 0,4 (chargement de longue durée). EYS = 200 000 MPa (Es = 200 GPa, EN 1992-1-1, 3.2.7(4) ; décision de MM au lot 44, au lieu des 210 GPa du lot 43).</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Réponses de MM aux questions de la session (complément d'arbitrage, donnees/sources/arbitrage_dalle_appuyee_01_complement_els.md) : ces paramètres sont obligatoires en 2D selon U4.81.42 et l'arbitrage v1 dit « pas de limite sur σc en XC1 ». Lot 44, décision de MM : « La valeur de 210 GPa est celle des aciers de construction (EN 1993). La réglementation du béton armé retient 200 GPa pour les armatures. »</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La limite σc = 18 MPa est un artifice de saisie exigé par la commande, sans exigence de l'EC2 en XC1 : son inactivité est vérifiée par la sensibilité. αe = 15 est maintenu : c'est un coefficient d'équivalence de long terme, choisi délibérément, indépendant de Es (lot 44).</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ALPHA_E = Es/Ecm (≈ 6,1). — motif : MM retient 15.</w:t>
      </w:r>
    </w:p>
    <w:p>
      <w:pPr>
        <w:ind w:left="340"/>
      </w:pPr>
      <w:r>
        <w:rPr>
          <w:rFonts w:ascii="Arial" w:hAnsi="Arial" w:cs="Arial" w:eastAsia="Arial"/>
          <w:b w:val="0"/>
          <w:i w:val="0"/>
          <w:color w:val="000000"/>
          <w:sz w:val="20"/>
        </w:rPr>
        <w:t>– SIGC_*_ELS non contraignant sans sensibilité. — motif : MM retient 0,6 fck et demande la sensibilité.</w:t>
      </w:r>
    </w:p>
    <w:p>
      <w:pPr>
        <w:ind w:left="340"/>
      </w:pPr>
      <w:r>
        <w:rPr>
          <w:rFonts w:ascii="Arial" w:hAnsi="Arial" w:cs="Arial" w:eastAsia="Arial"/>
          <w:b w:val="0"/>
          <w:i w:val="0"/>
          <w:color w:val="000000"/>
          <w:sz w:val="20"/>
        </w:rPr>
        <w:t>– KT = 0,6 (courte durée). — motif : Longue durée.</w:t>
      </w:r>
    </w:p>
    <w:p>
      <w:pPr>
        <w:ind w:left="340"/>
      </w:pPr>
      <w:r>
        <w:rPr>
          <w:rFonts w:ascii="Arial" w:hAnsi="Arial" w:cs="Arial" w:eastAsia="Arial"/>
          <w:b w:val="0"/>
          <w:i w:val="0"/>
          <w:color w:val="000000"/>
          <w:sz w:val="20"/>
        </w:rPr>
        <w:t>– EYS = 210 000 MPa (décision du lot 43). — motif : valeur des aciers de construction (EN 1993) ; le béton armé retient 200 GPa pour les armatures (lot 44).</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arbitrage de MM — arbitrage_dalle_appuyee_01_complement_els (réponses de MM en séance, lot 43, phase 2) (2026-10-02)</w:t>
      </w:r>
    </w:p>
    <w:p>
      <w:pPr>
        <w:ind w:left="340"/>
      </w:pPr>
      <w:r>
        <w:rPr>
          <w:rFonts w:ascii="Arial" w:hAnsi="Arial" w:cs="Arial" w:eastAsia="Arial"/>
          <w:b w:val="0"/>
          <w:i w:val="0"/>
          <w:color w:val="000000"/>
          <w:sz w:val="20"/>
        </w:rPr>
        <w:t>– arbitrage de MM — consigne du lot 44 (docs/lots/lot44_consigne.md), module de l'acier Es = 200 GPa ; référence normative fournie par MM, non indexée (2026-10-02)</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2026-10-02</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syntaxe ("SIGC_INF_ELS SIGC_SUP_ELS SIGS_ELS ALPHA_E contrainte admissible béton ELS obligatoire (U4.81.42)") : U4.81.42 : SIGC_INF_ELS et SIGC_SUP_ELS obligatoires en 2D à l'ELS, ALPHA_E obligatoire à l'ELS et à l'ELS_QP, SIGC_ELS_QP et KT obligatoires à l'ELS_QP, EYS « couramment 210000 MPa » ; aucune de ces valeurs n'est fixée par arbitrage_dalle_appuyee_01_v1.</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CA-051, CA-039, CA-041, CA-045</w:t>
      </w:r>
    </w:p>
    <w:p>
      <w:pPr>
        <w:pStyle w:val="Heading1"/>
      </w:pPr>
      <w:r>
        <w:rPr>
          <w:rFonts w:ascii="Arial" w:hAnsi="Arial" w:cs="Arial" w:eastAsia="Arial"/>
          <w:b/>
          <w:i w:val="0"/>
          <w:color w:val="000000"/>
          <w:sz w:val="20"/>
        </w:rPr>
        <w:t>5. Constats Code_Aster cités</w:t>
      </w:r>
    </w:p>
    <w:p>
      <w:r>
        <w:rPr>
          <w:rFonts w:ascii="Arial" w:hAnsi="Arial" w:cs="Arial" w:eastAsia="Arial"/>
          <w:b/>
          <w:i w:val="0"/>
          <w:color w:val="000000"/>
          <w:sz w:val="20"/>
        </w:rPr>
        <w:t>Constats cités (15)</w:t>
      </w:r>
    </w:p>
    <w:tbl>
      <w:tblPr>
        <w:tblStyle w:val="TableGrid"/>
        <w:tblW w:type="auto" w:w="0"/>
        <w:jc w:val="center"/>
        <w:tblLayout w:type="fixed"/>
        <w:tblLook w:firstColumn="1" w:firstRow="1" w:lastColumn="0" w:lastRow="0" w:noHBand="0" w:noVBand="1" w:val="04A0"/>
      </w:tblPr>
      <w:tblGrid>
        <w:gridCol w:w="964"/>
        <w:gridCol w:w="723"/>
        <w:gridCol w:w="5060"/>
        <w:gridCol w:w="964"/>
        <w:gridCol w:w="843"/>
        <w:gridCol w:w="1084"/>
      </w:tblGrid>
      <w:tr>
        <w:trPr>
          <w:tblHeader w:val="true"/>
        </w:trPr>
        <w:tc>
          <w:tcPr>
            <w:tcW w:type="dxa" w:w="964"/>
            <w:shd w:val="clear" w:color="auto" w:fill="D9D9D9"/>
          </w:tcPr>
          <w:p>
            <w:pPr>
              <w:spacing w:after="20"/>
            </w:pPr>
            <w:r>
              <w:rPr>
                <w:rFonts w:ascii="Arial" w:hAnsi="Arial" w:cs="Arial" w:eastAsia="Arial"/>
                <w:b/>
                <w:i w:val="0"/>
                <w:color w:val="000000"/>
                <w:sz w:val="20"/>
              </w:rPr>
              <w:t>Constat</w:t>
            </w:r>
          </w:p>
        </w:tc>
        <w:tc>
          <w:tcPr>
            <w:tcW w:type="dxa" w:w="723"/>
            <w:shd w:val="clear" w:color="auto" w:fill="D9D9D9"/>
          </w:tcPr>
          <w:p>
            <w:pPr>
              <w:spacing w:after="20"/>
            </w:pPr>
            <w:r>
              <w:rPr>
                <w:rFonts w:ascii="Arial" w:hAnsi="Arial" w:cs="Arial" w:eastAsia="Arial"/>
                <w:b/>
                <w:i w:val="0"/>
                <w:color w:val="000000"/>
                <w:sz w:val="20"/>
              </w:rPr>
              <w:t>Point</w:t>
            </w:r>
          </w:p>
        </w:tc>
        <w:tc>
          <w:tcPr>
            <w:tcW w:type="dxa" w:w="5060"/>
            <w:shd w:val="clear" w:color="auto" w:fill="D9D9D9"/>
          </w:tcPr>
          <w:p>
            <w:pPr>
              <w:spacing w:after="20"/>
            </w:pPr>
            <w:r>
              <w:rPr>
                <w:rFonts w:ascii="Arial" w:hAnsi="Arial" w:cs="Arial" w:eastAsia="Arial"/>
                <w:b/>
                <w:i w:val="0"/>
                <w:color w:val="000000"/>
                <w:sz w:val="20"/>
              </w:rPr>
              <w:t>Énoncé</w:t>
            </w:r>
          </w:p>
        </w:tc>
        <w:tc>
          <w:tcPr>
            <w:tcW w:type="dxa" w:w="964"/>
            <w:shd w:val="clear" w:color="auto" w:fill="D9D9D9"/>
          </w:tcPr>
          <w:p>
            <w:pPr>
              <w:spacing w:after="20"/>
            </w:pPr>
            <w:r>
              <w:rPr>
                <w:rFonts w:ascii="Arial" w:hAnsi="Arial" w:cs="Arial" w:eastAsia="Arial"/>
                <w:b/>
                <w:i w:val="0"/>
                <w:color w:val="000000"/>
                <w:sz w:val="20"/>
              </w:rPr>
              <w:t>Version</w:t>
            </w:r>
          </w:p>
        </w:tc>
        <w:tc>
          <w:tcPr>
            <w:tcW w:type="dxa" w:w="843"/>
            <w:shd w:val="clear" w:color="auto" w:fill="D9D9D9"/>
          </w:tcPr>
          <w:p>
            <w:pPr>
              <w:spacing w:after="20"/>
            </w:pPr>
            <w:r>
              <w:rPr>
                <w:rFonts w:ascii="Arial" w:hAnsi="Arial" w:cs="Arial" w:eastAsia="Arial"/>
                <w:b/>
                <w:i w:val="0"/>
                <w:color w:val="000000"/>
                <w:sz w:val="20"/>
              </w:rPr>
              <w:t>Niveau</w:t>
            </w:r>
          </w:p>
        </w:tc>
        <w:tc>
          <w:tcPr>
            <w:tcW w:type="dxa" w:w="1084"/>
            <w:shd w:val="clear" w:color="auto" w:fill="D9D9D9"/>
          </w:tcPr>
          <w:p>
            <w:pPr>
              <w:spacing w:after="20"/>
            </w:pPr>
            <w:r>
              <w:rPr>
                <w:rFonts w:ascii="Arial" w:hAnsi="Arial" w:cs="Arial" w:eastAsia="Arial"/>
                <w:b/>
                <w:i w:val="0"/>
                <w:color w:val="000000"/>
                <w:sz w:val="20"/>
              </w:rPr>
              <w:t>Statut</w:t>
            </w:r>
          </w:p>
        </w:tc>
      </w:tr>
      <w:tr>
        <w:trPr>
          <w:cantSplit/>
        </w:trPr>
        <w:tc>
          <w:tcPr>
            <w:tcW w:type="dxa" w:w="964"/>
          </w:tcPr>
          <w:p>
            <w:pPr>
              <w:spacing w:after="20"/>
            </w:pPr>
            <w:r>
              <w:rPr>
                <w:rFonts w:ascii="Arial" w:hAnsi="Arial" w:cs="Arial" w:eastAsia="Arial"/>
                <w:b w:val="0"/>
                <w:i w:val="0"/>
                <w:color w:val="000000"/>
                <w:sz w:val="20"/>
              </w:rPr>
              <w:t>CA-002</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Les modélisations de plaque DKT, DST, DKTG et Q4G supposent une épaisseur inférieure à environ un dixième de la longueur caractéristique.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A</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CA-025</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Sous ELAS_COQUE (DKT), les efforts généralisés EFGE_ELNO et EFGE_NOEU sont exacts et indépendants de EPAIS et de CISA_L/CISA_T : ce sont eux qu'il faut lire.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CA-046</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Pour une dalle plane, le catalogue 17.4 propose DKT et DKTG (Love-Kirchhoff), DST, Q4G et Q4GG (cisaillement transverse) et COQUE_3D, et U2.02.01 réserve DKT/DKQ aux plaques minces (h/L &lt; 1/20).</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CA-047</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AFFE_CARA_ELEM/COQUE porte l'épaisseur EPAIS et le repère local ANGL_REP ou VECTEUR, avec A_CIS et COEF_RIGI_DRZ par défaut et GROUP_MA obligatoire.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CA-018</w:t>
            </w:r>
          </w:p>
        </w:tc>
        <w:tc>
          <w:tcPr>
            <w:tcW w:type="dxa" w:w="723"/>
          </w:tcPr>
          <w:p>
            <w:pPr>
              <w:spacing w:after="20"/>
            </w:pPr>
            <w:r>
              <w:rPr>
                <w:rFonts w:ascii="Arial" w:hAnsi="Arial" w:cs="Arial" w:eastAsia="Arial"/>
                <w:b w:val="0"/>
                <w:i w:val="0"/>
                <w:color w:val="000000"/>
                <w:sz w:val="20"/>
              </w:rPr>
              <w:t>4</w:t>
            </w:r>
          </w:p>
        </w:tc>
        <w:tc>
          <w:tcPr>
            <w:tcW w:type="dxa" w:w="5060"/>
          </w:tcPr>
          <w:p>
            <w:pPr>
              <w:spacing w:after="20"/>
            </w:pPr>
            <w:r>
              <w:rPr>
                <w:rFonts w:ascii="Arial" w:hAnsi="Arial" w:cs="Arial" w:eastAsia="Arial"/>
                <w:b w:val="0"/>
                <w:i w:val="0"/>
                <w:color w:val="000000"/>
                <w:sz w:val="20"/>
              </w:rPr>
              <w:t>Une force surfacique de direction fixe sur des coques courbes s'applique par FORCE_COQUE avec FX, FY et FZ en repère global, et non par la composante PRES.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CA-024</w:t>
            </w:r>
          </w:p>
        </w:tc>
        <w:tc>
          <w:tcPr>
            <w:tcW w:type="dxa" w:w="723"/>
          </w:tcPr>
          <w:p>
            <w:pPr>
              <w:spacing w:after="20"/>
            </w:pPr>
            <w:r>
              <w:rPr>
                <w:rFonts w:ascii="Arial" w:hAnsi="Arial" w:cs="Arial" w:eastAsia="Arial"/>
                <w:b w:val="0"/>
                <w:i w:val="0"/>
                <w:color w:val="000000"/>
                <w:sz w:val="20"/>
              </w:rPr>
              <w:t>4</w:t>
            </w:r>
          </w:p>
        </w:tc>
        <w:tc>
          <w:tcPr>
            <w:tcW w:type="dxa" w:w="5060"/>
          </w:tcPr>
          <w:p>
            <w:pPr>
              <w:spacing w:after="20"/>
            </w:pPr>
            <w:r>
              <w:rPr>
                <w:rFonts w:ascii="Arial" w:hAnsi="Arial" w:cs="Arial" w:eastAsia="Arial"/>
                <w:b w:val="0"/>
                <w:i w:val="0"/>
                <w:color w:val="000000"/>
                <w:sz w:val="20"/>
              </w:rPr>
              <w:t>Piège : sous PESANTEUR, RHO d'ELAS_COQUE agit comme une masse volumique multipliée par EPAIS, et RHO = 0 annule le poids de ces éléments sans alarme.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CA-048</w:t>
            </w:r>
          </w:p>
        </w:tc>
        <w:tc>
          <w:tcPr>
            <w:tcW w:type="dxa" w:w="723"/>
          </w:tcPr>
          <w:p>
            <w:pPr>
              <w:spacing w:after="20"/>
            </w:pPr>
            <w:r>
              <w:rPr>
                <w:rFonts w:ascii="Arial" w:hAnsi="Arial" w:cs="Arial" w:eastAsia="Arial"/>
                <w:b w:val="0"/>
                <w:i w:val="0"/>
                <w:color w:val="000000"/>
                <w:sz w:val="20"/>
              </w:rPr>
              <w:t>4</w:t>
            </w:r>
          </w:p>
        </w:tc>
        <w:tc>
          <w:tcPr>
            <w:tcW w:type="dxa" w:w="5060"/>
          </w:tcPr>
          <w:p>
            <w:pPr>
              <w:spacing w:after="20"/>
            </w:pPr>
            <w:r>
              <w:rPr>
                <w:rFonts w:ascii="Arial" w:hAnsi="Arial" w:cs="Arial" w:eastAsia="Arial"/>
                <w:b w:val="0"/>
                <w:i w:val="0"/>
                <w:color w:val="000000"/>
                <w:sz w:val="20"/>
              </w:rPr>
              <w:t>Sur une plaque, le poids propre s'applique par PESANTEUR avec RHO et une charge surfacique par FORCE_COQUE, en FZ global ou en PRES positive à l'opposé de la normale de la maille.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CA-049</w:t>
            </w:r>
          </w:p>
        </w:tc>
        <w:tc>
          <w:tcPr>
            <w:tcW w:type="dxa" w:w="723"/>
          </w:tcPr>
          <w:p>
            <w:pPr>
              <w:spacing w:after="20"/>
            </w:pPr>
            <w:r>
              <w:rPr>
                <w:rFonts w:ascii="Arial" w:hAnsi="Arial" w:cs="Arial" w:eastAsia="Arial"/>
                <w:b w:val="0"/>
                <w:i w:val="0"/>
                <w:color w:val="000000"/>
                <w:sz w:val="20"/>
              </w:rPr>
              <w:t>5</w:t>
            </w:r>
          </w:p>
        </w:tc>
        <w:tc>
          <w:tcPr>
            <w:tcW w:type="dxa" w:w="5060"/>
          </w:tcPr>
          <w:p>
            <w:pPr>
              <w:spacing w:after="20"/>
            </w:pPr>
            <w:r>
              <w:rPr>
                <w:rFonts w:ascii="Arial" w:hAnsi="Arial" w:cs="Arial" w:eastAsia="Arial"/>
                <w:b w:val="0"/>
                <w:i w:val="0"/>
                <w:color w:val="000000"/>
                <w:sz w:val="20"/>
              </w:rPr>
              <w:t>La statique linéaire s'écrit MECA_STATIQUE (MODELE, CHAM_MATER, CARA_ELEM, EXCIT) avec un matériau DEFI_MATERIAU/ELAS (E, NU, RHO).</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CA-023</w:t>
            </w:r>
          </w:p>
        </w:tc>
        <w:tc>
          <w:tcPr>
            <w:tcW w:type="dxa" w:w="723"/>
          </w:tcPr>
          <w:p>
            <w:pPr>
              <w:spacing w:after="20"/>
            </w:pPr>
            <w:r>
              <w:rPr>
                <w:rFonts w:ascii="Arial" w:hAnsi="Arial" w:cs="Arial" w:eastAsia="Arial"/>
                <w:b w:val="0"/>
                <w:i w:val="0"/>
                <w:color w:val="000000"/>
                <w:sz w:val="20"/>
              </w:rPr>
              <w:t>6</w:t>
            </w:r>
          </w:p>
        </w:tc>
        <w:tc>
          <w:tcPr>
            <w:tcW w:type="dxa" w:w="5060"/>
          </w:tcPr>
          <w:p>
            <w:pPr>
              <w:spacing w:after="20"/>
            </w:pPr>
            <w:r>
              <w:rPr>
                <w:rFonts w:ascii="Arial" w:hAnsi="Arial" w:cs="Arial" w:eastAsia="Arial"/>
                <w:b w:val="0"/>
                <w:i w:val="0"/>
                <w:color w:val="000000"/>
                <w:sz w:val="20"/>
              </w:rPr>
              <w:t>Piège : sous ELAS_COQUE, REAC_NODA, FORC_NODA et SIEF_ELGA sont calculés avec une rigidité de flexion MEMB × EPAIS²/12 et sont faux dès que FLEX_L ou FLEX_T en diffère.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CA-030</w:t>
            </w:r>
          </w:p>
        </w:tc>
        <w:tc>
          <w:tcPr>
            <w:tcW w:type="dxa" w:w="723"/>
          </w:tcPr>
          <w:p>
            <w:pPr>
              <w:spacing w:after="20"/>
            </w:pPr>
            <w:r>
              <w:rPr>
                <w:rFonts w:ascii="Arial" w:hAnsi="Arial" w:cs="Arial" w:eastAsia="Arial"/>
                <w:b w:val="0"/>
                <w:i w:val="0"/>
                <w:color w:val="000000"/>
                <w:sz w:val="20"/>
              </w:rPr>
              <w:t>6</w:t>
            </w:r>
          </w:p>
        </w:tc>
        <w:tc>
          <w:tcPr>
            <w:tcW w:type="dxa" w:w="5060"/>
          </w:tcPr>
          <w:p>
            <w:pPr>
              <w:spacing w:after="20"/>
            </w:pPr>
            <w:r>
              <w:rPr>
                <w:rFonts w:ascii="Arial" w:hAnsi="Arial" w:cs="Arial" w:eastAsia="Arial"/>
                <w:b w:val="0"/>
                <w:i w:val="0"/>
                <w:color w:val="000000"/>
                <w:sz w:val="20"/>
              </w:rPr>
              <w:t>La symétrie par rapport à un plan X = constante bloque DX, DRY et DRZ, de la même façon pour les nœuds de coque DKT et de poutre POU_D_E.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CA-050</w:t>
            </w:r>
          </w:p>
        </w:tc>
        <w:tc>
          <w:tcPr>
            <w:tcW w:type="dxa" w:w="723"/>
          </w:tcPr>
          <w:p>
            <w:pPr>
              <w:spacing w:after="20"/>
            </w:pPr>
            <w:r>
              <w:rPr>
                <w:rFonts w:ascii="Arial" w:hAnsi="Arial" w:cs="Arial" w:eastAsia="Arial"/>
                <w:b w:val="0"/>
                <w:i w:val="0"/>
                <w:color w:val="000000"/>
                <w:sz w:val="20"/>
              </w:rPr>
              <w:t>6</w:t>
            </w:r>
          </w:p>
        </w:tc>
        <w:tc>
          <w:tcPr>
            <w:tcW w:type="dxa" w:w="5060"/>
          </w:tcPr>
          <w:p>
            <w:pPr>
              <w:spacing w:after="20"/>
            </w:pPr>
            <w:r>
              <w:rPr>
                <w:rFonts w:ascii="Arial" w:hAnsi="Arial" w:cs="Arial" w:eastAsia="Arial"/>
                <w:b w:val="0"/>
                <w:i w:val="0"/>
                <w:color w:val="000000"/>
                <w:sz w:val="20"/>
              </w:rPr>
              <w:t>Dans le cas test SSLS127, l'appui simple d'une dalle en plaque est DZ = 0 sur les bords, rotations libres, et les plans de symétrie bloquent DY et DRX ou DX et DRY.</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CA-039</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En 17.4, CALC_FERRAILLAGE et COMBINAISON_FERRAILLAGE traitent le 1D, alors que VERI_FERRAILLAGE est limité au 2D et aux types ELU et ELS.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CA-041</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Piège : FERR_MIN='EC2' n'est juste qu'en UNITE_CONTRAINTE='MPa', s'applique aux quatre faces même sans effort, et FERR_MIN_FISS est refusé pour les poutres.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C</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CA-045</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En 2D (Capra-Maury), MXX &gt; 0 tend la face supérieure, et avec MXY les densités diffèrent de l'approximation de Wood-Armer, avec un ajout non expliqué dans un cas dégénéré.</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C</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CA-051</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En 2D, CALC_FERRAILLAGE (EC2) offre les méthodes CAPRA-MAURY et SANDWICH, n'admet qu'une distance C_INF et C_SUP par face pour les deux directions, et ALPHA_CC y vaut 0,85 par défaut.</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bl>
    <w:p>
      <w:pPr>
        <w:spacing w:after="40"/>
      </w:pPr>
    </w:p>
    <w:p>
      <w:pPr>
        <w:pStyle w:val="Heading1"/>
      </w:pPr>
      <w:r>
        <w:rPr>
          <w:rFonts w:ascii="Arial" w:hAnsi="Arial" w:cs="Arial" w:eastAsia="Arial"/>
          <w:b/>
          <w:i w:val="0"/>
          <w:color w:val="000000"/>
          <w:sz w:val="20"/>
        </w:rPr>
        <w:t>6. Combinaisons et coefficients</w:t>
      </w:r>
    </w:p>
    <w:p>
      <w:r>
        <w:rPr>
          <w:rFonts w:ascii="Arial" w:hAnsi="Arial" w:cs="Arial" w:eastAsia="Arial"/>
          <w:b/>
          <w:i w:val="0"/>
          <w:color w:val="000000"/>
          <w:sz w:val="20"/>
        </w:rPr>
        <w:t>Coefficients partiels</w:t>
      </w:r>
    </w:p>
    <w:tbl>
      <w:tblPr>
        <w:tblStyle w:val="TableGrid"/>
        <w:tblW w:type="auto" w:w="0"/>
        <w:jc w:val="center"/>
        <w:tblLayout w:type="fixed"/>
        <w:tblLook w:firstColumn="1" w:firstRow="1" w:lastColumn="0" w:lastRow="0" w:noHBand="0" w:noVBand="1" w:val="04A0"/>
      </w:tblPr>
      <w:tblGrid>
        <w:gridCol w:w="2835"/>
        <w:gridCol w:w="1701"/>
        <w:gridCol w:w="5102"/>
      </w:tblGrid>
      <w:tr>
        <w:trPr>
          <w:tblHeader w:val="true"/>
        </w:trPr>
        <w:tc>
          <w:tcPr>
            <w:tcW w:type="dxa" w:w="2835"/>
            <w:shd w:val="clear" w:color="auto" w:fill="D9D9D9"/>
          </w:tcPr>
          <w:p>
            <w:pPr>
              <w:spacing w:after="20"/>
            </w:pPr>
            <w:r>
              <w:rPr>
                <w:rFonts w:ascii="Arial" w:hAnsi="Arial" w:cs="Arial" w:eastAsia="Arial"/>
                <w:b/>
                <w:i w:val="0"/>
                <w:color w:val="000000"/>
                <w:sz w:val="20"/>
              </w:rPr>
              <w:t>Coefficient</w:t>
            </w:r>
          </w:p>
        </w:tc>
        <w:tc>
          <w:tcPr>
            <w:tcW w:type="dxa" w:w="1701"/>
            <w:shd w:val="clear" w:color="auto" w:fill="D9D9D9"/>
          </w:tcPr>
          <w:p>
            <w:pPr>
              <w:spacing w:after="20"/>
            </w:pPr>
            <w:r>
              <w:rPr>
                <w:rFonts w:ascii="Arial" w:hAnsi="Arial" w:cs="Arial" w:eastAsia="Arial"/>
                <w:b/>
                <w:i w:val="0"/>
                <w:color w:val="000000"/>
                <w:sz w:val="20"/>
              </w:rPr>
              <w:t>Valeur</w:t>
            </w:r>
          </w:p>
        </w:tc>
        <w:tc>
          <w:tcPr>
            <w:tcW w:type="dxa" w:w="5102"/>
            <w:shd w:val="clear" w:color="auto" w:fill="D9D9D9"/>
          </w:tcPr>
          <w:p>
            <w:pPr>
              <w:spacing w:after="20"/>
            </w:pPr>
            <w:r>
              <w:rPr>
                <w:rFonts w:ascii="Arial" w:hAnsi="Arial" w:cs="Arial" w:eastAsia="Arial"/>
                <w:b/>
                <w:i w:val="0"/>
                <w:color w:val="000000"/>
                <w:sz w:val="20"/>
              </w:rPr>
              <w:t>Source</w:t>
            </w:r>
          </w:p>
        </w:tc>
      </w:tr>
      <w:tr>
        <w:trPr>
          <w:cantSplit/>
        </w:trPr>
        <w:tc>
          <w:tcPr>
            <w:tcW w:type="dxa" w:w="2835"/>
          </w:tcPr>
          <w:p>
            <w:pPr>
              <w:spacing w:after="20"/>
            </w:pPr>
            <w:r>
              <w:rPr>
                <w:rFonts w:ascii="Arial" w:hAnsi="Arial" w:cs="Arial" w:eastAsia="Arial"/>
                <w:b w:val="0"/>
                <w:i w:val="0"/>
                <w:color w:val="000000"/>
                <w:sz w:val="20"/>
              </w:rPr>
              <w:t>γG défavorable</w:t>
            </w:r>
          </w:p>
        </w:tc>
        <w:tc>
          <w:tcPr>
            <w:tcW w:type="dxa" w:w="1701"/>
          </w:tcPr>
          <w:p>
            <w:pPr>
              <w:spacing w:after="20"/>
            </w:pPr>
            <w:r>
              <w:rPr>
                <w:rFonts w:ascii="Arial" w:hAnsi="Arial" w:cs="Arial" w:eastAsia="Arial"/>
                <w:b w:val="0"/>
                <w:i w:val="0"/>
                <w:color w:val="000000"/>
                <w:sz w:val="20"/>
              </w:rPr>
              <w:t>1,35</w:t>
            </w:r>
          </w:p>
        </w:tc>
        <w:tc>
          <w:tcPr>
            <w:tcW w:type="dxa" w:w="5102"/>
          </w:tcPr>
          <w:p>
            <w:pPr>
              <w:spacing w:after="20"/>
            </w:pPr>
            <w:r>
              <w:rPr>
                <w:rFonts w:ascii="Arial" w:hAnsi="Arial" w:cs="Arial" w:eastAsia="Arial"/>
                <w:b w:val="0"/>
                <w:i w:val="0"/>
                <w:color w:val="000000"/>
                <w:sz w:val="20"/>
              </w:rPr>
              <w:t>donnée combinaisons.gamma_g_defavorable</w:t>
            </w:r>
          </w:p>
        </w:tc>
      </w:tr>
      <w:tr>
        <w:trPr>
          <w:cantSplit/>
        </w:trPr>
        <w:tc>
          <w:tcPr>
            <w:tcW w:type="dxa" w:w="2835"/>
          </w:tcPr>
          <w:p>
            <w:pPr>
              <w:spacing w:after="20"/>
            </w:pPr>
            <w:r>
              <w:rPr>
                <w:rFonts w:ascii="Arial" w:hAnsi="Arial" w:cs="Arial" w:eastAsia="Arial"/>
                <w:b w:val="0"/>
                <w:i w:val="0"/>
                <w:color w:val="000000"/>
                <w:sz w:val="20"/>
              </w:rPr>
              <w:t>γQ</w:t>
            </w:r>
          </w:p>
        </w:tc>
        <w:tc>
          <w:tcPr>
            <w:tcW w:type="dxa" w:w="1701"/>
          </w:tcPr>
          <w:p>
            <w:pPr>
              <w:spacing w:after="20"/>
            </w:pPr>
            <w:r>
              <w:rPr>
                <w:rFonts w:ascii="Arial" w:hAnsi="Arial" w:cs="Arial" w:eastAsia="Arial"/>
                <w:b w:val="0"/>
                <w:i w:val="0"/>
                <w:color w:val="000000"/>
                <w:sz w:val="20"/>
              </w:rPr>
              <w:t>1,5</w:t>
            </w:r>
          </w:p>
        </w:tc>
        <w:tc>
          <w:tcPr>
            <w:tcW w:type="dxa" w:w="5102"/>
          </w:tcPr>
          <w:p>
            <w:pPr>
              <w:spacing w:after="20"/>
            </w:pPr>
            <w:r>
              <w:rPr>
                <w:rFonts w:ascii="Arial" w:hAnsi="Arial" w:cs="Arial" w:eastAsia="Arial"/>
                <w:b w:val="0"/>
                <w:i w:val="0"/>
                <w:color w:val="000000"/>
                <w:sz w:val="20"/>
              </w:rPr>
              <w:t>donnée combinaisons.gamma_q</w:t>
            </w:r>
          </w:p>
        </w:tc>
      </w:tr>
    </w:tbl>
    <w:p>
      <w:pPr>
        <w:spacing w:after="40"/>
      </w:pPr>
    </w:p>
    <w:p>
      <w:r>
        <w:rPr>
          <w:rFonts w:ascii="Arial" w:hAnsi="Arial" w:cs="Arial" w:eastAsia="Arial"/>
          <w:b/>
          <w:i w:val="0"/>
          <w:color w:val="000000"/>
          <w:sz w:val="20"/>
        </w:rPr>
        <w:t>Coefficients de combinaison</w:t>
      </w:r>
    </w:p>
    <w:tbl>
      <w:tblPr>
        <w:tblStyle w:val="TableGrid"/>
        <w:tblW w:type="auto" w:w="0"/>
        <w:jc w:val="center"/>
        <w:tblLayout w:type="fixed"/>
        <w:tblLook w:firstColumn="1" w:firstRow="1" w:lastColumn="0" w:lastRow="0" w:noHBand="0" w:noVBand="1" w:val="04A0"/>
      </w:tblPr>
      <w:tblGrid>
        <w:gridCol w:w="2268"/>
        <w:gridCol w:w="1134"/>
        <w:gridCol w:w="1134"/>
        <w:gridCol w:w="1134"/>
        <w:gridCol w:w="3969"/>
      </w:tblGrid>
      <w:tr>
        <w:trPr>
          <w:tblHeader w:val="true"/>
        </w:trPr>
        <w:tc>
          <w:tcPr>
            <w:tcW w:type="dxa" w:w="2268"/>
            <w:shd w:val="clear" w:color="auto" w:fill="D9D9D9"/>
          </w:tcPr>
          <w:p>
            <w:pPr>
              <w:spacing w:after="20"/>
            </w:pPr>
            <w:r>
              <w:rPr>
                <w:rFonts w:ascii="Arial" w:hAnsi="Arial" w:cs="Arial" w:eastAsia="Arial"/>
                <w:b/>
                <w:i w:val="0"/>
                <w:color w:val="000000"/>
                <w:sz w:val="20"/>
              </w:rPr>
              <w:t>Action variable</w:t>
            </w:r>
          </w:p>
        </w:tc>
        <w:tc>
          <w:tcPr>
            <w:tcW w:type="dxa" w:w="1134"/>
            <w:shd w:val="clear" w:color="auto" w:fill="D9D9D9"/>
          </w:tcPr>
          <w:p>
            <w:pPr>
              <w:spacing w:after="20"/>
            </w:pPr>
            <w:r>
              <w:rPr>
                <w:rFonts w:ascii="Arial" w:hAnsi="Arial" w:cs="Arial" w:eastAsia="Arial"/>
                <w:b/>
                <w:i w:val="0"/>
                <w:color w:val="000000"/>
                <w:sz w:val="20"/>
              </w:rPr>
              <w:t>ψ0</w:t>
            </w:r>
          </w:p>
        </w:tc>
        <w:tc>
          <w:tcPr>
            <w:tcW w:type="dxa" w:w="1134"/>
            <w:shd w:val="clear" w:color="auto" w:fill="D9D9D9"/>
          </w:tcPr>
          <w:p>
            <w:pPr>
              <w:spacing w:after="20"/>
            </w:pPr>
            <w:r>
              <w:rPr>
                <w:rFonts w:ascii="Arial" w:hAnsi="Arial" w:cs="Arial" w:eastAsia="Arial"/>
                <w:b/>
                <w:i w:val="0"/>
                <w:color w:val="000000"/>
                <w:sz w:val="20"/>
              </w:rPr>
              <w:t>ψ1</w:t>
            </w:r>
          </w:p>
        </w:tc>
        <w:tc>
          <w:tcPr>
            <w:tcW w:type="dxa" w:w="1134"/>
            <w:shd w:val="clear" w:color="auto" w:fill="D9D9D9"/>
          </w:tcPr>
          <w:p>
            <w:pPr>
              <w:spacing w:after="20"/>
            </w:pPr>
            <w:r>
              <w:rPr>
                <w:rFonts w:ascii="Arial" w:hAnsi="Arial" w:cs="Arial" w:eastAsia="Arial"/>
                <w:b/>
                <w:i w:val="0"/>
                <w:color w:val="000000"/>
                <w:sz w:val="20"/>
              </w:rPr>
              <w:t>ψ2</w:t>
            </w:r>
          </w:p>
        </w:tc>
        <w:tc>
          <w:tcPr>
            <w:tcW w:type="dxa" w:w="3969"/>
            <w:shd w:val="clear" w:color="auto" w:fill="D9D9D9"/>
          </w:tcPr>
          <w:p>
            <w:pPr>
              <w:spacing w:after="20"/>
            </w:pPr>
            <w:r>
              <w:rPr>
                <w:rFonts w:ascii="Arial" w:hAnsi="Arial" w:cs="Arial" w:eastAsia="Arial"/>
                <w:b/>
                <w:i w:val="0"/>
                <w:color w:val="000000"/>
                <w:sz w:val="20"/>
              </w:rPr>
              <w:t>Source</w:t>
            </w:r>
          </w:p>
        </w:tc>
      </w:tr>
      <w:tr>
        <w:trPr>
          <w:cantSplit/>
        </w:trPr>
        <w:tc>
          <w:tcPr>
            <w:tcW w:type="dxa" w:w="2268"/>
          </w:tcPr>
          <w:p>
            <w:pPr>
              <w:spacing w:after="20"/>
            </w:pPr>
            <w:r>
              <w:rPr>
                <w:rFonts w:ascii="Arial" w:hAnsi="Arial" w:cs="Arial" w:eastAsia="Arial"/>
                <w:b w:val="0"/>
                <w:i w:val="0"/>
                <w:color w:val="000000"/>
                <w:sz w:val="20"/>
              </w:rPr>
              <w:t>Q</w:t>
            </w:r>
          </w:p>
        </w:tc>
        <w:tc>
          <w:tcPr>
            <w:tcW w:type="dxa" w:w="1134"/>
          </w:tcPr>
          <w:p>
            <w:pPr>
              <w:spacing w:after="20"/>
            </w:pPr>
            <w:r>
              <w:rPr>
                <w:rFonts w:ascii="Arial" w:hAnsi="Arial" w:cs="Arial" w:eastAsia="Arial"/>
                <w:b w:val="0"/>
                <w:i w:val="0"/>
                <w:color w:val="000000"/>
                <w:sz w:val="20"/>
              </w:rPr>
              <w:t>1,0</w:t>
            </w:r>
          </w:p>
        </w:tc>
        <w:tc>
          <w:tcPr>
            <w:tcW w:type="dxa" w:w="1134"/>
          </w:tcPr>
          <w:p>
            <w:pPr>
              <w:spacing w:after="20"/>
            </w:pPr>
            <w:r>
              <w:rPr>
                <w:rFonts w:ascii="Arial" w:hAnsi="Arial" w:cs="Arial" w:eastAsia="Arial"/>
                <w:b w:val="0"/>
                <w:i w:val="0"/>
                <w:color w:val="000000"/>
                <w:sz w:val="20"/>
              </w:rPr>
              <w:t>0,9</w:t>
            </w:r>
          </w:p>
        </w:tc>
        <w:tc>
          <w:tcPr>
            <w:tcW w:type="dxa" w:w="1134"/>
          </w:tcPr>
          <w:p>
            <w:pPr>
              <w:spacing w:after="20"/>
            </w:pPr>
            <w:r>
              <w:rPr>
                <w:rFonts w:ascii="Arial" w:hAnsi="Arial" w:cs="Arial" w:eastAsia="Arial"/>
                <w:b w:val="0"/>
                <w:i w:val="0"/>
                <w:color w:val="000000"/>
                <w:sz w:val="20"/>
              </w:rPr>
              <w:t>0,8</w:t>
            </w:r>
          </w:p>
        </w:tc>
        <w:tc>
          <w:tcPr>
            <w:tcW w:type="dxa" w:w="3969"/>
          </w:tcPr>
          <w:p>
            <w:pPr>
              <w:spacing w:after="20"/>
            </w:pPr>
            <w:r>
              <w:rPr>
                <w:rFonts w:ascii="Arial" w:hAnsi="Arial" w:cs="Arial" w:eastAsia="Arial"/>
                <w:b w:val="0"/>
                <w:i w:val="0"/>
                <w:color w:val="000000"/>
                <w:sz w:val="20"/>
              </w:rPr>
              <w:t>donnée combinaisons.q_psi0</w:t>
            </w:r>
          </w:p>
        </w:tc>
      </w:tr>
    </w:tbl>
    <w:p>
      <w:pPr>
        <w:spacing w:after="40"/>
      </w:pPr>
    </w:p>
    <w:p>
      <w:r>
        <w:rPr>
          <w:rFonts w:ascii="Arial" w:hAnsi="Arial" w:cs="Arial" w:eastAsia="Arial"/>
          <w:b/>
          <w:i w:val="0"/>
          <w:color w:val="000000"/>
          <w:sz w:val="20"/>
        </w:rPr>
        <w:t xml:space="preserve">Actions permanentes : </w:t>
      </w:r>
      <w:r>
        <w:rPr>
          <w:rFonts w:ascii="Arial" w:hAnsi="Arial" w:cs="Arial" w:eastAsia="Arial"/>
          <w:b w:val="0"/>
          <w:i w:val="0"/>
          <w:color w:val="000000"/>
          <w:sz w:val="20"/>
        </w:rPr>
        <w:t>G</w:t>
      </w:r>
    </w:p>
    <w:p>
      <w:r>
        <w:rPr>
          <w:rFonts w:ascii="Arial" w:hAnsi="Arial" w:cs="Arial" w:eastAsia="Arial"/>
          <w:b/>
          <w:i w:val="0"/>
          <w:color w:val="000000"/>
          <w:sz w:val="20"/>
        </w:rPr>
        <w:t xml:space="preserve">Coefficient des actions d'accompagnement en ELS fréquent : </w:t>
      </w:r>
      <w:r>
        <w:rPr>
          <w:rFonts w:ascii="Arial" w:hAnsi="Arial" w:cs="Arial" w:eastAsia="Arial"/>
          <w:b w:val="0"/>
          <w:i w:val="0"/>
          <w:color w:val="000000"/>
          <w:sz w:val="20"/>
        </w:rPr>
        <w:t>ψ2</w:t>
      </w:r>
    </w:p>
    <w:p>
      <w:r>
        <w:rPr>
          <w:rFonts w:ascii="Arial" w:hAnsi="Arial" w:cs="Arial" w:eastAsia="Arial"/>
          <w:b/>
          <w:i w:val="0"/>
          <w:color w:val="000000"/>
          <w:sz w:val="20"/>
        </w:rPr>
        <w:t>Combinaisons (4)</w:t>
      </w:r>
    </w:p>
    <w:tbl>
      <w:tblPr>
        <w:tblStyle w:val="TableGrid"/>
        <w:tblW w:type="auto" w:w="0"/>
        <w:jc w:val="center"/>
        <w:tblLayout w:type="fixed"/>
        <w:tblLook w:firstColumn="1" w:firstRow="1" w:lastColumn="0" w:lastRow="0" w:noHBand="0" w:noVBand="1" w:val="04A0"/>
      </w:tblPr>
      <w:tblGrid>
        <w:gridCol w:w="3118"/>
        <w:gridCol w:w="1984"/>
        <w:gridCol w:w="4535"/>
      </w:tblGrid>
      <w:tr>
        <w:trPr>
          <w:tblHeader w:val="true"/>
        </w:trPr>
        <w:tc>
          <w:tcPr>
            <w:tcW w:type="dxa" w:w="3118"/>
            <w:shd w:val="clear" w:color="auto" w:fill="D9D9D9"/>
          </w:tcPr>
          <w:p>
            <w:pPr>
              <w:spacing w:after="20"/>
            </w:pPr>
            <w:r>
              <w:rPr>
                <w:rFonts w:ascii="Arial" w:hAnsi="Arial" w:cs="Arial" w:eastAsia="Arial"/>
                <w:b/>
                <w:i w:val="0"/>
                <w:color w:val="000000"/>
                <w:sz w:val="20"/>
              </w:rPr>
              <w:t>Combinaison</w:t>
            </w:r>
          </w:p>
        </w:tc>
        <w:tc>
          <w:tcPr>
            <w:tcW w:type="dxa" w:w="1984"/>
            <w:shd w:val="clear" w:color="auto" w:fill="D9D9D9"/>
          </w:tcPr>
          <w:p>
            <w:pPr>
              <w:spacing w:after="20"/>
            </w:pPr>
            <w:r>
              <w:rPr>
                <w:rFonts w:ascii="Arial" w:hAnsi="Arial" w:cs="Arial" w:eastAsia="Arial"/>
                <w:b/>
                <w:i w:val="0"/>
                <w:color w:val="000000"/>
                <w:sz w:val="20"/>
              </w:rPr>
              <w:t>Famille</w:t>
            </w:r>
          </w:p>
        </w:tc>
        <w:tc>
          <w:tcPr>
            <w:tcW w:type="dxa" w:w="4535"/>
            <w:shd w:val="clear" w:color="auto" w:fill="D9D9D9"/>
          </w:tcPr>
          <w:p>
            <w:pPr>
              <w:spacing w:after="20"/>
            </w:pPr>
            <w:r>
              <w:rPr>
                <w:rFonts w:ascii="Arial" w:hAnsi="Arial" w:cs="Arial" w:eastAsia="Arial"/>
                <w:b/>
                <w:i w:val="0"/>
                <w:color w:val="000000"/>
                <w:sz w:val="20"/>
              </w:rPr>
              <w:t>Coefficients par cas</w:t>
            </w:r>
          </w:p>
        </w:tc>
      </w:tr>
      <w:tr>
        <w:trPr>
          <w:cantSplit/>
        </w:trPr>
        <w:tc>
          <w:tcPr>
            <w:tcW w:type="dxa" w:w="3118"/>
          </w:tcPr>
          <w:p>
            <w:pPr>
              <w:spacing w:after="20"/>
            </w:pPr>
            <w:r>
              <w:rPr>
                <w:rFonts w:ascii="Arial" w:hAnsi="Arial" w:cs="Arial" w:eastAsia="Arial"/>
                <w:b w:val="0"/>
                <w:i w:val="0"/>
                <w:color w:val="000000"/>
                <w:sz w:val="20"/>
              </w:rPr>
              <w:t>ELU_FOND_Q_DOM_G_defav</w:t>
            </w:r>
          </w:p>
        </w:tc>
        <w:tc>
          <w:tcPr>
            <w:tcW w:type="dxa" w:w="1984"/>
          </w:tcPr>
          <w:p>
            <w:pPr>
              <w:spacing w:after="20"/>
            </w:pPr>
            <w:r>
              <w:rPr>
                <w:rFonts w:ascii="Arial" w:hAnsi="Arial" w:cs="Arial" w:eastAsia="Arial"/>
                <w:b w:val="0"/>
                <w:i w:val="0"/>
                <w:color w:val="000000"/>
                <w:sz w:val="20"/>
              </w:rPr>
              <w:t>ELU fondamentale</w:t>
            </w:r>
          </w:p>
        </w:tc>
        <w:tc>
          <w:tcPr>
            <w:tcW w:type="dxa" w:w="4535"/>
          </w:tcPr>
          <w:p>
            <w:pPr>
              <w:spacing w:after="20"/>
            </w:pPr>
            <w:r>
              <w:rPr>
                <w:rFonts w:ascii="Arial" w:hAnsi="Arial" w:cs="Arial" w:eastAsia="Arial"/>
                <w:b w:val="0"/>
                <w:i w:val="0"/>
                <w:color w:val="000000"/>
                <w:sz w:val="20"/>
              </w:rPr>
              <w:t>G × 1,35 ; Q × 1,5</w:t>
            </w:r>
          </w:p>
        </w:tc>
      </w:tr>
      <w:tr>
        <w:trPr>
          <w:cantSplit/>
        </w:trPr>
        <w:tc>
          <w:tcPr>
            <w:tcW w:type="dxa" w:w="3118"/>
          </w:tcPr>
          <w:p>
            <w:pPr>
              <w:spacing w:after="20"/>
            </w:pPr>
            <w:r>
              <w:rPr>
                <w:rFonts w:ascii="Arial" w:hAnsi="Arial" w:cs="Arial" w:eastAsia="Arial"/>
                <w:b w:val="0"/>
                <w:i w:val="0"/>
                <w:color w:val="000000"/>
                <w:sz w:val="20"/>
              </w:rPr>
              <w:t>ELS_CARA_Q_DOM</w:t>
            </w:r>
          </w:p>
        </w:tc>
        <w:tc>
          <w:tcPr>
            <w:tcW w:type="dxa" w:w="1984"/>
          </w:tcPr>
          <w:p>
            <w:pPr>
              <w:spacing w:after="20"/>
            </w:pPr>
            <w:r>
              <w:rPr>
                <w:rFonts w:ascii="Arial" w:hAnsi="Arial" w:cs="Arial" w:eastAsia="Arial"/>
                <w:b w:val="0"/>
                <w:i w:val="0"/>
                <w:color w:val="000000"/>
                <w:sz w:val="20"/>
              </w:rPr>
              <w:t>ELS caractéristique</w:t>
            </w:r>
          </w:p>
        </w:tc>
        <w:tc>
          <w:tcPr>
            <w:tcW w:type="dxa" w:w="4535"/>
          </w:tcPr>
          <w:p>
            <w:pPr>
              <w:spacing w:after="20"/>
            </w:pPr>
            <w:r>
              <w:rPr>
                <w:rFonts w:ascii="Arial" w:hAnsi="Arial" w:cs="Arial" w:eastAsia="Arial"/>
                <w:b w:val="0"/>
                <w:i w:val="0"/>
                <w:color w:val="000000"/>
                <w:sz w:val="20"/>
              </w:rPr>
              <w:t>G × 1,0 ; Q × 1,0</w:t>
            </w:r>
          </w:p>
        </w:tc>
      </w:tr>
      <w:tr>
        <w:trPr>
          <w:cantSplit/>
        </w:trPr>
        <w:tc>
          <w:tcPr>
            <w:tcW w:type="dxa" w:w="3118"/>
          </w:tcPr>
          <w:p>
            <w:pPr>
              <w:spacing w:after="20"/>
            </w:pPr>
            <w:r>
              <w:rPr>
                <w:rFonts w:ascii="Arial" w:hAnsi="Arial" w:cs="Arial" w:eastAsia="Arial"/>
                <w:b w:val="0"/>
                <w:i w:val="0"/>
                <w:color w:val="000000"/>
                <w:sz w:val="20"/>
              </w:rPr>
              <w:t>ELS_FREQ_Q_DOM</w:t>
            </w:r>
          </w:p>
        </w:tc>
        <w:tc>
          <w:tcPr>
            <w:tcW w:type="dxa" w:w="1984"/>
          </w:tcPr>
          <w:p>
            <w:pPr>
              <w:spacing w:after="20"/>
            </w:pPr>
            <w:r>
              <w:rPr>
                <w:rFonts w:ascii="Arial" w:hAnsi="Arial" w:cs="Arial" w:eastAsia="Arial"/>
                <w:b w:val="0"/>
                <w:i w:val="0"/>
                <w:color w:val="000000"/>
                <w:sz w:val="20"/>
              </w:rPr>
              <w:t>ELS fréquente</w:t>
            </w:r>
          </w:p>
        </w:tc>
        <w:tc>
          <w:tcPr>
            <w:tcW w:type="dxa" w:w="4535"/>
          </w:tcPr>
          <w:p>
            <w:pPr>
              <w:spacing w:after="20"/>
            </w:pPr>
            <w:r>
              <w:rPr>
                <w:rFonts w:ascii="Arial" w:hAnsi="Arial" w:cs="Arial" w:eastAsia="Arial"/>
                <w:b w:val="0"/>
                <w:i w:val="0"/>
                <w:color w:val="000000"/>
                <w:sz w:val="20"/>
              </w:rPr>
              <w:t>G × 1,0 ; Q × 0,9</w:t>
            </w:r>
          </w:p>
        </w:tc>
      </w:tr>
      <w:tr>
        <w:trPr>
          <w:cantSplit/>
        </w:trPr>
        <w:tc>
          <w:tcPr>
            <w:tcW w:type="dxa" w:w="3118"/>
          </w:tcPr>
          <w:p>
            <w:pPr>
              <w:spacing w:after="20"/>
            </w:pPr>
            <w:r>
              <w:rPr>
                <w:rFonts w:ascii="Arial" w:hAnsi="Arial" w:cs="Arial" w:eastAsia="Arial"/>
                <w:b w:val="0"/>
                <w:i w:val="0"/>
                <w:color w:val="000000"/>
                <w:sz w:val="20"/>
              </w:rPr>
              <w:t>ELS_QUASI_PERMANENTE</w:t>
            </w:r>
          </w:p>
        </w:tc>
        <w:tc>
          <w:tcPr>
            <w:tcW w:type="dxa" w:w="1984"/>
          </w:tcPr>
          <w:p>
            <w:pPr>
              <w:spacing w:after="20"/>
            </w:pPr>
            <w:r>
              <w:rPr>
                <w:rFonts w:ascii="Arial" w:hAnsi="Arial" w:cs="Arial" w:eastAsia="Arial"/>
                <w:b w:val="0"/>
                <w:i w:val="0"/>
                <w:color w:val="000000"/>
                <w:sz w:val="20"/>
              </w:rPr>
              <w:t>ELS quasi permanente</w:t>
            </w:r>
          </w:p>
        </w:tc>
        <w:tc>
          <w:tcPr>
            <w:tcW w:type="dxa" w:w="4535"/>
          </w:tcPr>
          <w:p>
            <w:pPr>
              <w:spacing w:after="20"/>
            </w:pPr>
            <w:r>
              <w:rPr>
                <w:rFonts w:ascii="Arial" w:hAnsi="Arial" w:cs="Arial" w:eastAsia="Arial"/>
                <w:b w:val="0"/>
                <w:i w:val="0"/>
                <w:color w:val="000000"/>
                <w:sz w:val="20"/>
              </w:rPr>
              <w:t>G × 1,0 ; Q × 0,8</w:t>
            </w:r>
          </w:p>
        </w:tc>
      </w:tr>
    </w:tbl>
    <w:p>
      <w:pPr>
        <w:spacing w:after="40"/>
      </w:pPr>
    </w:p>
    <w:p>
      <w:pPr>
        <w:pStyle w:val="Heading1"/>
      </w:pPr>
      <w:r>
        <w:rPr>
          <w:rFonts w:ascii="Arial" w:hAnsi="Arial" w:cs="Arial" w:eastAsia="Arial"/>
          <w:b/>
          <w:i w:val="0"/>
          <w:color w:val="000000"/>
          <w:sz w:val="20"/>
        </w:rPr>
        <w:t>7. Annexe : historique des révisions</w:t>
      </w:r>
    </w:p>
    <w:p>
      <w:r>
        <w:rPr>
          <w:rFonts w:ascii="Arial" w:hAnsi="Arial" w:cs="Arial" w:eastAsia="Arial"/>
          <w:b/>
          <w:i w:val="0"/>
          <w:color w:val="000000"/>
          <w:sz w:val="20"/>
        </w:rPr>
        <w:t>Décisions remplacées</w:t>
      </w:r>
    </w:p>
    <w:tbl>
      <w:tblPr>
        <w:tblStyle w:val="TableGrid"/>
        <w:tblW w:type="auto" w:w="0"/>
        <w:jc w:val="center"/>
        <w:tblLayout w:type="fixed"/>
        <w:tblLook w:firstColumn="1" w:firstRow="1" w:lastColumn="0" w:lastRow="0" w:noHBand="0" w:noVBand="1" w:val="04A0"/>
      </w:tblPr>
      <w:tblGrid>
        <w:gridCol w:w="737"/>
        <w:gridCol w:w="2551"/>
        <w:gridCol w:w="1247"/>
        <w:gridCol w:w="1020"/>
        <w:gridCol w:w="4082"/>
      </w:tblGrid>
      <w:tr>
        <w:trPr>
          <w:tblHeader w:val="true"/>
        </w:trPr>
        <w:tc>
          <w:tcPr>
            <w:tcW w:type="dxa" w:w="737"/>
            <w:shd w:val="clear" w:color="auto" w:fill="D9D9D9"/>
          </w:tcPr>
          <w:p>
            <w:pPr>
              <w:spacing w:after="20"/>
            </w:pPr>
            <w:r>
              <w:rPr>
                <w:rFonts w:ascii="Arial" w:hAnsi="Arial" w:cs="Arial" w:eastAsia="Arial"/>
                <w:b/>
                <w:i w:val="0"/>
                <w:color w:val="000000"/>
                <w:sz w:val="20"/>
              </w:rPr>
              <w:t>Point</w:t>
            </w:r>
          </w:p>
        </w:tc>
        <w:tc>
          <w:tcPr>
            <w:tcW w:type="dxa" w:w="2551"/>
            <w:shd w:val="clear" w:color="auto" w:fill="D9D9D9"/>
          </w:tcPr>
          <w:p>
            <w:pPr>
              <w:spacing w:after="20"/>
            </w:pPr>
            <w:r>
              <w:rPr>
                <w:rFonts w:ascii="Arial" w:hAnsi="Arial" w:cs="Arial" w:eastAsia="Arial"/>
                <w:b/>
                <w:i w:val="0"/>
                <w:color w:val="000000"/>
                <w:sz w:val="20"/>
              </w:rPr>
              <w:t>Sujet</w:t>
            </w:r>
          </w:p>
        </w:tc>
        <w:tc>
          <w:tcPr>
            <w:tcW w:type="dxa" w:w="1247"/>
            <w:shd w:val="clear" w:color="auto" w:fill="D9D9D9"/>
          </w:tcPr>
          <w:p>
            <w:pPr>
              <w:spacing w:after="20"/>
            </w:pPr>
            <w:r>
              <w:rPr>
                <w:rFonts w:ascii="Arial" w:hAnsi="Arial" w:cs="Arial" w:eastAsia="Arial"/>
                <w:b/>
                <w:i w:val="0"/>
                <w:color w:val="000000"/>
                <w:sz w:val="20"/>
              </w:rPr>
              <w:t>Date</w:t>
            </w:r>
          </w:p>
        </w:tc>
        <w:tc>
          <w:tcPr>
            <w:tcW w:type="dxa" w:w="1020"/>
            <w:shd w:val="clear" w:color="auto" w:fill="D9D9D9"/>
          </w:tcPr>
          <w:p>
            <w:pPr>
              <w:spacing w:after="20"/>
            </w:pPr>
            <w:r>
              <w:rPr>
                <w:rFonts w:ascii="Arial" w:hAnsi="Arial" w:cs="Arial" w:eastAsia="Arial"/>
                <w:b/>
                <w:i w:val="0"/>
                <w:color w:val="000000"/>
                <w:sz w:val="20"/>
              </w:rPr>
              <w:t>Décideur</w:t>
            </w:r>
          </w:p>
        </w:tc>
        <w:tc>
          <w:tcPr>
            <w:tcW w:type="dxa" w:w="4082"/>
            <w:shd w:val="clear" w:color="auto" w:fill="D9D9D9"/>
          </w:tcPr>
          <w:p>
            <w:pPr>
              <w:spacing w:after="20"/>
            </w:pPr>
            <w:r>
              <w:rPr>
                <w:rFonts w:ascii="Arial" w:hAnsi="Arial" w:cs="Arial" w:eastAsia="Arial"/>
                <w:b/>
                <w:i w:val="0"/>
                <w:color w:val="000000"/>
                <w:sz w:val="20"/>
              </w:rPr>
              <w:t>Décision remplacée (option retenue)</w:t>
            </w:r>
          </w:p>
        </w:tc>
      </w:tr>
      <w:tr>
        <w:trPr>
          <w:cantSplit/>
        </w:trPr>
        <w:tc>
          <w:tcPr>
            <w:tcW w:type="dxa" w:w="737"/>
          </w:tcPr>
          <w:p>
            <w:pPr>
              <w:spacing w:after="20"/>
            </w:pPr>
            <w:r>
              <w:rPr>
                <w:rFonts w:ascii="Arial" w:hAnsi="Arial" w:cs="Arial" w:eastAsia="Arial"/>
                <w:b w:val="0"/>
                <w:i w:val="0"/>
                <w:color w:val="000000"/>
                <w:sz w:val="20"/>
              </w:rPr>
              <w:t>14</w:t>
            </w:r>
          </w:p>
        </w:tc>
        <w:tc>
          <w:tcPr>
            <w:tcW w:type="dxa" w:w="2551"/>
          </w:tcPr>
          <w:p>
            <w:pPr>
              <w:spacing w:after="20"/>
            </w:pPr>
            <w:r>
              <w:rPr>
                <w:rFonts w:ascii="Arial" w:hAnsi="Arial" w:cs="Arial" w:eastAsia="Arial"/>
                <w:b w:val="0"/>
                <w:i w:val="0"/>
                <w:color w:val="000000"/>
                <w:sz w:val="20"/>
              </w:rPr>
              <w:t>Ferraillage : acier, distance parement–axe, ELS en XC1 (contraintes, fissuration), ferraillage minimal</w:t>
            </w:r>
          </w:p>
        </w:tc>
        <w:tc>
          <w:tcPr>
            <w:tcW w:type="dxa" w:w="1247"/>
          </w:tcPr>
          <w:p>
            <w:pPr>
              <w:spacing w:after="20"/>
            </w:pPr>
            <w:r>
              <w:rPr>
                <w:rFonts w:ascii="Arial" w:hAnsi="Arial" w:cs="Arial" w:eastAsia="Arial"/>
                <w:b w:val="0"/>
                <w:i w:val="0"/>
                <w:color w:val="000000"/>
                <w:sz w:val="20"/>
              </w:rPr>
              <w:t>2026-10-02</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Acier B500B, fyk = 500 MPa. γc = 1,5 et γs = 1,15 en situation durable ; ALPHA_CC = 1,0 écrit explicitement dans le .comm (la valeur par défaut 0,85 n'est pas retenue). Barres HA12 dans les deux directions, nappes inférieure et supérieure. Distance du parement à l'axe, enrobage nominal 30 mm : lit extérieur (barres portant dans la petite portée, Y) 30 + 6 = 36 mm ; lit intérieur (barres portant dans la grande portée, X) 30 + 12 + 6 = 48 mm. CALC_FERRAILLAGE n'admet qu'une distance par face en 2D (catalogue 17.4 : C_INF et C_SUP, un réel chacun) : 48 mm est retenu pour les deux directions et déclaré ; la contre-vérification manuelle utilise la même valeur. ELS en XC1 : wk limite = 0,4 mm sous combinaison quasi permanente ; σs ≤ 0,8 fyk sous combinaison caractéristique ; pas de limite sur σc en XC1. Ferraillage minimal : non-fragilité As,min = max(0,26·fctm/fyk ; 0,0013)·b·d ; maîtrise de la fissuration en flexion simple, kc = 0,4, k = 1,0, fct,eff = fctm, Act = b·h/2 ; armatures de répartition ≥ 20 % des armatures principales. Méthode 2D native de CALC_FERRAILLAGE pour les plaques ; contre-vérification indépendante au centre de la dalle (Mxy nul par symétrie) ; coins relevés et commentés, armatures de coin signalées, non calculées.</w:t>
            </w:r>
          </w:p>
        </w:tc>
      </w:tr>
      <w:tr>
        <w:trPr>
          <w:cantSplit/>
        </w:trPr>
        <w:tc>
          <w:tcPr>
            <w:tcW w:type="dxa" w:w="737"/>
          </w:tcPr>
          <w:p>
            <w:pPr>
              <w:spacing w:after="20"/>
            </w:pPr>
            <w:r>
              <w:rPr>
                <w:rFonts w:ascii="Arial" w:hAnsi="Arial" w:cs="Arial" w:eastAsia="Arial"/>
                <w:b w:val="0"/>
                <w:i w:val="0"/>
                <w:color w:val="000000"/>
                <w:sz w:val="20"/>
              </w:rPr>
              <w:t>14</w:t>
            </w:r>
          </w:p>
        </w:tc>
        <w:tc>
          <w:tcPr>
            <w:tcW w:type="dxa" w:w="2551"/>
          </w:tcPr>
          <w:p>
            <w:pPr>
              <w:spacing w:after="20"/>
            </w:pPr>
            <w:r>
              <w:rPr>
                <w:rFonts w:ascii="Arial" w:hAnsi="Arial" w:cs="Arial" w:eastAsia="Arial"/>
                <w:b w:val="0"/>
                <w:i w:val="0"/>
                <w:color w:val="000000"/>
                <w:sz w:val="20"/>
              </w:rPr>
              <w:t>Paramètres ELS obligatoires de CALC_FERRAILLAGE en 2D (ALPHA_E, SIGC_*_ELS, SIGC_ELS_QP, KT, EYS)</w:t>
            </w:r>
          </w:p>
        </w:tc>
        <w:tc>
          <w:tcPr>
            <w:tcW w:type="dxa" w:w="1247"/>
          </w:tcPr>
          <w:p>
            <w:pPr>
              <w:spacing w:after="20"/>
            </w:pPr>
            <w:r>
              <w:rPr>
                <w:rFonts w:ascii="Arial" w:hAnsi="Arial" w:cs="Arial" w:eastAsia="Arial"/>
                <w:b w:val="0"/>
                <w:i w:val="0"/>
                <w:color w:val="000000"/>
                <w:sz w:val="20"/>
              </w:rPr>
              <w:t>2026-10-02</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ALPHA_E = 15. SIGC_INF_ELS = SIGC_SUP_ELS = 0,6 fck = 18 MPa, avec un second calcul à valeur non contraignante pour montrer que la limite n'est pas active (rapportée si elle l'est). SIGC_ELS_QP = 0,45 fck = 13,5 MPa. KT = 0,4 (chargement de longue durée). EYS = 210 000 MPa (Es = 210 GPa, comme au quai).</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000000"/>
        <w:sz w:val="20"/>
      </w:rPr>
      <w:t xml:space="preserve">Note d'hypothèses DALLE-APPUYEE-01 -- page </w:t>
    </w:r>
    <w:r>
      <w:rPr>
        <w:rFonts w:ascii="Arial" w:hAnsi="Arial" w:cs="Arial" w:eastAsia="Arial"/>
        <w:b w:val="0"/>
        <w:i w:val="0"/>
        <w:color w:val="000000"/>
        <w:sz w:val="20"/>
      </w:rPr>
      <w:fldChar w:fldCharType="begin"/>
    </w:r>
    <w:r>
      <w:rPr>
        <w:rFonts w:ascii="Arial" w:hAnsi="Arial" w:cs="Arial" w:eastAsia="Arial"/>
        <w:b w:val="0"/>
        <w:i w:val="0"/>
        <w:color w:val="000000"/>
        <w:sz w:val="20"/>
      </w:rPr>
      <w:instrText xml:space="preserve"> PAGE </w:instrText>
    </w:r>
    <w:r>
      <w:rPr>
        <w:rFonts w:ascii="Arial" w:hAnsi="Arial" w:cs="Arial" w:eastAsia="Arial"/>
        <w:b w:val="0"/>
        <w:i w:val="0"/>
        <w:color w:val="000000"/>
        <w:sz w:val="20"/>
      </w:rPr>
      <w:fldChar w:fldCharType="end"/>
    </w:r>
    <w:r>
      <w:rPr>
        <w:rFonts w:ascii="Arial" w:hAnsi="Arial" w:cs="Arial" w:eastAsia="Arial"/>
        <w:b w:val="0"/>
        <w:i w:val="0"/>
        <w:color w:val="000000"/>
        <w:sz w:val="20"/>
      </w:rPr>
      <w:t xml:space="preserve"> sur </w:t>
    </w:r>
    <w:r>
      <w:rPr>
        <w:rFonts w:ascii="Arial" w:hAnsi="Arial" w:cs="Arial" w:eastAsia="Arial"/>
        <w:b w:val="0"/>
        <w:i w:val="0"/>
        <w:color w:val="000000"/>
        <w:sz w:val="20"/>
      </w:rPr>
      <w:fldChar w:fldCharType="begin"/>
    </w:r>
    <w:r>
      <w:rPr>
        <w:rFonts w:ascii="Arial" w:hAnsi="Arial" w:cs="Arial" w:eastAsia="Arial"/>
        <w:b w:val="0"/>
        <w:i w:val="0"/>
        <w:color w:val="000000"/>
        <w:sz w:val="20"/>
      </w:rPr>
      <w:instrText xml:space="preserve"> NUMPAGES </w:instrText>
    </w:r>
    <w:r>
      <w:rPr>
        <w:rFonts w:ascii="Arial" w:hAnsi="Arial" w:cs="Arial" w:eastAsia="Arial"/>
        <w:b w:val="0"/>
        <w:i w:val="0"/>
        <w:color w:val="00000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rial" w:hAnsi="Arial" w:cs="Arial" w:eastAsia="Arial"/>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b w:val="0"/>
      <w:i w:val="0"/>
      <w:color w:val="000000"/>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b w:val="0"/>
      <w:i w:val="0"/>
      <w:color w:val="000000"/>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cs="Arial" w:eastAsia="Arial"/>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cs="Arial" w:eastAsia="Arial"/>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Arial" w:hAnsi="Arial" w:cs="Arial" w:eastAsia="Arial"/>
      <w:b/>
      <w:bCs/>
      <w:i w:val="0"/>
      <w:color w:val="000000"/>
      <w:sz w:val="20"/>
    </w:rPr>
  </w:style>
  <w:style w:type="character" w:default="1" w:styleId="DefaultParagraphFont">
    <w:name w:val="Default Paragraph Font"/>
    <w:uiPriority w:val="1"/>
    <w:semiHidden/>
    <w:unhideWhenUsed/>
    <w:rPr>
      <w:rFonts w:ascii="Arial" w:hAnsi="Arial" w:cs="Arial" w:eastAsia="Arial"/>
      <w:b w:val="0"/>
      <w:i w:val="0"/>
      <w:color w:val="000000"/>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d'hypothèses — DALLE-APPUYEE-01</dc:title>
  <dc:subject/>
  <dc:creator/>
  <cp:keywords/>
  <dc:description/>
  <cp:lastModifiedBy/>
  <cp:revision>1</cp:revision>
  <dcterms:created xsi:type="dcterms:W3CDTF">2013-12-23T23:15:00Z</dcterms:created>
  <dcterms:modified xsi:type="dcterms:W3CDTF">2013-12-23T23:15:00Z</dcterms:modified>
  <cp:category/>
</cp:coreProperties>
</file>