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Necessidades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n01- Comparação de hardware entre suas diversas tecnologias</w:t>
      </w:r>
    </w:p>
    <w:p>
      <w:pPr>
        <w:pStyle w:val="LOnormal"/>
        <w:rPr/>
      </w:pPr>
      <w:r>
        <w:rPr/>
        <w:t>n02-  Dar opções de tipos de orçamento para o cliente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W w:w="8670" w:type="dxa"/>
        <w:jc w:val="left"/>
        <w:tblInd w:w="0" w:type="dxa"/>
        <w:tblCellMar>
          <w:top w:w="0" w:type="dxa"/>
          <w:left w:w="0" w:type="dxa"/>
          <w:bottom w:w="30" w:type="dxa"/>
          <w:right w:w="0" w:type="dxa"/>
        </w:tblCellMar>
      </w:tblPr>
      <w:tblGrid>
        <w:gridCol w:w="1515"/>
        <w:gridCol w:w="4140"/>
        <w:gridCol w:w="1500"/>
        <w:gridCol w:w="1515"/>
      </w:tblGrid>
      <w:tr>
        <w:trPr/>
        <w:tc>
          <w:tcPr>
            <w:tcW w:w="1515" w:type="dxa"/>
            <w:tcBorders>
              <w:bottom w:val="single" w:sz="2" w:space="0" w:color="FF9900"/>
            </w:tcBorders>
            <w:shd w:fill="FF9900" w:val="clear"/>
            <w:vAlign w:val="center"/>
          </w:tcPr>
          <w:p>
            <w:pPr>
              <w:pStyle w:val="Contedodatabel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4140" w:type="dxa"/>
            <w:tcBorders>
              <w:bottom w:val="single" w:sz="2" w:space="0" w:color="FF9900"/>
            </w:tcBorders>
            <w:shd w:fill="FF9900" w:val="clear"/>
            <w:vAlign w:val="center"/>
          </w:tcPr>
          <w:p>
            <w:pPr>
              <w:pStyle w:val="Contedodatabel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Caracteristica</w:t>
            </w:r>
          </w:p>
        </w:tc>
        <w:tc>
          <w:tcPr>
            <w:tcW w:w="1500" w:type="dxa"/>
            <w:tcBorders>
              <w:bottom w:val="single" w:sz="2" w:space="0" w:color="FF9900"/>
            </w:tcBorders>
            <w:shd w:fill="FF9900" w:val="clear"/>
            <w:vAlign w:val="center"/>
          </w:tcPr>
          <w:p>
            <w:pPr>
              <w:pStyle w:val="Contedodatabel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n01</w:t>
            </w:r>
          </w:p>
        </w:tc>
        <w:tc>
          <w:tcPr>
            <w:tcW w:w="1515" w:type="dxa"/>
            <w:tcBorders>
              <w:bottom w:val="single" w:sz="2" w:space="0" w:color="FF9900"/>
            </w:tcBorders>
            <w:shd w:fill="FF9900" w:val="clear"/>
            <w:vAlign w:val="center"/>
          </w:tcPr>
          <w:p>
            <w:pPr>
              <w:pStyle w:val="Contedodatabela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n02</w:t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Cadastro de hardware(peças)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Cadastro de tecnico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Consultar por combinação por peça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serviço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Montagem de maquina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Custo beneficio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Melhor desempenho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rFonts w:ascii="Roboto" w:hAnsi="Roboto"/>
                <w:b w:val="false"/>
                <w:color w:val="000000"/>
              </w:rPr>
            </w:pPr>
            <w:r>
              <w:rPr>
                <w:rFonts w:ascii="Roboto" w:hAnsi="Roboto"/>
                <w:b w:val="false"/>
                <w:color w:val="000000"/>
              </w:rPr>
              <w:t>Custo beneficio:preço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Atualização de maquina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Pegar configuração do cliente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Valor da peça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api de compra de peça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Cadastro de loja parceira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Preferencia de lojas parceiras na api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>
        <w:trPr/>
        <w:tc>
          <w:tcPr>
            <w:tcW w:w="1515" w:type="dxa"/>
            <w:tcBorders>
              <w:left w:val="single" w:sz="2" w:space="0" w:color="FF9900"/>
              <w:bottom w:val="single" w:sz="2" w:space="0" w:color="FF9900"/>
              <w:right w:val="single" w:sz="2" w:space="0" w:color="FF9900"/>
            </w:tcBorders>
            <w:shd w:fill="FFF2CC" w:val="clear"/>
            <w:tcMar>
              <w:left w:w="45" w:type="dxa"/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14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Adição de um campo de feedback/contato</w:t>
            </w:r>
          </w:p>
        </w:tc>
        <w:tc>
          <w:tcPr>
            <w:tcW w:w="1500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1515" w:type="dxa"/>
            <w:tcBorders>
              <w:bottom w:val="single" w:sz="2" w:space="0" w:color="FF9900"/>
              <w:right w:val="single" w:sz="2" w:space="0" w:color="FF9900"/>
            </w:tcBorders>
            <w:shd w:fill="FFF2CC" w:val="clear"/>
            <w:tcMar>
              <w:right w:w="45" w:type="dxa"/>
            </w:tcMar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LibreOffice/6.3.2.2$Windows_X86_64 LibreOffice_project/98b30e735bda24bc04ab42594c85f7fd8be07b9c</Application>
  <Pages>1</Pages>
  <Words>109</Words>
  <Characters>478</Characters>
  <CharactersWithSpaces>534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2020-10-21T20:15:16Z</dcterms:modified>
  <cp:revision>2</cp:revision>
  <dc:subject/>
  <dc:title/>
</cp:coreProperties>
</file>