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Per-tenant observability: the basics</w:t>
      </w:r>
    </w:p>
    <w:p>
      <w:pPr>
        <w:pBdr>
          <w:left w:val="single" w:color="2E5C8A" w:sz="24" w:space="8"/>
        </w:pBdr>
        <w:shd w:fill="EEF4FB" w:color="auto" w:val="clear"/>
        <w:spacing w:after="220" w:before="120"/>
        <w:ind w:left="180" w:right="120"/>
      </w:pPr>
      <w:r>
        <w:rPr>
          <w:b/>
          <w:bCs/>
          <w:color w:val="2E5C8A"/>
        </w:rPr>
        <w:t xml:space="preserve">In 30 seconds  </w:t>
      </w:r>
      <w:r>
        <w:t xml:space="preserve">All four signals (logs, metrics, traces and profiles) land in shared backends: Loki, Mimir, Tempo and Pyroscope. Each backend keeps tenants apart, and each Grafana organization sees exactly the tenants the platform gave it: our Tenant A org sees tenant a </w:t>
      </w:r>
      <w:r>
        <w:rPr>
          <w:b/>
          <w:bCs/>
        </w:rPr>
        <w:t xml:space="preserve">and tenant c</w:t>
      </w:r>
      <w:r>
        <w:t xml:space="preserve"> (tenant a uses tenant c's services), Tenant B sees only tenant b, and the platform team sees everything. The catch: none of the backends checks who is asking, so the platform decides the tenants at every step.</w:t>
      </w:r>
    </w:p>
    <w:p>
      <w:pPr>
        <w:pBdr>
          <w:left w:val="single" w:color="2E5C8A" w:sz="24" w:space="8"/>
        </w:pBdr>
        <w:shd w:fill="EEF4FB" w:color="auto" w:val="clear"/>
        <w:spacing w:after="220" w:before="120"/>
        <w:ind w:left="180" w:right="120"/>
      </w:pPr>
      <w:r>
        <w:rPr>
          <w:b/>
          <w:bCs/>
          <w:color w:val="2E5C8A"/>
        </w:rPr>
        <w:t xml:space="preserve">Which gateway?  </w:t>
      </w:r>
      <w:r>
        <w:t xml:space="preserve">On this page, "the gateway" means obs-gateway: an internal kgateway Gateway that turns an API key into a tenant. It is separate from the ingress Gateways of part 1, but runs on the same kgateway controller. Grafana itself is published through the platform's ingress Gateway.</w:t>
      </w:r>
    </w:p>
    <w:p>
      <w:pPr>
        <w:pStyle w:val="Heading2"/>
      </w:pPr>
      <w:r>
        <w:t xml:space="preserve">The picture</w:t>
      </w:r>
    </w:p>
    <w:p>
      <w:pPr>
        <w:keepNext/>
        <w:spacing w:after="40" w:before="120"/>
        <w:jc w:val="center"/>
      </w:pPr>
      <w:r>
        <w:drawing>
          <wp:inline distT="0" distB="0" distL="0" distR="0">
            <wp:extent cx="6191250" cy="3933825"/>
            <wp:effectExtent t="0" r="0" b="0" l="0"/>
            <wp:docPr id="1" name="obs-overview" descr="Write path from tenant pods through Alloy and per-tenant OTLP receivers to four backends; read path through Grafana and the gateway" title="Write path from tenant pods through Alloy and per-tenant OTLP receivers to four backends; read path through Grafana and the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extLst>
                        <a:ext uri="{96DAC541-7B7A-43D3-8B79-37D633B846F1}">
                          <asvg:svgBlip xmlns:asvg="http://schemas.microsoft.com/office/drawing/2016/SVG/main" r:embed="rId7"/>
                        </a:ext>
                      </a:extLst>
                    </a:blip>
                    <a:srcRect/>
                    <a:stretch>
                      <a:fillRect/>
                    </a:stretch>
                  </pic:blipFill>
                  <pic:spPr bwMode="auto">
                    <a:xfrm>
                      <a:off x="0" y="0"/>
                      <a:ext cx="6191250" cy="3933825"/>
                    </a:xfrm>
                    <a:prstGeom prst="rect">
                      <a:avLst/>
                    </a:prstGeom>
                  </pic:spPr>
                </pic:pic>
              </a:graphicData>
            </a:graphic>
          </wp:inline>
        </w:drawing>
      </w:r>
    </w:p>
    <w:p>
      <w:pPr>
        <w:spacing w:after="240"/>
        <w:jc w:val="center"/>
      </w:pPr>
      <w:r>
        <w:rPr>
          <w:i/>
          <w:iCs/>
          <w:color w:val="5F6B7A"/>
          <w:sz w:val="16"/>
          <w:szCs w:val="16"/>
        </w:rPr>
        <w:t xml:space="preserve">Diagram: images/obs-overview.svg (or .png)</w:t>
      </w:r>
    </w:p>
    <w:p>
      <w:pPr>
        <w:pStyle w:val="ListParagraph"/>
        <w:numPr>
          <w:ilvl w:val="0"/>
          <w:numId w:val="2"/>
        </w:numPr>
        <w:spacing w:after="70"/>
      </w:pPr>
      <w:r>
        <w:rPr>
          <w:b/>
          <w:bCs/>
        </w:rPr>
        <w:t xml:space="preserve">Write path:</w:t>
      </w:r>
      <w:r>
        <w:t xml:space="preserve"> the platform collects logs, metrics and profiles itself. Apps push only traces, and only to their tenant's own receiver. Data always lands in the tenant that produced it.</w:t>
      </w:r>
    </w:p>
    <w:p>
      <w:pPr>
        <w:pStyle w:val="ListParagraph"/>
        <w:numPr>
          <w:ilvl w:val="0"/>
          <w:numId w:val="2"/>
        </w:numPr>
        <w:spacing w:after="70"/>
      </w:pPr>
      <w:r>
        <w:rPr>
          <w:b/>
          <w:bCs/>
        </w:rPr>
        <w:t xml:space="preserve">Read path:</w:t>
      </w:r>
      <w:r>
        <w:t xml:space="preserve"> a user logs into Grafana, lands in their organization, and every query goes through that org's </w:t>
      </w:r>
      <w:r>
        <w:rPr>
          <w:b/>
          <w:bCs/>
        </w:rPr>
        <w:t xml:space="preserve">view</w:t>
      </w:r>
      <w:r>
        <w:t xml:space="preserve"> on the gateway. The view is a path, opened only by that org's API key, and it decides which tenants the backends are asked for.</w:t>
      </w:r>
    </w:p>
    <w:p>
      <w:pPr>
        <w:pStyle w:val="ListParagraph"/>
        <w:numPr>
          <w:ilvl w:val="0"/>
          <w:numId w:val="2"/>
        </w:numPr>
        <w:spacing w:after="70"/>
      </w:pPr>
      <w:r>
        <w:rPr>
          <w:b/>
          <w:bCs/>
        </w:rPr>
        <w:t xml:space="preserve">Backends:</w:t>
      </w:r>
      <w:r>
        <w:t xml:space="preserve"> Loki, Mimir, Tempo and Pyroscope store and search every tenant separately, and the first three can answer for several tenants in one query.</w:t>
      </w:r>
    </w:p>
    <w:p>
      <w:pPr>
        <w:pStyle w:val="Heading2"/>
      </w:pPr>
      <w:r>
        <w:t xml:space="preserve">The Grafana stack in one minute</w:t>
      </w:r>
    </w:p>
    <w:tbl>
      <w:tblPr>
        <w:tblW w:type="dxa" w:w="9746"/>
        <w:tblBorders>
          <w:top w:val="single" w:color="BFC8D4" w:sz="4"/>
          <w:left w:val="single" w:color="BFC8D4" w:sz="4"/>
          <w:bottom w:val="single" w:color="BFC8D4" w:sz="4"/>
          <w:right w:val="single" w:color="BFC8D4" w:sz="4"/>
          <w:insideH w:val="single" w:color="BFC8D4" w:sz="4"/>
          <w:insideV w:val="single" w:color="BFC8D4" w:sz="4"/>
        </w:tblBorders>
      </w:tblPr>
      <w:tblGrid>
        <w:gridCol w:w="1400"/>
        <w:gridCol w:w="1500"/>
        <w:gridCol w:w="4046"/>
        <w:gridCol w:w="2800"/>
      </w:tblGrid>
      <w:tr>
        <w:trPr>
          <w:tblHeader/>
        </w:trPr>
        <w:tc>
          <w:tcPr>
            <w:tcW w:type="dxa" w:w="1400"/>
            <w:shd w:fill="DCE6F1" w:color="auto" w:val="clear"/>
            <w:tcMar>
              <w:top w:type="dxa" w:w="70"/>
              <w:left w:type="dxa" w:w="110"/>
              <w:bottom w:type="dxa" w:w="70"/>
              <w:right w:type="dxa" w:w="110"/>
            </w:tcMar>
          </w:tcPr>
          <w:p>
            <w:pPr>
              <w:spacing w:after="0"/>
            </w:pPr>
            <w:r>
              <w:rPr>
                <w:b/>
                <w:bCs/>
              </w:rPr>
              <w:t xml:space="preserve">Signal</w:t>
            </w:r>
          </w:p>
        </w:tc>
        <w:tc>
          <w:tcPr>
            <w:tcW w:type="dxa" w:w="1500"/>
            <w:shd w:fill="DCE6F1" w:color="auto" w:val="clear"/>
            <w:tcMar>
              <w:top w:type="dxa" w:w="70"/>
              <w:left w:type="dxa" w:w="110"/>
              <w:bottom w:type="dxa" w:w="70"/>
              <w:right w:type="dxa" w:w="110"/>
            </w:tcMar>
          </w:tcPr>
          <w:p>
            <w:pPr>
              <w:spacing w:after="0"/>
            </w:pPr>
            <w:r>
              <w:rPr>
                <w:b/>
                <w:bCs/>
              </w:rPr>
              <w:t xml:space="preserve">Backend</w:t>
            </w:r>
          </w:p>
        </w:tc>
        <w:tc>
          <w:tcPr>
            <w:tcW w:type="dxa" w:w="4046"/>
            <w:shd w:fill="DCE6F1" w:color="auto" w:val="clear"/>
            <w:tcMar>
              <w:top w:type="dxa" w:w="70"/>
              <w:left w:type="dxa" w:w="110"/>
              <w:bottom w:type="dxa" w:w="70"/>
              <w:right w:type="dxa" w:w="110"/>
            </w:tcMar>
          </w:tcPr>
          <w:p>
            <w:pPr>
              <w:spacing w:after="0"/>
            </w:pPr>
            <w:r>
              <w:rPr>
                <w:b/>
                <w:bCs/>
              </w:rPr>
              <w:t xml:space="preserve">Collected by</w:t>
            </w:r>
          </w:p>
        </w:tc>
        <w:tc>
          <w:tcPr>
            <w:tcW w:type="dxa" w:w="2800"/>
            <w:shd w:fill="DCE6F1" w:color="auto" w:val="clear"/>
            <w:tcMar>
              <w:top w:type="dxa" w:w="70"/>
              <w:left w:type="dxa" w:w="110"/>
              <w:bottom w:type="dxa" w:w="70"/>
              <w:right w:type="dxa" w:w="110"/>
            </w:tcMar>
          </w:tcPr>
          <w:p>
            <w:pPr>
              <w:spacing w:after="0"/>
            </w:pPr>
            <w:r>
              <w:rPr>
                <w:b/>
                <w:bCs/>
              </w:rPr>
              <w:t xml:space="preserve">Tenant decided by</w:t>
            </w:r>
          </w:p>
        </w:tc>
      </w:tr>
      <w:tr>
        <w:trPr>
          <w:cantSplit/>
        </w:trPr>
        <w:tc>
          <w:tcPr>
            <w:tcW w:type="dxa" w:w="1400"/>
            <w:tcMar>
              <w:top w:type="dxa" w:w="70"/>
              <w:left w:type="dxa" w:w="110"/>
              <w:bottom w:type="dxa" w:w="70"/>
              <w:right w:type="dxa" w:w="110"/>
            </w:tcMar>
          </w:tcPr>
          <w:p>
            <w:pPr>
              <w:spacing w:after="0"/>
            </w:pPr>
            <w:r>
              <w:t xml:space="preserve">Logs</w:t>
            </w:r>
          </w:p>
        </w:tc>
        <w:tc>
          <w:tcPr>
            <w:tcW w:type="dxa" w:w="1500"/>
            <w:tcMar>
              <w:top w:type="dxa" w:w="70"/>
              <w:left w:type="dxa" w:w="110"/>
              <w:bottom w:type="dxa" w:w="70"/>
              <w:right w:type="dxa" w:w="110"/>
            </w:tcMar>
          </w:tcPr>
          <w:p>
            <w:pPr>
              <w:spacing w:after="0"/>
            </w:pPr>
            <w:r>
              <w:t xml:space="preserve">Loki</w:t>
            </w:r>
          </w:p>
        </w:tc>
        <w:tc>
          <w:tcPr>
            <w:tcW w:type="dxa" w:w="4046"/>
            <w:tcMar>
              <w:top w:type="dxa" w:w="70"/>
              <w:left w:type="dxa" w:w="110"/>
              <w:bottom w:type="dxa" w:w="70"/>
              <w:right w:type="dxa" w:w="110"/>
            </w:tcMar>
          </w:tcPr>
          <w:p>
            <w:pPr>
              <w:spacing w:after="0"/>
            </w:pPr>
            <w:r>
              <w:t xml:space="preserve">Alloy reads container log files on each node</w:t>
            </w:r>
          </w:p>
        </w:tc>
        <w:tc>
          <w:tcPr>
            <w:tcW w:type="dxa" w:w="2800"/>
            <w:tcMar>
              <w:top w:type="dxa" w:w="70"/>
              <w:left w:type="dxa" w:w="110"/>
              <w:bottom w:type="dxa" w:w="70"/>
              <w:right w:type="dxa" w:w="110"/>
            </w:tcMar>
          </w:tcPr>
          <w:p>
            <w:pPr>
              <w:spacing w:after="0"/>
            </w:pPr>
            <w:r>
              <w:t xml:space="preserve">the namespace name</w:t>
            </w:r>
          </w:p>
        </w:tc>
      </w:tr>
      <w:tr>
        <w:trPr>
          <w:cantSplit/>
        </w:trPr>
        <w:tc>
          <w:tcPr>
            <w:tcW w:type="dxa" w:w="1400"/>
            <w:tcMar>
              <w:top w:type="dxa" w:w="70"/>
              <w:left w:type="dxa" w:w="110"/>
              <w:bottom w:type="dxa" w:w="70"/>
              <w:right w:type="dxa" w:w="110"/>
            </w:tcMar>
          </w:tcPr>
          <w:p>
            <w:pPr>
              <w:spacing w:after="0"/>
            </w:pPr>
            <w:r>
              <w:t xml:space="preserve">Metrics</w:t>
            </w:r>
          </w:p>
        </w:tc>
        <w:tc>
          <w:tcPr>
            <w:tcW w:type="dxa" w:w="1500"/>
            <w:tcMar>
              <w:top w:type="dxa" w:w="70"/>
              <w:left w:type="dxa" w:w="110"/>
              <w:bottom w:type="dxa" w:w="70"/>
              <w:right w:type="dxa" w:w="110"/>
            </w:tcMar>
          </w:tcPr>
          <w:p>
            <w:pPr>
              <w:spacing w:after="0"/>
            </w:pPr>
            <w:r>
              <w:t xml:space="preserve">Mimir</w:t>
            </w:r>
          </w:p>
        </w:tc>
        <w:tc>
          <w:tcPr>
            <w:tcW w:type="dxa" w:w="4046"/>
            <w:tcMar>
              <w:top w:type="dxa" w:w="70"/>
              <w:left w:type="dxa" w:w="110"/>
              <w:bottom w:type="dxa" w:w="70"/>
              <w:right w:type="dxa" w:w="110"/>
            </w:tcMar>
          </w:tcPr>
          <w:p>
            <w:pPr>
              <w:spacing w:after="0"/>
            </w:pPr>
            <w:r>
              <w:t xml:space="preserve">Alloy scrapes </w:t>
            </w:r>
            <w:r>
              <w:rPr>
                <w:rFonts w:ascii="Consolas" w:cs="Consolas" w:eastAsia="Consolas" w:hAnsi="Consolas"/>
                <w:sz w:val="19"/>
                <w:szCs w:val="19"/>
              </w:rPr>
              <w:t xml:space="preserve">/metrics</w:t>
            </w:r>
            <w:r>
              <w:t xml:space="preserve"> of pods that opt in</w:t>
            </w:r>
          </w:p>
        </w:tc>
        <w:tc>
          <w:tcPr>
            <w:tcW w:type="dxa" w:w="2800"/>
            <w:tcMar>
              <w:top w:type="dxa" w:w="70"/>
              <w:left w:type="dxa" w:w="110"/>
              <w:bottom w:type="dxa" w:w="70"/>
              <w:right w:type="dxa" w:w="110"/>
            </w:tcMar>
          </w:tcPr>
          <w:p>
            <w:pPr>
              <w:spacing w:after="0"/>
            </w:pPr>
            <w:r>
              <w:t xml:space="preserve">the namespace name</w:t>
            </w:r>
          </w:p>
        </w:tc>
      </w:tr>
      <w:tr>
        <w:trPr>
          <w:cantSplit/>
        </w:trPr>
        <w:tc>
          <w:tcPr>
            <w:tcW w:type="dxa" w:w="1400"/>
            <w:tcMar>
              <w:top w:type="dxa" w:w="70"/>
              <w:left w:type="dxa" w:w="110"/>
              <w:bottom w:type="dxa" w:w="70"/>
              <w:right w:type="dxa" w:w="110"/>
            </w:tcMar>
          </w:tcPr>
          <w:p>
            <w:pPr>
              <w:spacing w:after="0"/>
            </w:pPr>
            <w:r>
              <w:t xml:space="preserve">Profiles</w:t>
            </w:r>
          </w:p>
        </w:tc>
        <w:tc>
          <w:tcPr>
            <w:tcW w:type="dxa" w:w="1500"/>
            <w:tcMar>
              <w:top w:type="dxa" w:w="70"/>
              <w:left w:type="dxa" w:w="110"/>
              <w:bottom w:type="dxa" w:w="70"/>
              <w:right w:type="dxa" w:w="110"/>
            </w:tcMar>
          </w:tcPr>
          <w:p>
            <w:pPr>
              <w:spacing w:after="0"/>
            </w:pPr>
            <w:r>
              <w:t xml:space="preserve">Pyroscope</w:t>
            </w:r>
          </w:p>
        </w:tc>
        <w:tc>
          <w:tcPr>
            <w:tcW w:type="dxa" w:w="4046"/>
            <w:tcMar>
              <w:top w:type="dxa" w:w="70"/>
              <w:left w:type="dxa" w:w="110"/>
              <w:bottom w:type="dxa" w:w="70"/>
              <w:right w:type="dxa" w:w="110"/>
            </w:tcMar>
          </w:tcPr>
          <w:p>
            <w:pPr>
              <w:spacing w:after="0"/>
            </w:pPr>
            <w:r>
              <w:t xml:space="preserve">Alloy scrapes </w:t>
            </w:r>
            <w:r>
              <w:rPr>
                <w:rFonts w:ascii="Consolas" w:cs="Consolas" w:eastAsia="Consolas" w:hAnsi="Consolas"/>
                <w:sz w:val="19"/>
                <w:szCs w:val="19"/>
              </w:rPr>
              <w:t xml:space="preserve">/debug/pprof</w:t>
            </w:r>
            <w:r>
              <w:t xml:space="preserve"> of pods that opt in</w:t>
            </w:r>
          </w:p>
        </w:tc>
        <w:tc>
          <w:tcPr>
            <w:tcW w:type="dxa" w:w="2800"/>
            <w:tcMar>
              <w:top w:type="dxa" w:w="70"/>
              <w:left w:type="dxa" w:w="110"/>
              <w:bottom w:type="dxa" w:w="70"/>
              <w:right w:type="dxa" w:w="110"/>
            </w:tcMar>
          </w:tcPr>
          <w:p>
            <w:pPr>
              <w:spacing w:after="0"/>
            </w:pPr>
            <w:r>
              <w:t xml:space="preserve">the namespace name</w:t>
            </w:r>
          </w:p>
        </w:tc>
      </w:tr>
      <w:tr>
        <w:trPr>
          <w:cantSplit/>
        </w:trPr>
        <w:tc>
          <w:tcPr>
            <w:tcW w:type="dxa" w:w="1400"/>
            <w:tcMar>
              <w:top w:type="dxa" w:w="70"/>
              <w:left w:type="dxa" w:w="110"/>
              <w:bottom w:type="dxa" w:w="70"/>
              <w:right w:type="dxa" w:w="110"/>
            </w:tcMar>
          </w:tcPr>
          <w:p>
            <w:pPr>
              <w:spacing w:after="0"/>
            </w:pPr>
            <w:r>
              <w:t xml:space="preserve">Traces</w:t>
            </w:r>
          </w:p>
        </w:tc>
        <w:tc>
          <w:tcPr>
            <w:tcW w:type="dxa" w:w="1500"/>
            <w:tcMar>
              <w:top w:type="dxa" w:w="70"/>
              <w:left w:type="dxa" w:w="110"/>
              <w:bottom w:type="dxa" w:w="70"/>
              <w:right w:type="dxa" w:w="110"/>
            </w:tcMar>
          </w:tcPr>
          <w:p>
            <w:pPr>
              <w:spacing w:after="0"/>
            </w:pPr>
            <w:r>
              <w:t xml:space="preserve">Tempo</w:t>
            </w:r>
          </w:p>
        </w:tc>
        <w:tc>
          <w:tcPr>
            <w:tcW w:type="dxa" w:w="4046"/>
            <w:tcMar>
              <w:top w:type="dxa" w:w="70"/>
              <w:left w:type="dxa" w:w="110"/>
              <w:bottom w:type="dxa" w:w="70"/>
              <w:right w:type="dxa" w:w="110"/>
            </w:tcMar>
          </w:tcPr>
          <w:p>
            <w:pPr>
              <w:spacing w:after="0"/>
            </w:pPr>
            <w:r>
              <w:t xml:space="preserve">the app pushes OTLP to its tenant's receiver</w:t>
            </w:r>
          </w:p>
        </w:tc>
        <w:tc>
          <w:tcPr>
            <w:tcW w:type="dxa" w:w="2800"/>
            <w:tcMar>
              <w:top w:type="dxa" w:w="70"/>
              <w:left w:type="dxa" w:w="110"/>
              <w:bottom w:type="dxa" w:w="70"/>
              <w:right w:type="dxa" w:w="110"/>
            </w:tcMar>
          </w:tcPr>
          <w:p>
            <w:pPr>
              <w:spacing w:after="0"/>
            </w:pPr>
            <w:r>
              <w:t xml:space="preserve">which receiver the pod can reach</w:t>
            </w:r>
          </w:p>
        </w:tc>
      </w:tr>
    </w:tbl>
    <w:p>
      <w:pPr>
        <w:spacing w:after="160"/>
      </w:pPr>
    </w:p>
    <w:p>
      <w:pPr>
        <w:spacing w:after="140"/>
      </w:pPr>
      <w:r>
        <w:t xml:space="preserve">All four backends are multi-tenant the same way: every write and every query carries an HTTP header, </w:t>
      </w:r>
      <w:r>
        <w:rPr>
          <w:rFonts w:ascii="Consolas" w:cs="Consolas" w:eastAsia="Consolas" w:hAnsi="Consolas"/>
          <w:sz w:val="19"/>
          <w:szCs w:val="19"/>
        </w:rPr>
        <w:t xml:space="preserve">X-Scope-OrgID</w:t>
      </w:r>
      <w:r>
        <w:t xml:space="preserve">, that names the tenant. One switch each turns it on:</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40"/>
        <w:ind w:left="100" w:right="100"/>
      </w:pPr>
      <w:r>
        <w:rPr>
          <w:rFonts w:ascii="Consolas" w:cs="Consolas" w:eastAsia="Consolas" w:hAnsi="Consolas"/>
          <w:color w:val="24292F"/>
          <w:sz w:val="16"/>
          <w:szCs w:val="16"/>
        </w:rPr>
        <w:t xml:space="preserve">loki:  auth_enabled: true                  # logs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mimir: multitenancy_enabled: true          # metrics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tempo: multitenancy_enabled: true          # traces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200" w:before="0" w:line="240"/>
        <w:ind w:left="100" w:right="100"/>
      </w:pPr>
      <w:r>
        <w:rPr>
          <w:rFonts w:ascii="Consolas" w:cs="Consolas" w:eastAsia="Consolas" w:hAnsi="Consolas"/>
          <w:color w:val="24292F"/>
          <w:sz w:val="16"/>
          <w:szCs w:val="16"/>
        </w:rPr>
        <w:t xml:space="preserve">pyroscope: -auth.multitenancy-enabled      # profiles</w:t>
      </w:r>
    </w:p>
    <w:p>
      <w:pPr>
        <w:pStyle w:val="Heading2"/>
      </w:pPr>
      <w:r>
        <w:t xml:space="preserve">The catch: every backend believes the header</w:t>
      </w:r>
    </w:p>
    <w:p>
      <w:pPr>
        <w:keepNext/>
        <w:spacing w:after="40" w:before="120"/>
        <w:jc w:val="center"/>
      </w:pPr>
      <w:r>
        <w:drawing>
          <wp:inline distT="0" distB="0" distL="0" distR="0">
            <wp:extent cx="6191250" cy="3028950"/>
            <wp:effectExtent t="0" r="0" b="0" l="0"/>
            <wp:docPr id="1" name="obs-gateway" descr="Without a gateway anyone can claim any tenant; with the gateway the tenant comes from the API key" title="Without a gateway anyone can claim any tenant; with the gateway the tenant comes from the API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extLst>
                        <a:ext uri="{96DAC541-7B7A-43D3-8B79-37D633B846F1}">
                          <asvg:svgBlip xmlns:asvg="http://schemas.microsoft.com/office/drawing/2016/SVG/main" r:embed="rId9"/>
                        </a:ext>
                      </a:extLst>
                    </a:blip>
                    <a:srcRect/>
                    <a:stretch>
                      <a:fillRect/>
                    </a:stretch>
                  </pic:blipFill>
                  <pic:spPr bwMode="auto">
                    <a:xfrm>
                      <a:off x="0" y="0"/>
                      <a:ext cx="6191250" cy="3028950"/>
                    </a:xfrm>
                    <a:prstGeom prst="rect">
                      <a:avLst/>
                    </a:prstGeom>
                  </pic:spPr>
                </pic:pic>
              </a:graphicData>
            </a:graphic>
          </wp:inline>
        </w:drawing>
      </w:r>
    </w:p>
    <w:p>
      <w:pPr>
        <w:spacing w:after="240"/>
        <w:jc w:val="center"/>
      </w:pPr>
      <w:r>
        <w:rPr>
          <w:i/>
          <w:iCs/>
          <w:color w:val="5F6B7A"/>
          <w:sz w:val="16"/>
          <w:szCs w:val="16"/>
        </w:rPr>
        <w:t xml:space="preserve">Diagram: images/obs-gateway.svg (or .png)</w:t>
      </w:r>
    </w:p>
    <w:p>
      <w:pPr>
        <w:spacing w:after="140"/>
      </w:pPr>
      <w:r>
        <w:t xml:space="preserve">None of the backends authenticates anyone. </w:t>
      </w:r>
      <w:r>
        <w:rPr>
          <w:rFonts w:ascii="Consolas" w:cs="Consolas" w:eastAsia="Consolas" w:hAnsi="Consolas"/>
          <w:sz w:val="19"/>
          <w:szCs w:val="19"/>
        </w:rPr>
        <w:t xml:space="preserve">X-Scope-OrgID</w:t>
      </w:r>
      <w:r>
        <w:t xml:space="preserve"> is just a claim, so anything that can reach a backend could claim to be tenant-b and read its data, or </w:t>
      </w:r>
      <w:r>
        <w:rPr>
          <w:b/>
          <w:bCs/>
        </w:rPr>
        <w:t xml:space="preserve">write fake data</w:t>
      </w:r>
      <w:r>
        <w:t xml:space="preserve"> into tenant-a. That is why users never talk to the backends directly. Every query goes through obs-gateway, a kgateway Gateway, on a path that belongs to one Grafana org. The path (the </w:t>
      </w:r>
      <w:r>
        <w:rPr>
          <w:b/>
          <w:bCs/>
        </w:rPr>
        <w:t xml:space="preserve">view</w:t>
      </w:r>
      <w:r>
        <w:t xml:space="preserve">) sets the header, and only that org's key opens it:</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40"/>
        <w:ind w:left="100" w:right="100"/>
      </w:pPr>
      <w:r>
        <w:rPr>
          <w:rFonts w:ascii="Consolas" w:cs="Consolas" w:eastAsia="Consolas" w:hAnsi="Consolas"/>
          <w:color w:val="24292F"/>
          <w:sz w:val="16"/>
          <w:szCs w:val="16"/>
        </w:rPr>
        <w:t xml:space="preserve"># the route for Tenant A's view: /tenant-a/loki/... -&gt; Loki, as tenant-a|tenant-c</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filters: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 type: RequestHeaderModifier      # SETS it: whatever the caller sent is replaced</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requestHeaderModifier:</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set: [{name: X-Scope-OrgID, value: "tenant-a|tenant-c"}]</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 type: URLRewrite                 # strip the view before forwarding</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urlRewrite:</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path: {type: ReplacePrefixMatch, replacePrefixMatch: /loki/api/v1}</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the policy on that route: only Tenant A's key opens it</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apiKeyAuth:</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secretRef: {name: obs-key-tenant-a}</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keySources: [{header: X-Api-Key}]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200" w:before="0" w:line="240"/>
        <w:ind w:left="100" w:right="100"/>
      </w:pPr>
      <w:r>
        <w:rPr>
          <w:rFonts w:ascii="Consolas" w:cs="Consolas" w:eastAsia="Consolas" w:hAnsi="Consolas"/>
          <w:color w:val="24292F"/>
          <w:sz w:val="16"/>
          <w:szCs w:val="16"/>
        </w:rPr>
        <w:t xml:space="preserve">  forwardCredential: false           # the key never reaches the backends</w:t>
      </w:r>
    </w:p>
    <w:p>
      <w:pPr>
        <w:spacing w:after="140"/>
      </w:pPr>
      <w:r>
        <w:t xml:space="preserve">So Tenant B's key on </w:t>
      </w:r>
      <w:r>
        <w:rPr>
          <w:rFonts w:ascii="Consolas" w:cs="Consolas" w:eastAsia="Consolas" w:hAnsi="Consolas"/>
          <w:sz w:val="19"/>
          <w:szCs w:val="19"/>
        </w:rPr>
        <w:t xml:space="preserve">/tenant-a/...</w:t>
      </w:r>
      <w:r>
        <w:t xml:space="preserve"> gets 401, and a caller that adds its own </w:t>
      </w:r>
      <w:r>
        <w:rPr>
          <w:rFonts w:ascii="Consolas" w:cs="Consolas" w:eastAsia="Consolas" w:hAnsi="Consolas"/>
          <w:sz w:val="19"/>
          <w:szCs w:val="19"/>
        </w:rPr>
        <w:t xml:space="preserve">X-Scope-OrgID</w:t>
      </w:r>
      <w:r>
        <w:t xml:space="preserve"> gets it overwritten. Envoy normalizes paths first, so </w:t>
      </w:r>
      <w:r>
        <w:rPr>
          <w:rFonts w:ascii="Consolas" w:cs="Consolas" w:eastAsia="Consolas" w:hAnsi="Consolas"/>
          <w:sz w:val="19"/>
          <w:szCs w:val="19"/>
        </w:rPr>
        <w:t xml:space="preserve">/tenant-a/../tenant-b/...</w:t>
      </w:r>
      <w:r>
        <w:t xml:space="preserve"> </w:t>
      </w:r>
      <w:r>
        <w:rPr>
          <w:b/>
          <w:bCs/>
        </w:rPr>
        <w:t xml:space="preserve">is</w:t>
      </w:r>
      <w:r>
        <w:t xml:space="preserve"> </w:t>
      </w:r>
      <w:r>
        <w:rPr>
          <w:rFonts w:ascii="Consolas" w:cs="Consolas" w:eastAsia="Consolas" w:hAnsi="Consolas"/>
          <w:sz w:val="19"/>
          <w:szCs w:val="19"/>
        </w:rPr>
        <w:t xml:space="preserve">/tenant-b/...</w:t>
      </w:r>
      <w:r>
        <w:t xml:space="preserve">, which Tenant A's key does not open. That matters because Grafana Editors can send arbitrary paths through a data source.</w:t>
      </w:r>
    </w:p>
    <w:p>
      <w:pPr>
        <w:pStyle w:val="Heading2"/>
      </w:pPr>
      <w:r>
        <w:t xml:space="preserve">Logs, metrics, profiles: pulled by the platform</w:t>
      </w:r>
    </w:p>
    <w:p>
      <w:pPr>
        <w:keepNext/>
        <w:spacing w:after="40" w:before="120"/>
        <w:jc w:val="center"/>
      </w:pPr>
      <w:r>
        <w:drawing>
          <wp:inline distT="0" distB="0" distL="0" distR="0">
            <wp:extent cx="6191250" cy="2771775"/>
            <wp:effectExtent t="0" r="0" b="0" l="0"/>
            <wp:docPr id="1" name="obs-mapping" descr="Alloy maps namespaces to tenants; unmatched namespaces go to platform" title="Alloy maps namespaces to tenants; unmatched namespaces go to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extLst>
                        <a:ext uri="{96DAC541-7B7A-43D3-8B79-37D633B846F1}">
                          <asvg:svgBlip xmlns:asvg="http://schemas.microsoft.com/office/drawing/2016/SVG/main" r:embed="rId11"/>
                        </a:ext>
                      </a:extLst>
                    </a:blip>
                    <a:srcRect/>
                    <a:stretch>
                      <a:fillRect/>
                    </a:stretch>
                  </pic:blipFill>
                  <pic:spPr bwMode="auto">
                    <a:xfrm>
                      <a:off x="0" y="0"/>
                      <a:ext cx="6191250" cy="2771775"/>
                    </a:xfrm>
                    <a:prstGeom prst="rect">
                      <a:avLst/>
                    </a:prstGeom>
                  </pic:spPr>
                </pic:pic>
              </a:graphicData>
            </a:graphic>
          </wp:inline>
        </w:drawing>
      </w:r>
    </w:p>
    <w:p>
      <w:pPr>
        <w:spacing w:after="240"/>
        <w:jc w:val="center"/>
      </w:pPr>
      <w:r>
        <w:rPr>
          <w:i/>
          <w:iCs/>
          <w:color w:val="5F6B7A"/>
          <w:sz w:val="16"/>
          <w:szCs w:val="16"/>
        </w:rPr>
        <w:t xml:space="preserve">Diagram: images/obs-mapping.svg (or .png)</w:t>
      </w:r>
    </w:p>
    <w:p>
      <w:pPr>
        <w:spacing w:after="140"/>
      </w:pPr>
      <w:r>
        <w:t xml:space="preserve">Tenants never send these signals anywhere. Alloy, one per node, reads the log files from the node's disk and scrapes the pods that opted in. It picks the tenant from the </w:t>
      </w:r>
      <w:r>
        <w:rPr>
          <w:b/>
          <w:bCs/>
        </w:rPr>
        <w:t xml:space="preserve">namespace name</w:t>
      </w:r>
      <w:r>
        <w:t xml:space="preserve">, which only the platform team controls. Anything that does not match a tenant goes to </w:t>
      </w:r>
      <w:r>
        <w:rPr>
          <w:rFonts w:ascii="Consolas" w:cs="Consolas" w:eastAsia="Consolas" w:hAnsi="Consolas"/>
          <w:sz w:val="19"/>
          <w:szCs w:val="19"/>
        </w:rPr>
        <w:t xml:space="preserve">platform</w:t>
      </w:r>
      <w:r>
        <w:t xml:space="preserve">, never to another tenant. Each tenant is one block in Alloy's configuration:</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40"/>
        <w:ind w:left="100" w:right="100"/>
      </w:pPr>
      <w:r>
        <w:rPr>
          <w:rFonts w:ascii="Consolas" w:cs="Consolas" w:eastAsia="Consolas" w:hAnsi="Consolas"/>
          <w:color w:val="24292F"/>
          <w:sz w:val="16"/>
          <w:szCs w:val="16"/>
        </w:rPr>
        <w:t xml:space="preserve">tenant_pipeline "tenant_a"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id   = "tenant-a"                  // written to Loki, Mimir and Pyroscope</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keep = "tenant-a(-.+)?"            // the namespaces that are tenant a</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200" w:before="0" w:line="240"/>
        <w:ind w:left="100" w:right="100"/>
      </w:pPr>
      <w:r>
        <w:rPr>
          <w:rFonts w:ascii="Consolas" w:cs="Consolas" w:eastAsia="Consolas" w:hAnsi="Consolas"/>
          <w:color w:val="24292F"/>
          <w:sz w:val="16"/>
          <w:szCs w:val="16"/>
        </w:rPr>
        <w:t xml:space="preserve">}</w:t>
      </w:r>
    </w:p>
    <w:p>
      <w:pPr>
        <w:pStyle w:val="Heading2"/>
      </w:pPr>
      <w:r>
        <w:t xml:space="preserve">Traces: one receiver per tenant</w:t>
      </w:r>
    </w:p>
    <w:p>
      <w:pPr>
        <w:keepNext/>
        <w:spacing w:after="40" w:before="120"/>
        <w:jc w:val="center"/>
      </w:pPr>
      <w:r>
        <w:drawing>
          <wp:inline distT="0" distB="0" distL="0" distR="0">
            <wp:extent cx="6191250" cy="3228975"/>
            <wp:effectExtent t="0" r="0" b="0" l="0"/>
            <wp:docPr id="1" name="obs-traces" descr="Each tenant pushes traces to its own OTLP receiver, which stamps the tenant; Cilium blocks the others" title="Each tenant pushes traces to its own OTLP receiver, which stamps the tenant; Cilium blocks the ot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extLst>
                        <a:ext uri="{96DAC541-7B7A-43D3-8B79-37D633B846F1}">
                          <asvg:svgBlip xmlns:asvg="http://schemas.microsoft.com/office/drawing/2016/SVG/main" r:embed="rId13"/>
                        </a:ext>
                      </a:extLst>
                    </a:blip>
                    <a:srcRect/>
                    <a:stretch>
                      <a:fillRect/>
                    </a:stretch>
                  </pic:blipFill>
                  <pic:spPr bwMode="auto">
                    <a:xfrm>
                      <a:off x="0" y="0"/>
                      <a:ext cx="6191250" cy="3228975"/>
                    </a:xfrm>
                    <a:prstGeom prst="rect">
                      <a:avLst/>
                    </a:prstGeom>
                  </pic:spPr>
                </pic:pic>
              </a:graphicData>
            </a:graphic>
          </wp:inline>
        </w:drawing>
      </w:r>
    </w:p>
    <w:p>
      <w:pPr>
        <w:spacing w:after="240"/>
        <w:jc w:val="center"/>
      </w:pPr>
      <w:r>
        <w:rPr>
          <w:i/>
          <w:iCs/>
          <w:color w:val="5F6B7A"/>
          <w:sz w:val="16"/>
          <w:szCs w:val="16"/>
        </w:rPr>
        <w:t xml:space="preserve">Diagram: images/obs-traces.svg (or .png)</w:t>
      </w:r>
    </w:p>
    <w:p>
      <w:pPr>
        <w:spacing w:after="140"/>
      </w:pPr>
      <w:r>
        <w:t xml:space="preserve">Traces are the one signal apps must push. If apps pushed straight to Tempo, they could put any tenant in the header. Instead, each tenant gets its own small receiver. The receiver sets the tenant from its own configuration and ignores anything the app sends. Cilium lets only tenant a's pods reach </w:t>
      </w:r>
      <w:r>
        <w:rPr>
          <w:rFonts w:ascii="Consolas" w:cs="Consolas" w:eastAsia="Consolas" w:hAnsi="Consolas"/>
          <w:sz w:val="19"/>
          <w:szCs w:val="19"/>
        </w:rPr>
        <w:t xml:space="preserve">otlp-tenant-a</w:t>
      </w:r>
      <w:r>
        <w:t xml:space="preserve">:</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40"/>
        <w:ind w:left="100" w:right="100"/>
      </w:pPr>
      <w:r>
        <w:rPr>
          <w:rFonts w:ascii="Consolas" w:cs="Consolas" w:eastAsia="Consolas" w:hAnsi="Consolas"/>
          <w:color w:val="24292F"/>
          <w:sz w:val="16"/>
          <w:szCs w:val="16"/>
        </w:rPr>
        <w:t xml:space="preserve">otelcol.exporter.otlp "tempo"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client {</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endpoint = "tempo.observability.svc.cluster.local:4317"</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headers  = { "X-Scope-OrgID" = sys.env("TENANT") }   // set per receiver, never by the app</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200" w:before="0" w:line="240"/>
        <w:ind w:left="100" w:right="100"/>
      </w:pPr>
      <w:r>
        <w:rPr>
          <w:rFonts w:ascii="Consolas" w:cs="Consolas" w:eastAsia="Consolas" w:hAnsi="Consolas"/>
          <w:color w:val="24292F"/>
          <w:sz w:val="16"/>
          <w:szCs w:val="16"/>
        </w:rPr>
        <w:t xml:space="preserve">}</w:t>
      </w:r>
    </w:p>
    <w:p>
      <w:pPr>
        <w:pStyle w:val="Heading2"/>
      </w:pPr>
      <w:r>
        <w:t xml:space="preserve">Grafana: one organization per tenant</w:t>
      </w:r>
    </w:p>
    <w:p>
      <w:pPr>
        <w:keepNext/>
        <w:spacing w:after="40" w:before="120"/>
        <w:jc w:val="center"/>
      </w:pPr>
      <w:r>
        <w:drawing>
          <wp:inline distT="0" distB="0" distL="0" distR="0">
            <wp:extent cx="6191250" cy="3028950"/>
            <wp:effectExtent t="0" r="0" b="0" l="0"/>
            <wp:docPr id="1" name="obs-grafana-orgs" descr="Users map to Grafana orgs, each org to a view on the gateway, and so to its tenants" title="Users map to Grafana orgs, each org to a view on the gateway, and so to its ten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extLst>
                        <a:ext uri="{96DAC541-7B7A-43D3-8B79-37D633B846F1}">
                          <asvg:svgBlip xmlns:asvg="http://schemas.microsoft.com/office/drawing/2016/SVG/main" r:embed="rId15"/>
                        </a:ext>
                      </a:extLst>
                    </a:blip>
                    <a:srcRect/>
                    <a:stretch>
                      <a:fillRect/>
                    </a:stretch>
                  </pic:blipFill>
                  <pic:spPr bwMode="auto">
                    <a:xfrm>
                      <a:off x="0" y="0"/>
                      <a:ext cx="6191250" cy="3028950"/>
                    </a:xfrm>
                    <a:prstGeom prst="rect">
                      <a:avLst/>
                    </a:prstGeom>
                  </pic:spPr>
                </pic:pic>
              </a:graphicData>
            </a:graphic>
          </wp:inline>
        </w:drawing>
      </w:r>
    </w:p>
    <w:p>
      <w:pPr>
        <w:spacing w:after="240"/>
        <w:jc w:val="center"/>
      </w:pPr>
      <w:r>
        <w:rPr>
          <w:i/>
          <w:iCs/>
          <w:color w:val="5F6B7A"/>
          <w:sz w:val="16"/>
          <w:szCs w:val="16"/>
        </w:rPr>
        <w:t xml:space="preserve">Diagram: images/obs-grafana-orgs.svg (or .png)</w:t>
      </w:r>
    </w:p>
    <w:tbl>
      <w:tblPr>
        <w:tblW w:type="dxa" w:w="9746"/>
        <w:tblBorders>
          <w:top w:val="single" w:color="BFC8D4" w:sz="4"/>
          <w:left w:val="single" w:color="BFC8D4" w:sz="4"/>
          <w:bottom w:val="single" w:color="BFC8D4" w:sz="4"/>
          <w:right w:val="single" w:color="BFC8D4" w:sz="4"/>
          <w:insideH w:val="single" w:color="BFC8D4" w:sz="4"/>
          <w:insideV w:val="single" w:color="BFC8D4" w:sz="4"/>
        </w:tblBorders>
      </w:tblPr>
      <w:tblGrid>
        <w:gridCol w:w="1600"/>
        <w:gridCol w:w="1400"/>
        <w:gridCol w:w="2000"/>
        <w:gridCol w:w="4746"/>
      </w:tblGrid>
      <w:tr>
        <w:trPr>
          <w:tblHeader/>
        </w:trPr>
        <w:tc>
          <w:tcPr>
            <w:tcW w:type="dxa" w:w="1600"/>
            <w:shd w:fill="DCE6F1" w:color="auto" w:val="clear"/>
            <w:tcMar>
              <w:top w:type="dxa" w:w="70"/>
              <w:left w:type="dxa" w:w="110"/>
              <w:bottom w:type="dxa" w:w="70"/>
              <w:right w:type="dxa" w:w="110"/>
            </w:tcMar>
          </w:tcPr>
          <w:p>
            <w:pPr>
              <w:spacing w:after="0"/>
            </w:pPr>
            <w:r>
              <w:rPr>
                <w:b/>
                <w:bCs/>
              </w:rPr>
              <w:t xml:space="preserve">Org</w:t>
            </w:r>
          </w:p>
        </w:tc>
        <w:tc>
          <w:tcPr>
            <w:tcW w:type="dxa" w:w="1400"/>
            <w:shd w:fill="DCE6F1" w:color="auto" w:val="clear"/>
            <w:tcMar>
              <w:top w:type="dxa" w:w="70"/>
              <w:left w:type="dxa" w:w="110"/>
              <w:bottom w:type="dxa" w:w="70"/>
              <w:right w:type="dxa" w:w="110"/>
            </w:tcMar>
          </w:tcPr>
          <w:p>
            <w:pPr>
              <w:spacing w:after="0"/>
            </w:pPr>
            <w:r>
              <w:rPr>
                <w:b/>
                <w:bCs/>
              </w:rPr>
              <w:t xml:space="preserve">User</w:t>
            </w:r>
          </w:p>
        </w:tc>
        <w:tc>
          <w:tcPr>
            <w:tcW w:type="dxa" w:w="2000"/>
            <w:shd w:fill="DCE6F1" w:color="auto" w:val="clear"/>
            <w:tcMar>
              <w:top w:type="dxa" w:w="70"/>
              <w:left w:type="dxa" w:w="110"/>
              <w:bottom w:type="dxa" w:w="70"/>
              <w:right w:type="dxa" w:w="110"/>
            </w:tcMar>
          </w:tcPr>
          <w:p>
            <w:pPr>
              <w:spacing w:after="0"/>
            </w:pPr>
            <w:r>
              <w:rPr>
                <w:b/>
                <w:bCs/>
              </w:rPr>
              <w:t xml:space="preserve">View</w:t>
            </w:r>
          </w:p>
        </w:tc>
        <w:tc>
          <w:tcPr>
            <w:tcW w:type="dxa" w:w="4746"/>
            <w:shd w:fill="DCE6F1" w:color="auto" w:val="clear"/>
            <w:tcMar>
              <w:top w:type="dxa" w:w="70"/>
              <w:left w:type="dxa" w:w="110"/>
              <w:bottom w:type="dxa" w:w="70"/>
              <w:right w:type="dxa" w:w="110"/>
            </w:tcMar>
          </w:tcPr>
          <w:p>
            <w:pPr>
              <w:spacing w:after="0"/>
            </w:pPr>
            <w:r>
              <w:rPr>
                <w:b/>
                <w:bCs/>
              </w:rPr>
              <w:t xml:space="preserve">Sees</w:t>
            </w:r>
          </w:p>
        </w:tc>
      </w:tr>
      <w:tr>
        <w:trPr>
          <w:cantSplit/>
        </w:trPr>
        <w:tc>
          <w:tcPr>
            <w:tcW w:type="dxa" w:w="1600"/>
            <w:tcMar>
              <w:top w:type="dxa" w:w="70"/>
              <w:left w:type="dxa" w:w="110"/>
              <w:bottom w:type="dxa" w:w="70"/>
              <w:right w:type="dxa" w:w="110"/>
            </w:tcMar>
          </w:tcPr>
          <w:p>
            <w:pPr>
              <w:spacing w:after="0"/>
            </w:pPr>
            <w:r>
              <w:t xml:space="preserve">Tenant A</w:t>
            </w:r>
          </w:p>
        </w:tc>
        <w:tc>
          <w:tcPr>
            <w:tcW w:type="dxa" w:w="1400"/>
            <w:tcMar>
              <w:top w:type="dxa" w:w="70"/>
              <w:left w:type="dxa" w:w="110"/>
              <w:bottom w:type="dxa" w:w="70"/>
              <w:right w:type="dxa" w:w="110"/>
            </w:tcMar>
          </w:tcPr>
          <w:p>
            <w:pPr>
              <w:spacing w:after="0"/>
            </w:pPr>
            <w:r>
              <w:t xml:space="preserve">alice</w:t>
            </w:r>
          </w:p>
        </w:tc>
        <w:tc>
          <w:tcPr>
            <w:tcW w:type="dxa" w:w="2000"/>
            <w:tcMar>
              <w:top w:type="dxa" w:w="70"/>
              <w:left w:type="dxa" w:w="110"/>
              <w:bottom w:type="dxa" w:w="70"/>
              <w:right w:type="dxa" w:w="110"/>
            </w:tcMar>
          </w:tcPr>
          <w:p>
            <w:pPr>
              <w:spacing w:after="0"/>
            </w:pPr>
            <w:r>
              <w:rPr>
                <w:rFonts w:ascii="Consolas" w:cs="Consolas" w:eastAsia="Consolas" w:hAnsi="Consolas"/>
                <w:sz w:val="19"/>
                <w:szCs w:val="19"/>
              </w:rPr>
              <w:t xml:space="preserve">/tenant-a/</w:t>
            </w:r>
          </w:p>
        </w:tc>
        <w:tc>
          <w:tcPr>
            <w:tcW w:type="dxa" w:w="4746"/>
            <w:tcMar>
              <w:top w:type="dxa" w:w="70"/>
              <w:left w:type="dxa" w:w="110"/>
              <w:bottom w:type="dxa" w:w="70"/>
              <w:right w:type="dxa" w:w="110"/>
            </w:tcMar>
          </w:tcPr>
          <w:p>
            <w:pPr>
              <w:spacing w:after="0"/>
            </w:pPr>
            <w:r>
              <w:t xml:space="preserve">tenant-a and tenant-c</w:t>
            </w:r>
          </w:p>
        </w:tc>
      </w:tr>
      <w:tr>
        <w:trPr>
          <w:cantSplit/>
        </w:trPr>
        <w:tc>
          <w:tcPr>
            <w:tcW w:type="dxa" w:w="1600"/>
            <w:tcMar>
              <w:top w:type="dxa" w:w="70"/>
              <w:left w:type="dxa" w:w="110"/>
              <w:bottom w:type="dxa" w:w="70"/>
              <w:right w:type="dxa" w:w="110"/>
            </w:tcMar>
          </w:tcPr>
          <w:p>
            <w:pPr>
              <w:spacing w:after="0"/>
            </w:pPr>
            <w:r>
              <w:t xml:space="preserve">Tenant B</w:t>
            </w:r>
          </w:p>
        </w:tc>
        <w:tc>
          <w:tcPr>
            <w:tcW w:type="dxa" w:w="1400"/>
            <w:tcMar>
              <w:top w:type="dxa" w:w="70"/>
              <w:left w:type="dxa" w:w="110"/>
              <w:bottom w:type="dxa" w:w="70"/>
              <w:right w:type="dxa" w:w="110"/>
            </w:tcMar>
          </w:tcPr>
          <w:p>
            <w:pPr>
              <w:spacing w:after="0"/>
            </w:pPr>
            <w:r>
              <w:t xml:space="preserve">bob</w:t>
            </w:r>
          </w:p>
        </w:tc>
        <w:tc>
          <w:tcPr>
            <w:tcW w:type="dxa" w:w="2000"/>
            <w:tcMar>
              <w:top w:type="dxa" w:w="70"/>
              <w:left w:type="dxa" w:w="110"/>
              <w:bottom w:type="dxa" w:w="70"/>
              <w:right w:type="dxa" w:w="110"/>
            </w:tcMar>
          </w:tcPr>
          <w:p>
            <w:pPr>
              <w:spacing w:after="0"/>
            </w:pPr>
            <w:r>
              <w:rPr>
                <w:rFonts w:ascii="Consolas" w:cs="Consolas" w:eastAsia="Consolas" w:hAnsi="Consolas"/>
                <w:sz w:val="19"/>
                <w:szCs w:val="19"/>
              </w:rPr>
              <w:t xml:space="preserve">/tenant-b/</w:t>
            </w:r>
          </w:p>
        </w:tc>
        <w:tc>
          <w:tcPr>
            <w:tcW w:type="dxa" w:w="4746"/>
            <w:tcMar>
              <w:top w:type="dxa" w:w="70"/>
              <w:left w:type="dxa" w:w="110"/>
              <w:bottom w:type="dxa" w:w="70"/>
              <w:right w:type="dxa" w:w="110"/>
            </w:tcMar>
          </w:tcPr>
          <w:p>
            <w:pPr>
              <w:spacing w:after="0"/>
            </w:pPr>
            <w:r>
              <w:t xml:space="preserve">tenant-b</w:t>
            </w:r>
          </w:p>
        </w:tc>
      </w:tr>
      <w:tr>
        <w:trPr>
          <w:cantSplit/>
        </w:trPr>
        <w:tc>
          <w:tcPr>
            <w:tcW w:type="dxa" w:w="1600"/>
            <w:tcMar>
              <w:top w:type="dxa" w:w="70"/>
              <w:left w:type="dxa" w:w="110"/>
              <w:bottom w:type="dxa" w:w="70"/>
              <w:right w:type="dxa" w:w="110"/>
            </w:tcMar>
          </w:tcPr>
          <w:p>
            <w:pPr>
              <w:spacing w:after="0"/>
            </w:pPr>
            <w:r>
              <w:t xml:space="preserve">Tenant C</w:t>
            </w:r>
          </w:p>
        </w:tc>
        <w:tc>
          <w:tcPr>
            <w:tcW w:type="dxa" w:w="1400"/>
            <w:tcMar>
              <w:top w:type="dxa" w:w="70"/>
              <w:left w:type="dxa" w:w="110"/>
              <w:bottom w:type="dxa" w:w="70"/>
              <w:right w:type="dxa" w:w="110"/>
            </w:tcMar>
          </w:tcPr>
          <w:p>
            <w:pPr>
              <w:spacing w:after="0"/>
            </w:pPr>
            <w:r>
              <w:t xml:space="preserve">carol</w:t>
            </w:r>
          </w:p>
        </w:tc>
        <w:tc>
          <w:tcPr>
            <w:tcW w:type="dxa" w:w="2000"/>
            <w:tcMar>
              <w:top w:type="dxa" w:w="70"/>
              <w:left w:type="dxa" w:w="110"/>
              <w:bottom w:type="dxa" w:w="70"/>
              <w:right w:type="dxa" w:w="110"/>
            </w:tcMar>
          </w:tcPr>
          <w:p>
            <w:pPr>
              <w:spacing w:after="0"/>
            </w:pPr>
            <w:r>
              <w:rPr>
                <w:rFonts w:ascii="Consolas" w:cs="Consolas" w:eastAsia="Consolas" w:hAnsi="Consolas"/>
                <w:sz w:val="19"/>
                <w:szCs w:val="19"/>
              </w:rPr>
              <w:t xml:space="preserve">/tenant-c/</w:t>
            </w:r>
          </w:p>
        </w:tc>
        <w:tc>
          <w:tcPr>
            <w:tcW w:type="dxa" w:w="4746"/>
            <w:tcMar>
              <w:top w:type="dxa" w:w="70"/>
              <w:left w:type="dxa" w:w="110"/>
              <w:bottom w:type="dxa" w:w="70"/>
              <w:right w:type="dxa" w:w="110"/>
            </w:tcMar>
          </w:tcPr>
          <w:p>
            <w:pPr>
              <w:spacing w:after="0"/>
            </w:pPr>
            <w:r>
              <w:t xml:space="preserve">tenant-c</w:t>
            </w:r>
          </w:p>
        </w:tc>
      </w:tr>
      <w:tr>
        <w:trPr>
          <w:cantSplit/>
        </w:trPr>
        <w:tc>
          <w:tcPr>
            <w:tcW w:type="dxa" w:w="1600"/>
            <w:tcMar>
              <w:top w:type="dxa" w:w="70"/>
              <w:left w:type="dxa" w:w="110"/>
              <w:bottom w:type="dxa" w:w="70"/>
              <w:right w:type="dxa" w:w="110"/>
            </w:tcMar>
          </w:tcPr>
          <w:p>
            <w:pPr>
              <w:spacing w:after="0"/>
            </w:pPr>
            <w:r>
              <w:t xml:space="preserve">Platform</w:t>
            </w:r>
          </w:p>
        </w:tc>
        <w:tc>
          <w:tcPr>
            <w:tcW w:type="dxa" w:w="1400"/>
            <w:tcMar>
              <w:top w:type="dxa" w:w="70"/>
              <w:left w:type="dxa" w:w="110"/>
              <w:bottom w:type="dxa" w:w="70"/>
              <w:right w:type="dxa" w:w="110"/>
            </w:tcMar>
          </w:tcPr>
          <w:p>
            <w:pPr>
              <w:spacing w:after="0"/>
            </w:pPr>
            <w:r>
              <w:t xml:space="preserve">ops</w:t>
            </w:r>
          </w:p>
        </w:tc>
        <w:tc>
          <w:tcPr>
            <w:tcW w:type="dxa" w:w="2000"/>
            <w:tcMar>
              <w:top w:type="dxa" w:w="70"/>
              <w:left w:type="dxa" w:w="110"/>
              <w:bottom w:type="dxa" w:w="70"/>
              <w:right w:type="dxa" w:w="110"/>
            </w:tcMar>
          </w:tcPr>
          <w:p>
            <w:pPr>
              <w:spacing w:after="0"/>
            </w:pPr>
            <w:r>
              <w:rPr>
                <w:rFonts w:ascii="Consolas" w:cs="Consolas" w:eastAsia="Consolas" w:hAnsi="Consolas"/>
                <w:sz w:val="19"/>
                <w:szCs w:val="19"/>
              </w:rPr>
              <w:t xml:space="preserve">/platform/</w:t>
            </w:r>
          </w:p>
        </w:tc>
        <w:tc>
          <w:tcPr>
            <w:tcW w:type="dxa" w:w="4746"/>
            <w:tcMar>
              <w:top w:type="dxa" w:w="70"/>
              <w:left w:type="dxa" w:w="110"/>
              <w:bottom w:type="dxa" w:w="70"/>
              <w:right w:type="dxa" w:w="110"/>
            </w:tcMar>
          </w:tcPr>
          <w:p>
            <w:pPr>
              <w:spacing w:after="0"/>
            </w:pPr>
            <w:r>
              <w:t xml:space="preserve">every tenant, and the platform's own</w:t>
            </w:r>
          </w:p>
        </w:tc>
      </w:tr>
    </w:tbl>
    <w:p>
      <w:pPr>
        <w:spacing w:after="160"/>
      </w:pPr>
    </w:p>
    <w:p>
      <w:pPr>
        <w:spacing w:after="140"/>
      </w:pPr>
      <w:r>
        <w:t xml:space="preserve">Grafana organizations are separate worlds: each has its own data sources and dashboards. Each org's data sources call its own view with its own key, and are linked to each other:</w:t>
      </w:r>
    </w:p>
    <w:p>
      <w:pPr>
        <w:pStyle w:val="ListParagraph"/>
        <w:numPr>
          <w:ilvl w:val="0"/>
          <w:numId w:val="2"/>
        </w:numPr>
        <w:spacing w:after="70"/>
      </w:pPr>
      <w:r>
        <w:t xml:space="preserve">a </w:t>
      </w:r>
      <w:r>
        <w:rPr>
          <w:b/>
          <w:bCs/>
        </w:rPr>
        <w:t xml:space="preserve">span</w:t>
      </w:r>
      <w:r>
        <w:t xml:space="preserve"> opens that service's logs, its metrics, and its CPU profile;</w:t>
      </w:r>
    </w:p>
    <w:p>
      <w:pPr>
        <w:pStyle w:val="ListParagraph"/>
        <w:numPr>
          <w:ilvl w:val="0"/>
          <w:numId w:val="2"/>
        </w:numPr>
        <w:spacing w:after="70"/>
      </w:pPr>
      <w:r>
        <w:t xml:space="preserve">a </w:t>
      </w:r>
      <w:r>
        <w:rPr>
          <w:b/>
          <w:bCs/>
        </w:rPr>
        <w:t xml:space="preserve">log line</w:t>
      </w:r>
      <w:r>
        <w:t xml:space="preserve"> with a </w:t>
      </w:r>
      <w:r>
        <w:rPr>
          <w:rFonts w:ascii="Consolas" w:cs="Consolas" w:eastAsia="Consolas" w:hAnsi="Consolas"/>
          <w:sz w:val="19"/>
          <w:szCs w:val="19"/>
        </w:rPr>
        <w:t xml:space="preserve">trace_id</w:t>
      </w:r>
      <w:r>
        <w:t xml:space="preserve"> opens that trace;</w:t>
      </w:r>
    </w:p>
    <w:p>
      <w:pPr>
        <w:pStyle w:val="ListParagraph"/>
        <w:numPr>
          <w:ilvl w:val="0"/>
          <w:numId w:val="2"/>
        </w:numPr>
        <w:spacing w:after="70"/>
      </w:pPr>
      <w:r>
        <w:t xml:space="preserve">the </w:t>
      </w:r>
      <w:r>
        <w:rPr>
          <w:b/>
          <w:bCs/>
        </w:rPr>
        <w:t xml:space="preserve">service map</w:t>
      </w:r>
      <w:r>
        <w:t xml:space="preserve"> comes from metrics Tempo generates from the tenant's own spans.</w:t>
      </w:r>
    </w:p>
    <w:p>
      <w:pPr>
        <w:spacing w:after="140"/>
      </w:pPr>
      <w:r>
        <w:t xml:space="preserve">Links only ever point inside the same org. Tenant users are </w:t>
      </w:r>
      <w:r>
        <w:rPr>
          <w:b/>
          <w:bCs/>
        </w:rPr>
        <w:t xml:space="preserve">Editors</w:t>
      </w:r>
      <w:r>
        <w:t xml:space="preserve">, never org Admins (an Admin could add a data source pointing at another view). The </w:t>
      </w:r>
      <w:r>
        <w:rPr>
          <w:b/>
          <w:bCs/>
        </w:rPr>
        <w:t xml:space="preserve">Main Org</w:t>
      </w:r>
      <w:r>
        <w:t xml:space="preserve"> stays empty, because Grafana puts every new user there by default.</w:t>
      </w:r>
    </w:p>
    <w:p>
      <w:pPr>
        <w:pBdr>
          <w:left w:val="single" w:color="2E5C8A" w:sz="24" w:space="8"/>
        </w:pBdr>
        <w:shd w:fill="EEF4FB" w:color="auto" w:val="clear"/>
        <w:spacing w:after="220" w:before="120"/>
        <w:ind w:left="180" w:right="120"/>
      </w:pPr>
      <w:r>
        <w:rPr>
          <w:b/>
          <w:bCs/>
          <w:color w:val="2E5C8A"/>
        </w:rPr>
        <w:t xml:space="preserve">Pyroscope is different  </w:t>
      </w:r>
      <w:r>
        <w:t xml:space="preserve">Loki, Mimir and Tempo answer one query for several tenants, so Tenant A gets one data source of each. Pyroscope takes one tenant per request, so Tenant A gets two: "Pyroscope" (tenant-a) and "Pyroscope (tenant-c)". For the same reason, Loki's live tail works in Tenant B's and Tenant C's orgs, but not where a view covers several tenants.</w:t>
      </w:r>
    </w:p>
    <w:p>
      <w:pPr>
        <w:pStyle w:val="Heading2"/>
      </w:pPr>
      <w:r>
        <w:t xml:space="preserve">Workload example: podinfo</w:t>
      </w:r>
    </w:p>
    <w:p>
      <w:pPr>
        <w:spacing w:after="140"/>
      </w:pPr>
      <w:r>
        <w:t xml:space="preserve">Each tenant runs the same small app, so the team can see all four signals end to end. Tenant a's frontend also calls </w:t>
      </w:r>
      <w:r>
        <w:rPr>
          <w:b/>
          <w:bCs/>
        </w:rPr>
        <w:t xml:space="preserve">tenant c's</w:t>
      </w:r>
      <w:r>
        <w:t xml:space="preserve"> backend, which it is allowed to: that request's trace spans two tenants, and alice sees all of it while carol sees only tenant c's half.</w:t>
      </w:r>
    </w:p>
    <w:tbl>
      <w:tblPr>
        <w:tblW w:type="dxa" w:w="9746"/>
        <w:tblBorders>
          <w:top w:val="single" w:color="BFC8D4" w:sz="4"/>
          <w:left w:val="single" w:color="BFC8D4" w:sz="4"/>
          <w:bottom w:val="single" w:color="BFC8D4" w:sz="4"/>
          <w:right w:val="single" w:color="BFC8D4" w:sz="4"/>
          <w:insideH w:val="single" w:color="BFC8D4" w:sz="4"/>
          <w:insideV w:val="single" w:color="BFC8D4" w:sz="4"/>
        </w:tblBorders>
      </w:tblPr>
      <w:tblGrid>
        <w:gridCol w:w="1700"/>
        <w:gridCol w:w="5046"/>
        <w:gridCol w:w="3000"/>
      </w:tblGrid>
      <w:tr>
        <w:trPr>
          <w:tblHeader/>
        </w:trPr>
        <w:tc>
          <w:tcPr>
            <w:tcW w:type="dxa" w:w="1700"/>
            <w:shd w:fill="DCE6F1" w:color="auto" w:val="clear"/>
            <w:tcMar>
              <w:top w:type="dxa" w:w="70"/>
              <w:left w:type="dxa" w:w="110"/>
              <w:bottom w:type="dxa" w:w="70"/>
              <w:right w:type="dxa" w:w="110"/>
            </w:tcMar>
          </w:tcPr>
          <w:p>
            <w:pPr>
              <w:spacing w:after="0"/>
            </w:pPr>
            <w:r>
              <w:rPr>
                <w:b/>
                <w:bCs/>
              </w:rPr>
              <w:t xml:space="preserve">Workload</w:t>
            </w:r>
          </w:p>
        </w:tc>
        <w:tc>
          <w:tcPr>
            <w:tcW w:type="dxa" w:w="5046"/>
            <w:shd w:fill="DCE6F1" w:color="auto" w:val="clear"/>
            <w:tcMar>
              <w:top w:type="dxa" w:w="70"/>
              <w:left w:type="dxa" w:w="110"/>
              <w:bottom w:type="dxa" w:w="70"/>
              <w:right w:type="dxa" w:w="110"/>
            </w:tcMar>
          </w:tcPr>
          <w:p>
            <w:pPr>
              <w:spacing w:after="0"/>
            </w:pPr>
            <w:r>
              <w:rPr>
                <w:b/>
                <w:bCs/>
              </w:rPr>
              <w:t xml:space="preserve">What it does</w:t>
            </w:r>
          </w:p>
        </w:tc>
        <w:tc>
          <w:tcPr>
            <w:tcW w:type="dxa" w:w="3000"/>
            <w:shd w:fill="DCE6F1" w:color="auto" w:val="clear"/>
            <w:tcMar>
              <w:top w:type="dxa" w:w="70"/>
              <w:left w:type="dxa" w:w="110"/>
              <w:bottom w:type="dxa" w:w="70"/>
              <w:right w:type="dxa" w:w="110"/>
            </w:tcMar>
          </w:tcPr>
          <w:p>
            <w:pPr>
              <w:spacing w:after="0"/>
            </w:pPr>
            <w:r>
              <w:rPr>
                <w:b/>
                <w:bCs/>
              </w:rPr>
              <w:t xml:space="preserve">Signals</w:t>
            </w:r>
          </w:p>
        </w:tc>
      </w:tr>
      <w:tr>
        <w:trPr>
          <w:cantSplit/>
        </w:trPr>
        <w:tc>
          <w:tcPr>
            <w:tcW w:type="dxa" w:w="1700"/>
            <w:tcMar>
              <w:top w:type="dxa" w:w="70"/>
              <w:left w:type="dxa" w:w="110"/>
              <w:bottom w:type="dxa" w:w="70"/>
              <w:right w:type="dxa" w:w="110"/>
            </w:tcMar>
          </w:tcPr>
          <w:p>
            <w:pPr>
              <w:spacing w:after="0"/>
            </w:pPr>
            <w:r>
              <w:rPr>
                <w:rFonts w:ascii="Consolas" w:cs="Consolas" w:eastAsia="Consolas" w:hAnsi="Consolas"/>
                <w:sz w:val="19"/>
                <w:szCs w:val="19"/>
              </w:rPr>
              <w:t xml:space="preserve">frontend</w:t>
            </w:r>
          </w:p>
        </w:tc>
        <w:tc>
          <w:tcPr>
            <w:tcW w:type="dxa" w:w="5046"/>
            <w:tcMar>
              <w:top w:type="dxa" w:w="70"/>
              <w:left w:type="dxa" w:w="110"/>
              <w:bottom w:type="dxa" w:w="70"/>
              <w:right w:type="dxa" w:w="110"/>
            </w:tcMar>
          </w:tcPr>
          <w:p>
            <w:pPr>
              <w:spacing w:after="0"/>
            </w:pPr>
            <w:r>
              <w:t xml:space="preserve">podinfo; every </w:t>
            </w:r>
            <w:r>
              <w:rPr>
                <w:rFonts w:ascii="Consolas" w:cs="Consolas" w:eastAsia="Consolas" w:hAnsi="Consolas"/>
                <w:sz w:val="19"/>
                <w:szCs w:val="19"/>
              </w:rPr>
              <w:t xml:space="preserve">/echo</w:t>
            </w:r>
            <w:r>
              <w:t xml:space="preserve"> request calls the backend</w:t>
            </w:r>
          </w:p>
        </w:tc>
        <w:tc>
          <w:tcPr>
            <w:tcW w:type="dxa" w:w="3000"/>
            <w:tcMar>
              <w:top w:type="dxa" w:w="70"/>
              <w:left w:type="dxa" w:w="110"/>
              <w:bottom w:type="dxa" w:w="70"/>
              <w:right w:type="dxa" w:w="110"/>
            </w:tcMar>
          </w:tcPr>
          <w:p>
            <w:pPr>
              <w:spacing w:after="0"/>
            </w:pPr>
            <w:r>
              <w:t xml:space="preserve">logs, metrics, profiles, traces</w:t>
            </w:r>
          </w:p>
        </w:tc>
      </w:tr>
      <w:tr>
        <w:trPr>
          <w:cantSplit/>
        </w:trPr>
        <w:tc>
          <w:tcPr>
            <w:tcW w:type="dxa" w:w="1700"/>
            <w:tcMar>
              <w:top w:type="dxa" w:w="70"/>
              <w:left w:type="dxa" w:w="110"/>
              <w:bottom w:type="dxa" w:w="70"/>
              <w:right w:type="dxa" w:w="110"/>
            </w:tcMar>
          </w:tcPr>
          <w:p>
            <w:pPr>
              <w:spacing w:after="0"/>
            </w:pPr>
            <w:r>
              <w:rPr>
                <w:rFonts w:ascii="Consolas" w:cs="Consolas" w:eastAsia="Consolas" w:hAnsi="Consolas"/>
                <w:sz w:val="19"/>
                <w:szCs w:val="19"/>
              </w:rPr>
              <w:t xml:space="preserve">backend</w:t>
            </w:r>
          </w:p>
        </w:tc>
        <w:tc>
          <w:tcPr>
            <w:tcW w:type="dxa" w:w="5046"/>
            <w:tcMar>
              <w:top w:type="dxa" w:w="70"/>
              <w:left w:type="dxa" w:w="110"/>
              <w:bottom w:type="dxa" w:w="70"/>
              <w:right w:type="dxa" w:w="110"/>
            </w:tcMar>
          </w:tcPr>
          <w:p>
            <w:pPr>
              <w:spacing w:after="0"/>
            </w:pPr>
            <w:r>
              <w:t xml:space="preserve">podinfo; answers the frontend</w:t>
            </w:r>
          </w:p>
        </w:tc>
        <w:tc>
          <w:tcPr>
            <w:tcW w:type="dxa" w:w="3000"/>
            <w:tcMar>
              <w:top w:type="dxa" w:w="70"/>
              <w:left w:type="dxa" w:w="110"/>
              <w:bottom w:type="dxa" w:w="70"/>
              <w:right w:type="dxa" w:w="110"/>
            </w:tcMar>
          </w:tcPr>
          <w:p>
            <w:pPr>
              <w:spacing w:after="0"/>
            </w:pPr>
            <w:r>
              <w:t xml:space="preserve">logs, metrics, profiles, traces</w:t>
            </w:r>
          </w:p>
        </w:tc>
      </w:tr>
      <w:tr>
        <w:trPr>
          <w:cantSplit/>
        </w:trPr>
        <w:tc>
          <w:tcPr>
            <w:tcW w:type="dxa" w:w="1700"/>
            <w:tcMar>
              <w:top w:type="dxa" w:w="70"/>
              <w:left w:type="dxa" w:w="110"/>
              <w:bottom w:type="dxa" w:w="70"/>
              <w:right w:type="dxa" w:w="110"/>
            </w:tcMar>
          </w:tcPr>
          <w:p>
            <w:pPr>
              <w:spacing w:after="0"/>
            </w:pPr>
            <w:r>
              <w:rPr>
                <w:rFonts w:ascii="Consolas" w:cs="Consolas" w:eastAsia="Consolas" w:hAnsi="Consolas"/>
                <w:sz w:val="19"/>
                <w:szCs w:val="19"/>
              </w:rPr>
              <w:t xml:space="preserve">client</w:t>
            </w:r>
          </w:p>
        </w:tc>
        <w:tc>
          <w:tcPr>
            <w:tcW w:type="dxa" w:w="5046"/>
            <w:tcMar>
              <w:top w:type="dxa" w:w="70"/>
              <w:left w:type="dxa" w:w="110"/>
              <w:bottom w:type="dxa" w:w="70"/>
              <w:right w:type="dxa" w:w="110"/>
            </w:tcMar>
          </w:tcPr>
          <w:p>
            <w:pPr>
              <w:spacing w:after="0"/>
            </w:pPr>
            <w:r>
              <w:t xml:space="preserve">calls the frontend every few seconds, sometimes slow (</w:t>
            </w:r>
            <w:r>
              <w:rPr>
                <w:rFonts w:ascii="Consolas" w:cs="Consolas" w:eastAsia="Consolas" w:hAnsi="Consolas"/>
                <w:sz w:val="19"/>
                <w:szCs w:val="19"/>
              </w:rPr>
              <w:t xml:space="preserve">/delay/1</w:t>
            </w:r>
            <w:r>
              <w:t xml:space="preserve">), sometimes failing (</w:t>
            </w:r>
            <w:r>
              <w:rPr>
                <w:rFonts w:ascii="Consolas" w:cs="Consolas" w:eastAsia="Consolas" w:hAnsi="Consolas"/>
                <w:sz w:val="19"/>
                <w:szCs w:val="19"/>
              </w:rPr>
              <w:t xml:space="preserve">/status/500</w:t>
            </w:r>
            <w:r>
              <w:t xml:space="preserve">)</w:t>
            </w:r>
          </w:p>
        </w:tc>
        <w:tc>
          <w:tcPr>
            <w:tcW w:type="dxa" w:w="3000"/>
            <w:tcMar>
              <w:top w:type="dxa" w:w="70"/>
              <w:left w:type="dxa" w:w="110"/>
              <w:bottom w:type="dxa" w:w="70"/>
              <w:right w:type="dxa" w:w="110"/>
            </w:tcMar>
          </w:tcPr>
          <w:p>
            <w:pPr>
              <w:spacing w:after="0"/>
            </w:pPr>
            <w:r>
              <w:t xml:space="preserve">traffic</w:t>
            </w:r>
          </w:p>
        </w:tc>
      </w:tr>
    </w:tbl>
    <w:p>
      <w:pPr>
        <w:spacing w:after="160"/>
      </w:pPr>
    </w:p>
    <w:p>
      <w:pPr>
        <w:spacing w:after="140"/>
      </w:pPr>
      <w:r>
        <w:t xml:space="preserve">Two annotations opt a pod in to metrics and profiles, and two environment variables send its traces to its tenant's receiver:</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60" w:line="240"/>
        <w:ind w:left="100" w:right="100"/>
      </w:pPr>
      <w:r>
        <w:rPr>
          <w:rFonts w:ascii="Consolas" w:cs="Consolas" w:eastAsia="Consolas" w:hAnsi="Consolas"/>
          <w:color w:val="24292F"/>
          <w:sz w:val="16"/>
          <w:szCs w:val="16"/>
        </w:rPr>
        <w:t xml:space="preserve">metadata:</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annotations: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prometheus.io/scrape: "true"             # metrics  (port 9898, /metrics)</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profiles.grafana.com/scrape: "true"      # profiles (port 9898, /debug/pprof)</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env:</w:t>
      </w:r>
    </w:p>
    <w:p>
      <w:pPr>
        <w:keepNext/>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 name: OTEL_EXPORTER_OTLP_ENDPOINT        # traces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200" w:before="0" w:line="240"/>
        <w:ind w:left="100" w:right="100"/>
      </w:pPr>
      <w:r>
        <w:rPr>
          <w:rFonts w:ascii="Consolas" w:cs="Consolas" w:eastAsia="Consolas" w:hAnsi="Consolas"/>
          <w:color w:val="24292F"/>
          <w:sz w:val="16"/>
          <w:szCs w:val="16"/>
        </w:rPr>
        <w:t xml:space="preserve">    value: http://otlp-tenant-a.observability.svc.cluster.local:4317</w:t>
      </w:r>
    </w:p>
    <w:p>
      <w:pPr>
        <w:spacing w:after="140"/>
      </w:pPr>
      <w:r>
        <w:rPr>
          <w:b/>
          <w:bCs/>
        </w:rPr>
        <w:t xml:space="preserve">What alice sees in Grafana:</w:t>
      </w:r>
    </w:p>
    <w:p>
      <w:pPr>
        <w:pStyle w:val="ListParagraph"/>
        <w:numPr>
          <w:ilvl w:val="0"/>
          <w:numId w:val="2"/>
        </w:numPr>
        <w:spacing w:after="70"/>
      </w:pPr>
      <w:r>
        <w:rPr>
          <w:b/>
          <w:bCs/>
        </w:rPr>
        <w:t xml:space="preserve">Explore → Tempo → Search:</w:t>
      </w:r>
      <w:r>
        <w:t xml:space="preserve"> traces of </w:t>
      </w:r>
      <w:r>
        <w:rPr>
          <w:rFonts w:ascii="Consolas" w:cs="Consolas" w:eastAsia="Consolas" w:hAnsi="Consolas"/>
          <w:sz w:val="19"/>
          <w:szCs w:val="19"/>
        </w:rPr>
        <w:t xml:space="preserve">frontend</w:t>
      </w:r>
      <w:r>
        <w:t xml:space="preserve"> calling </w:t>
      </w:r>
      <w:r>
        <w:rPr>
          <w:rFonts w:ascii="Consolas" w:cs="Consolas" w:eastAsia="Consolas" w:hAnsi="Consolas"/>
          <w:sz w:val="19"/>
          <w:szCs w:val="19"/>
        </w:rPr>
        <w:t xml:space="preserve">backend</w:t>
      </w:r>
      <w:r>
        <w:t xml:space="preserve">, including the slow and failing ones.</w:t>
      </w:r>
    </w:p>
    <w:p>
      <w:pPr>
        <w:pStyle w:val="ListParagraph"/>
        <w:numPr>
          <w:ilvl w:val="0"/>
          <w:numId w:val="2"/>
        </w:numPr>
        <w:spacing w:after="70"/>
      </w:pPr>
      <w:r>
        <w:t xml:space="preserve">Open a span: </w:t>
      </w:r>
      <w:r>
        <w:rPr>
          <w:b/>
          <w:bCs/>
        </w:rPr>
        <w:t xml:space="preserve">Logs for this span</w:t>
      </w:r>
      <w:r>
        <w:t xml:space="preserve"> jumps to the matching Loki lines; </w:t>
      </w:r>
      <w:r>
        <w:rPr>
          <w:b/>
          <w:bCs/>
        </w:rPr>
        <w:t xml:space="preserve">Profile</w:t>
      </w:r>
      <w:r>
        <w:t xml:space="preserve"> opens the backend's CPU flame graph in Pyroscope.</w:t>
      </w:r>
    </w:p>
    <w:p>
      <w:pPr>
        <w:pStyle w:val="ListParagraph"/>
        <w:numPr>
          <w:ilvl w:val="0"/>
          <w:numId w:val="2"/>
        </w:numPr>
        <w:spacing w:after="70"/>
      </w:pPr>
      <w:r>
        <w:rPr>
          <w:b/>
          <w:bCs/>
        </w:rPr>
        <w:t xml:space="preserve">Explore → Mimir:</w:t>
      </w:r>
      <w:r>
        <w:t xml:space="preserve"> </w:t>
      </w:r>
      <w:r>
        <w:rPr>
          <w:rFonts w:ascii="Consolas" w:cs="Consolas" w:eastAsia="Consolas" w:hAnsi="Consolas"/>
          <w:sz w:val="19"/>
          <w:szCs w:val="19"/>
        </w:rPr>
        <w:t xml:space="preserve">rate(http_request_duration_seconds_count[5m])</w:t>
      </w:r>
      <w:r>
        <w:t xml:space="preserve"> by status code, only for tenant-a's pods.</w:t>
      </w:r>
    </w:p>
    <w:p>
      <w:pPr>
        <w:pStyle w:val="ListParagraph"/>
        <w:numPr>
          <w:ilvl w:val="0"/>
          <w:numId w:val="2"/>
        </w:numPr>
        <w:spacing w:after="70"/>
      </w:pPr>
      <w:r>
        <w:rPr>
          <w:b/>
          <w:bCs/>
        </w:rPr>
        <w:t xml:space="preserve">Tempo → Service graph:</w:t>
      </w:r>
      <w:r>
        <w:t xml:space="preserve"> frontend → backend, with request rates and errors.</w:t>
      </w:r>
    </w:p>
    <w:p>
      <w:pPr>
        <w:pStyle w:val="ListParagraph"/>
        <w:numPr>
          <w:ilvl w:val="0"/>
          <w:numId w:val="2"/>
        </w:numPr>
        <w:spacing w:after="70"/>
      </w:pPr>
      <w:r>
        <w:t xml:space="preserve">Bob sees the same app, but only tenant-b's copy of it.</w:t>
      </w:r>
    </w:p>
    <w:p>
      <w:pPr>
        <w:pStyle w:val="Heading2"/>
      </w:pPr>
      <w:r>
        <w:t xml:space="preserve">Locking it down</w:t>
      </w:r>
    </w:p>
    <w:p>
      <w:pPr>
        <w:keepNext/>
        <w:spacing w:after="40" w:before="120"/>
        <w:jc w:val="center"/>
      </w:pPr>
      <w:r>
        <w:drawing>
          <wp:inline distT="0" distB="0" distL="0" distR="0">
            <wp:extent cx="6191250" cy="3609975"/>
            <wp:effectExtent t="0" r="0" b="0" l="0"/>
            <wp:docPr id="1" name="obs-lockdown" descr="Network policies inside the observability namespace" title="Network policies inside the observability name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extLst>
                        <a:ext uri="{96DAC541-7B7A-43D3-8B79-37D633B846F1}">
                          <asvg:svgBlip xmlns:asvg="http://schemas.microsoft.com/office/drawing/2016/SVG/main" r:embed="rId17"/>
                        </a:ext>
                      </a:extLst>
                    </a:blip>
                    <a:srcRect/>
                    <a:stretch>
                      <a:fillRect/>
                    </a:stretch>
                  </pic:blipFill>
                  <pic:spPr bwMode="auto">
                    <a:xfrm>
                      <a:off x="0" y="0"/>
                      <a:ext cx="6191250" cy="3609975"/>
                    </a:xfrm>
                    <a:prstGeom prst="rect">
                      <a:avLst/>
                    </a:prstGeom>
                  </pic:spPr>
                </pic:pic>
              </a:graphicData>
            </a:graphic>
          </wp:inline>
        </w:drawing>
      </w:r>
    </w:p>
    <w:p>
      <w:pPr>
        <w:spacing w:after="240"/>
        <w:jc w:val="center"/>
      </w:pPr>
      <w:r>
        <w:rPr>
          <w:i/>
          <w:iCs/>
          <w:color w:val="5F6B7A"/>
          <w:sz w:val="16"/>
          <w:szCs w:val="16"/>
        </w:rPr>
        <w:t xml:space="preserve">Diagram: images/obs-lockdown.svg (or .png)</w:t>
      </w:r>
    </w:p>
    <w:p>
      <w:pPr>
        <w:spacing w:after="140"/>
      </w:pPr>
      <w:r>
        <w:t xml:space="preserve">The observability namespace gets its own Cilium policies. Only Alloy can write to Loki, Mimir and Pyroscope, and only to their push endpoints. Only the tenant receivers reach Tempo, each accepting only its own tenant. Only the gateway reaches the query APIs, and only Grafana reaches the gateway. Tenant pods can reach nothing here except their own receiver, and nothing in here reaches the internet.</w:t>
      </w:r>
    </w:p>
    <w:p>
      <w:pPr>
        <w:pStyle w:val="Heading2"/>
      </w:pPr>
      <w:r>
        <w:t xml:space="preserve">Try it yourself</w:t>
      </w:r>
    </w:p>
    <w:tbl>
      <w:tblPr>
        <w:tblW w:type="dxa" w:w="9746"/>
        <w:tblBorders>
          <w:top w:val="single" w:color="BFC8D4" w:sz="4"/>
          <w:left w:val="single" w:color="BFC8D4" w:sz="4"/>
          <w:bottom w:val="single" w:color="BFC8D4" w:sz="4"/>
          <w:right w:val="single" w:color="BFC8D4" w:sz="4"/>
          <w:insideH w:val="single" w:color="BFC8D4" w:sz="4"/>
          <w:insideV w:val="single" w:color="BFC8D4" w:sz="4"/>
        </w:tblBorders>
      </w:tblPr>
      <w:tblGrid>
        <w:gridCol w:w="2700"/>
        <w:gridCol w:w="4546"/>
        <w:gridCol w:w="2500"/>
      </w:tblGrid>
      <w:tr>
        <w:trPr>
          <w:tblHeader/>
        </w:trPr>
        <w:tc>
          <w:tcPr>
            <w:tcW w:type="dxa" w:w="2700"/>
            <w:shd w:fill="DCE6F1" w:color="auto" w:val="clear"/>
            <w:tcMar>
              <w:top w:type="dxa" w:w="70"/>
              <w:left w:type="dxa" w:w="110"/>
              <w:bottom w:type="dxa" w:w="70"/>
              <w:right w:type="dxa" w:w="110"/>
            </w:tcMar>
          </w:tcPr>
          <w:p>
            <w:pPr>
              <w:spacing w:after="0"/>
            </w:pPr>
            <w:r>
              <w:rPr>
                <w:b/>
                <w:bCs/>
              </w:rPr>
              <w:t xml:space="preserve">What we check</w:t>
            </w:r>
          </w:p>
        </w:tc>
        <w:tc>
          <w:tcPr>
            <w:tcW w:type="dxa" w:w="4546"/>
            <w:shd w:fill="DCE6F1" w:color="auto" w:val="clear"/>
            <w:tcMar>
              <w:top w:type="dxa" w:w="70"/>
              <w:left w:type="dxa" w:w="110"/>
              <w:bottom w:type="dxa" w:w="70"/>
              <w:right w:type="dxa" w:w="110"/>
            </w:tcMar>
          </w:tcPr>
          <w:p>
            <w:pPr>
              <w:spacing w:after="0"/>
            </w:pPr>
            <w:r>
              <w:rPr>
                <w:b/>
                <w:bCs/>
              </w:rPr>
              <w:t xml:space="preserve">How</w:t>
            </w:r>
          </w:p>
        </w:tc>
        <w:tc>
          <w:tcPr>
            <w:tcW w:type="dxa" w:w="2500"/>
            <w:shd w:fill="DCE6F1" w:color="auto" w:val="clear"/>
            <w:tcMar>
              <w:top w:type="dxa" w:w="70"/>
              <w:left w:type="dxa" w:w="110"/>
              <w:bottom w:type="dxa" w:w="70"/>
              <w:right w:type="dxa" w:w="110"/>
            </w:tcMar>
          </w:tcPr>
          <w:p>
            <w:pPr>
              <w:spacing w:after="0"/>
            </w:pPr>
            <w:r>
              <w:rPr>
                <w:b/>
                <w:bCs/>
              </w:rPr>
              <w:t xml:space="preserve">Expected</w:t>
            </w:r>
          </w:p>
        </w:tc>
      </w:tr>
      <w:tr>
        <w:trPr>
          <w:cantSplit/>
        </w:trPr>
        <w:tc>
          <w:tcPr>
            <w:tcW w:type="dxa" w:w="2700"/>
            <w:tcMar>
              <w:top w:type="dxa" w:w="70"/>
              <w:left w:type="dxa" w:w="110"/>
              <w:bottom w:type="dxa" w:w="70"/>
              <w:right w:type="dxa" w:w="110"/>
            </w:tcMar>
          </w:tcPr>
          <w:p>
            <w:pPr>
              <w:spacing w:after="0"/>
            </w:pPr>
            <w:r>
              <w:t xml:space="preserve">alice sees only tenant-a</w:t>
            </w:r>
          </w:p>
        </w:tc>
        <w:tc>
          <w:tcPr>
            <w:tcW w:type="dxa" w:w="4546"/>
            <w:tcMar>
              <w:top w:type="dxa" w:w="70"/>
              <w:left w:type="dxa" w:w="110"/>
              <w:bottom w:type="dxa" w:w="70"/>
              <w:right w:type="dxa" w:w="110"/>
            </w:tcMar>
          </w:tcPr>
          <w:p>
            <w:pPr>
              <w:spacing w:after="0"/>
            </w:pPr>
            <w:r>
              <w:t xml:space="preserve">Grafana → Explore, any data source</w:t>
            </w:r>
          </w:p>
        </w:tc>
        <w:tc>
          <w:tcPr>
            <w:tcW w:type="dxa" w:w="2500"/>
            <w:tcMar>
              <w:top w:type="dxa" w:w="70"/>
              <w:left w:type="dxa" w:w="110"/>
              <w:bottom w:type="dxa" w:w="70"/>
              <w:right w:type="dxa" w:w="110"/>
            </w:tcMar>
          </w:tcPr>
          <w:p>
            <w:pPr>
              <w:spacing w:after="0"/>
            </w:pPr>
            <w:r>
              <w:t xml:space="preserve">only tenant-a data</w:t>
            </w:r>
          </w:p>
        </w:tc>
      </w:tr>
      <w:tr>
        <w:trPr>
          <w:cantSplit/>
        </w:trPr>
        <w:tc>
          <w:tcPr>
            <w:tcW w:type="dxa" w:w="2700"/>
            <w:tcMar>
              <w:top w:type="dxa" w:w="70"/>
              <w:left w:type="dxa" w:w="110"/>
              <w:bottom w:type="dxa" w:w="70"/>
              <w:right w:type="dxa" w:w="110"/>
            </w:tcMar>
          </w:tcPr>
          <w:p>
            <w:pPr>
              <w:spacing w:after="0"/>
            </w:pPr>
            <w:r>
              <w:t xml:space="preserve">Header spoofing fails</w:t>
            </w:r>
          </w:p>
        </w:tc>
        <w:tc>
          <w:tcPr>
            <w:tcW w:type="dxa" w:w="4546"/>
            <w:tcMar>
              <w:top w:type="dxa" w:w="70"/>
              <w:left w:type="dxa" w:w="110"/>
              <w:bottom w:type="dxa" w:w="70"/>
              <w:right w:type="dxa" w:w="110"/>
            </w:tcMar>
          </w:tcPr>
          <w:p>
            <w:pPr>
              <w:spacing w:after="0"/>
            </w:pPr>
            <w:r>
              <w:t xml:space="preserve">Tenant A's view plus </w:t>
            </w:r>
            <w:r>
              <w:rPr>
                <w:rFonts w:ascii="Consolas" w:cs="Consolas" w:eastAsia="Consolas" w:hAnsi="Consolas"/>
                <w:sz w:val="19"/>
                <w:szCs w:val="19"/>
              </w:rPr>
              <w:t xml:space="preserve">X-Scope-OrgID: tenant-b</w:t>
            </w:r>
          </w:p>
        </w:tc>
        <w:tc>
          <w:tcPr>
            <w:tcW w:type="dxa" w:w="2500"/>
            <w:tcMar>
              <w:top w:type="dxa" w:w="70"/>
              <w:left w:type="dxa" w:w="110"/>
              <w:bottom w:type="dxa" w:w="70"/>
              <w:right w:type="dxa" w:w="110"/>
            </w:tcMar>
          </w:tcPr>
          <w:p>
            <w:pPr>
              <w:spacing w:after="0"/>
            </w:pPr>
            <w:r>
              <w:t xml:space="preserve">tenant-a and tenant-c only</w:t>
            </w:r>
          </w:p>
        </w:tc>
      </w:tr>
      <w:tr>
        <w:trPr>
          <w:cantSplit/>
        </w:trPr>
        <w:tc>
          <w:tcPr>
            <w:tcW w:type="dxa" w:w="2700"/>
            <w:tcMar>
              <w:top w:type="dxa" w:w="70"/>
              <w:left w:type="dxa" w:w="110"/>
              <w:bottom w:type="dxa" w:w="70"/>
              <w:right w:type="dxa" w:w="110"/>
            </w:tcMar>
          </w:tcPr>
          <w:p>
            <w:pPr>
              <w:spacing w:after="0"/>
            </w:pPr>
            <w:r>
              <w:t xml:space="preserve">A key opens one view</w:t>
            </w:r>
          </w:p>
        </w:tc>
        <w:tc>
          <w:tcPr>
            <w:tcW w:type="dxa" w:w="4546"/>
            <w:tcMar>
              <w:top w:type="dxa" w:w="70"/>
              <w:left w:type="dxa" w:w="110"/>
              <w:bottom w:type="dxa" w:w="70"/>
              <w:right w:type="dxa" w:w="110"/>
            </w:tcMar>
          </w:tcPr>
          <w:p>
            <w:pPr>
              <w:spacing w:after="0"/>
            </w:pPr>
            <w:r>
              <w:t xml:space="preserve">Tenant A's key on </w:t>
            </w:r>
            <w:r>
              <w:rPr>
                <w:rFonts w:ascii="Consolas" w:cs="Consolas" w:eastAsia="Consolas" w:hAnsi="Consolas"/>
                <w:sz w:val="19"/>
                <w:szCs w:val="19"/>
              </w:rPr>
              <w:t xml:space="preserve">/tenant-b/...</w:t>
            </w:r>
            <w:r>
              <w:t xml:space="preserve">, or on </w:t>
            </w:r>
            <w:r>
              <w:rPr>
                <w:rFonts w:ascii="Consolas" w:cs="Consolas" w:eastAsia="Consolas" w:hAnsi="Consolas"/>
                <w:sz w:val="19"/>
                <w:szCs w:val="19"/>
              </w:rPr>
              <w:t xml:space="preserve">/tenant-a/../tenant-b/...</w:t>
            </w:r>
          </w:p>
        </w:tc>
        <w:tc>
          <w:tcPr>
            <w:tcW w:type="dxa" w:w="2500"/>
            <w:tcMar>
              <w:top w:type="dxa" w:w="70"/>
              <w:left w:type="dxa" w:w="110"/>
              <w:bottom w:type="dxa" w:w="70"/>
              <w:right w:type="dxa" w:w="110"/>
            </w:tcMar>
          </w:tcPr>
          <w:p>
            <w:pPr>
              <w:spacing w:after="0"/>
            </w:pPr>
            <w:r>
              <w:t xml:space="preserve">401</w:t>
            </w:r>
          </w:p>
        </w:tc>
      </w:tr>
      <w:tr>
        <w:trPr>
          <w:cantSplit/>
        </w:trPr>
        <w:tc>
          <w:tcPr>
            <w:tcW w:type="dxa" w:w="2700"/>
            <w:tcMar>
              <w:top w:type="dxa" w:w="70"/>
              <w:left w:type="dxa" w:w="110"/>
              <w:bottom w:type="dxa" w:w="70"/>
              <w:right w:type="dxa" w:w="110"/>
            </w:tcMar>
          </w:tcPr>
          <w:p>
            <w:pPr>
              <w:spacing w:after="0"/>
            </w:pPr>
            <w:r>
              <w:t xml:space="preserve">Trace IDs don't leak</w:t>
            </w:r>
          </w:p>
        </w:tc>
        <w:tc>
          <w:tcPr>
            <w:tcW w:type="dxa" w:w="4546"/>
            <w:tcMar>
              <w:top w:type="dxa" w:w="70"/>
              <w:left w:type="dxa" w:w="110"/>
              <w:bottom w:type="dxa" w:w="70"/>
              <w:right w:type="dxa" w:w="110"/>
            </w:tcMar>
          </w:tcPr>
          <w:p>
            <w:pPr>
              <w:spacing w:after="0"/>
            </w:pPr>
            <w:r>
              <w:t xml:space="preserve">as tenant-b, open a trace ID taken from tenant-a</w:t>
            </w:r>
          </w:p>
        </w:tc>
        <w:tc>
          <w:tcPr>
            <w:tcW w:type="dxa" w:w="2500"/>
            <w:tcMar>
              <w:top w:type="dxa" w:w="70"/>
              <w:left w:type="dxa" w:w="110"/>
              <w:bottom w:type="dxa" w:w="70"/>
              <w:right w:type="dxa" w:w="110"/>
            </w:tcMar>
          </w:tcPr>
          <w:p>
            <w:pPr>
              <w:spacing w:after="0"/>
            </w:pPr>
            <w:r>
              <w:t xml:space="preserve">empty trace</w:t>
            </w:r>
          </w:p>
        </w:tc>
      </w:tr>
      <w:tr>
        <w:trPr>
          <w:cantSplit/>
        </w:trPr>
        <w:tc>
          <w:tcPr>
            <w:tcW w:type="dxa" w:w="2700"/>
            <w:tcMar>
              <w:top w:type="dxa" w:w="70"/>
              <w:left w:type="dxa" w:w="110"/>
              <w:bottom w:type="dxa" w:w="70"/>
              <w:right w:type="dxa" w:w="110"/>
            </w:tcMar>
          </w:tcPr>
          <w:p>
            <w:pPr>
              <w:spacing w:after="0"/>
            </w:pPr>
            <w:r>
              <w:t xml:space="preserve">Wrong receiver</w:t>
            </w:r>
          </w:p>
        </w:tc>
        <w:tc>
          <w:tcPr>
            <w:tcW w:type="dxa" w:w="4546"/>
            <w:tcMar>
              <w:top w:type="dxa" w:w="70"/>
              <w:left w:type="dxa" w:w="110"/>
              <w:bottom w:type="dxa" w:w="70"/>
              <w:right w:type="dxa" w:w="110"/>
            </w:tcMar>
          </w:tcPr>
          <w:p>
            <w:pPr>
              <w:spacing w:after="0"/>
            </w:pPr>
            <w:r>
              <w:t xml:space="preserve">from a tenant-a pod, send a span to </w:t>
            </w:r>
            <w:r>
              <w:rPr>
                <w:rFonts w:ascii="Consolas" w:cs="Consolas" w:eastAsia="Consolas" w:hAnsi="Consolas"/>
                <w:sz w:val="19"/>
                <w:szCs w:val="19"/>
              </w:rPr>
              <w:t xml:space="preserve">otlp-tenant-b</w:t>
            </w:r>
          </w:p>
        </w:tc>
        <w:tc>
          <w:tcPr>
            <w:tcW w:type="dxa" w:w="2500"/>
            <w:tcMar>
              <w:top w:type="dxa" w:w="70"/>
              <w:left w:type="dxa" w:w="110"/>
              <w:bottom w:type="dxa" w:w="70"/>
              <w:right w:type="dxa" w:w="110"/>
            </w:tcMar>
          </w:tcPr>
          <w:p>
            <w:pPr>
              <w:spacing w:after="0"/>
            </w:pPr>
            <w:r>
              <w:t xml:space="preserve">connection dropped</w:t>
            </w:r>
          </w:p>
        </w:tc>
      </w:tr>
      <w:tr>
        <w:trPr>
          <w:cantSplit/>
        </w:trPr>
        <w:tc>
          <w:tcPr>
            <w:tcW w:type="dxa" w:w="2700"/>
            <w:tcMar>
              <w:top w:type="dxa" w:w="70"/>
              <w:left w:type="dxa" w:w="110"/>
              <w:bottom w:type="dxa" w:w="70"/>
              <w:right w:type="dxa" w:w="110"/>
            </w:tcMar>
          </w:tcPr>
          <w:p>
            <w:pPr>
              <w:spacing w:after="0"/>
            </w:pPr>
            <w:r>
              <w:t xml:space="preserve">Nobody reaches a backend directly</w:t>
            </w:r>
          </w:p>
        </w:tc>
        <w:tc>
          <w:tcPr>
            <w:tcW w:type="dxa" w:w="4546"/>
            <w:tcMar>
              <w:top w:type="dxa" w:w="70"/>
              <w:left w:type="dxa" w:w="110"/>
              <w:bottom w:type="dxa" w:w="70"/>
              <w:right w:type="dxa" w:w="110"/>
            </w:tcMar>
          </w:tcPr>
          <w:p>
            <w:pPr>
              <w:spacing w:after="0"/>
            </w:pPr>
            <w:r>
              <w:t xml:space="preserve">from a test pod, call Mimir or Tempo</w:t>
            </w:r>
          </w:p>
        </w:tc>
        <w:tc>
          <w:tcPr>
            <w:tcW w:type="dxa" w:w="2500"/>
            <w:tcMar>
              <w:top w:type="dxa" w:w="70"/>
              <w:left w:type="dxa" w:w="110"/>
              <w:bottom w:type="dxa" w:w="70"/>
              <w:right w:type="dxa" w:w="110"/>
            </w:tcMar>
          </w:tcPr>
          <w:p>
            <w:pPr>
              <w:spacing w:after="0"/>
            </w:pPr>
            <w:r>
              <w:t xml:space="preserve">timeout</w:t>
            </w:r>
          </w:p>
        </w:tc>
      </w:tr>
    </w:tbl>
    <w:p>
      <w:pPr>
        <w:spacing w:after="160"/>
      </w:pPr>
    </w:p>
    <w:p>
      <w:pPr>
        <w:pStyle w:val="Heading2"/>
      </w:pPr>
      <w:r>
        <w:t xml:space="preserve">FAQ</w:t>
      </w:r>
    </w:p>
    <w:p>
      <w:pPr>
        <w:spacing w:after="140"/>
      </w:pPr>
      <w:r>
        <w:rPr>
          <w:b/>
          <w:bCs/>
        </w:rPr>
        <w:t xml:space="preserve">Can alice see tenant-b's data by writing a different query?</w:t>
      </w:r>
      <w:r>
        <w:t xml:space="preserve"> No. Every query runs through her org's data sources, which use her org's view. That view asks the backends for tenant-a and tenant-c, and nothing else.</w:t>
      </w:r>
    </w:p>
    <w:p>
      <w:pPr>
        <w:spacing w:after="140"/>
      </w:pPr>
      <w:r>
        <w:rPr>
          <w:b/>
          <w:bCs/>
        </w:rPr>
        <w:t xml:space="preserve">Why does alice see tenant c at all?</w:t>
      </w:r>
      <w:r>
        <w:t xml:space="preserve"> Because tenant a uses tenant c's services, so tenant a's team needs tenant c's telemetry to debug its own requests. It is a platform decision, per direction: carol does not see tenant a.</w:t>
      </w:r>
    </w:p>
    <w:p>
      <w:pPr>
        <w:spacing w:after="140"/>
      </w:pPr>
      <w:r>
        <w:rPr>
          <w:b/>
          <w:bCs/>
        </w:rPr>
        <w:t xml:space="preserve">What if alice knows a trace ID from tenant-b?</w:t>
      </w:r>
      <w:r>
        <w:t xml:space="preserve"> Tempo looks it up only inside tenant-a, and returns an empty trace.</w:t>
      </w:r>
    </w:p>
    <w:p>
      <w:pPr>
        <w:spacing w:after="140"/>
      </w:pPr>
      <w:r>
        <w:rPr>
          <w:b/>
          <w:bCs/>
        </w:rPr>
        <w:t xml:space="preserve">Where do kube-system logs and platform metrics go?</w:t>
      </w:r>
      <w:r>
        <w:t xml:space="preserve"> To the </w:t>
      </w:r>
      <w:r>
        <w:rPr>
          <w:rFonts w:ascii="Consolas" w:cs="Consolas" w:eastAsia="Consolas" w:hAnsi="Consolas"/>
          <w:sz w:val="19"/>
          <w:szCs w:val="19"/>
        </w:rPr>
        <w:t xml:space="preserve">platform</w:t>
      </w:r>
      <w:r>
        <w:t xml:space="preserve"> tenant. Only the platform team's org can query it.</w:t>
      </w:r>
    </w:p>
    <w:p>
      <w:pPr>
        <w:spacing w:after="140"/>
      </w:pPr>
      <w:r>
        <w:rPr>
          <w:b/>
          <w:bCs/>
        </w:rPr>
        <w:t xml:space="preserve">What happens when we add a new tenant namespace?</w:t>
      </w:r>
      <w:r>
        <w:t xml:space="preserve"> Until its </w:t>
      </w:r>
      <w:r>
        <w:rPr>
          <w:rFonts w:ascii="Consolas" w:cs="Consolas" w:eastAsia="Consolas" w:hAnsi="Consolas"/>
          <w:sz w:val="19"/>
          <w:szCs w:val="19"/>
        </w:rPr>
        <w:t xml:space="preserve">tenant_pipeline</w:t>
      </w:r>
      <w:r>
        <w:t xml:space="preserve"> block and receiver exist, its logs, metrics and profiles land in </w:t>
      </w:r>
      <w:r>
        <w:rPr>
          <w:rFonts w:ascii="Consolas" w:cs="Consolas" w:eastAsia="Consolas" w:hAnsi="Consolas"/>
          <w:sz w:val="19"/>
          <w:szCs w:val="19"/>
        </w:rPr>
        <w:t xml:space="preserve">platform</w:t>
      </w:r>
      <w:r>
        <w:t xml:space="preserve">: visible to the platform team, never to another tenant. Its traces go nowhere, because it has no receiver yet.</w:t>
      </w:r>
    </w:p>
    <w:p>
      <w:pPr>
        <w:spacing w:after="140"/>
      </w:pPr>
      <w:r>
        <w:rPr>
          <w:b/>
          <w:bCs/>
        </w:rPr>
        <w:t xml:space="preserve">Can a tenant fake another tenant's telemetry?</w:t>
      </w:r>
      <w:r>
        <w:t xml:space="preserve"> No. Logs, metrics and profiles are pulled by the platform. Traces can only reach the tenant's own receiver, which stamps its own tenant.</w:t>
      </w:r>
    </w:p>
    <w:p>
      <w:pPr>
        <w:spacing w:after="140"/>
      </w:pPr>
      <w:r>
        <w:rPr>
          <w:b/>
          <w:bCs/>
        </w:rPr>
        <w:t xml:space="preserve">Does Grafana know every org's gateway key?</w:t>
      </w:r>
      <w:r>
        <w:t xml:space="preserve"> Yes. The keys are stored encrypted in the data sources and never shown to users, but a compromised Grafana could read all tenants. That is a known trade-off of soft tenancy. If that is unacceptable, run one Grafana per tenant.</w:t>
      </w:r>
    </w:p>
    <w:p>
      <w:pPr>
        <w:pStyle w:val="Heading2"/>
      </w:pPr>
      <w:r>
        <w:t xml:space="preserve">Glossary</w:t>
      </w:r>
    </w:p>
    <w:tbl>
      <w:tblPr>
        <w:tblW w:type="dxa" w:w="9746"/>
        <w:tblBorders>
          <w:top w:val="single" w:color="BFC8D4" w:sz="4"/>
          <w:left w:val="single" w:color="BFC8D4" w:sz="4"/>
          <w:bottom w:val="single" w:color="BFC8D4" w:sz="4"/>
          <w:right w:val="single" w:color="BFC8D4" w:sz="4"/>
          <w:insideH w:val="single" w:color="BFC8D4" w:sz="4"/>
          <w:insideV w:val="single" w:color="BFC8D4" w:sz="4"/>
        </w:tblBorders>
      </w:tblPr>
      <w:tblGrid>
        <w:gridCol w:w="2800"/>
        <w:gridCol w:w="6946"/>
      </w:tblGrid>
      <w:tr>
        <w:trPr>
          <w:tblHeader/>
        </w:trPr>
        <w:tc>
          <w:tcPr>
            <w:tcW w:type="dxa" w:w="2800"/>
            <w:shd w:fill="DCE6F1" w:color="auto" w:val="clear"/>
            <w:tcMar>
              <w:top w:type="dxa" w:w="70"/>
              <w:left w:type="dxa" w:w="110"/>
              <w:bottom w:type="dxa" w:w="70"/>
              <w:right w:type="dxa" w:w="110"/>
            </w:tcMar>
          </w:tcPr>
          <w:p>
            <w:pPr>
              <w:spacing w:after="0"/>
            </w:pPr>
            <w:r>
              <w:rPr>
                <w:b/>
                <w:bCs/>
              </w:rPr>
              <w:t xml:space="preserve">Term</w:t>
            </w:r>
          </w:p>
        </w:tc>
        <w:tc>
          <w:tcPr>
            <w:tcW w:type="dxa" w:w="6946"/>
            <w:shd w:fill="DCE6F1" w:color="auto" w:val="clear"/>
            <w:tcMar>
              <w:top w:type="dxa" w:w="70"/>
              <w:left w:type="dxa" w:w="110"/>
              <w:bottom w:type="dxa" w:w="70"/>
              <w:right w:type="dxa" w:w="110"/>
            </w:tcMar>
          </w:tcPr>
          <w:p>
            <w:pPr>
              <w:spacing w:after="0"/>
            </w:pPr>
            <w:r>
              <w:rPr>
                <w:b/>
                <w:bCs/>
              </w:rPr>
              <w:t xml:space="preserve">Meaning</w:t>
            </w:r>
          </w:p>
        </w:tc>
      </w:tr>
      <w:tr>
        <w:trPr>
          <w:cantSplit/>
        </w:trPr>
        <w:tc>
          <w:tcPr>
            <w:tcW w:type="dxa" w:w="2800"/>
            <w:tcMar>
              <w:top w:type="dxa" w:w="70"/>
              <w:left w:type="dxa" w:w="110"/>
              <w:bottom w:type="dxa" w:w="70"/>
              <w:right w:type="dxa" w:w="110"/>
            </w:tcMar>
          </w:tcPr>
          <w:p>
            <w:pPr>
              <w:spacing w:after="0"/>
            </w:pPr>
            <w:r>
              <w:t xml:space="preserve">Loki, Mimir, Tempo, Pyroscope</w:t>
            </w:r>
          </w:p>
        </w:tc>
        <w:tc>
          <w:tcPr>
            <w:tcW w:type="dxa" w:w="6946"/>
            <w:tcMar>
              <w:top w:type="dxa" w:w="70"/>
              <w:left w:type="dxa" w:w="110"/>
              <w:bottom w:type="dxa" w:w="70"/>
              <w:right w:type="dxa" w:w="110"/>
            </w:tcMar>
          </w:tcPr>
          <w:p>
            <w:pPr>
              <w:spacing w:after="0"/>
            </w:pPr>
            <w:r>
              <w:t xml:space="preserve">Grafana's backends for logs, metrics, traces and profiles.</w:t>
            </w:r>
          </w:p>
        </w:tc>
      </w:tr>
      <w:tr>
        <w:trPr>
          <w:cantSplit/>
        </w:trPr>
        <w:tc>
          <w:tcPr>
            <w:tcW w:type="dxa" w:w="2800"/>
            <w:tcMar>
              <w:top w:type="dxa" w:w="70"/>
              <w:left w:type="dxa" w:w="110"/>
              <w:bottom w:type="dxa" w:w="70"/>
              <w:right w:type="dxa" w:w="110"/>
            </w:tcMar>
          </w:tcPr>
          <w:p>
            <w:pPr>
              <w:spacing w:after="0"/>
            </w:pPr>
            <w:r>
              <w:t xml:space="preserve">Alloy</w:t>
            </w:r>
          </w:p>
        </w:tc>
        <w:tc>
          <w:tcPr>
            <w:tcW w:type="dxa" w:w="6946"/>
            <w:tcMar>
              <w:top w:type="dxa" w:w="70"/>
              <w:left w:type="dxa" w:w="110"/>
              <w:bottom w:type="dxa" w:w="70"/>
              <w:right w:type="dxa" w:w="110"/>
            </w:tcMar>
          </w:tcPr>
          <w:p>
            <w:pPr>
              <w:spacing w:after="0"/>
            </w:pPr>
            <w:r>
              <w:t xml:space="preserve">Grafana's collector. Here: one per node (logs, metrics, profiles), plus one small receiver per tenant (traces).</w:t>
            </w:r>
          </w:p>
        </w:tc>
      </w:tr>
      <w:tr>
        <w:trPr>
          <w:cantSplit/>
        </w:trPr>
        <w:tc>
          <w:tcPr>
            <w:tcW w:type="dxa" w:w="2800"/>
            <w:tcMar>
              <w:top w:type="dxa" w:w="70"/>
              <w:left w:type="dxa" w:w="110"/>
              <w:bottom w:type="dxa" w:w="70"/>
              <w:right w:type="dxa" w:w="110"/>
            </w:tcMar>
          </w:tcPr>
          <w:p>
            <w:pPr>
              <w:spacing w:after="0"/>
            </w:pPr>
            <w:r>
              <w:t xml:space="preserve">OTLP</w:t>
            </w:r>
          </w:p>
        </w:tc>
        <w:tc>
          <w:tcPr>
            <w:tcW w:type="dxa" w:w="6946"/>
            <w:tcMar>
              <w:top w:type="dxa" w:w="70"/>
              <w:left w:type="dxa" w:w="110"/>
              <w:bottom w:type="dxa" w:w="70"/>
              <w:right w:type="dxa" w:w="110"/>
            </w:tcMar>
          </w:tcPr>
          <w:p>
            <w:pPr>
              <w:spacing w:after="0"/>
            </w:pPr>
            <w:r>
              <w:t xml:space="preserve">OpenTelemetry's protocol for sending traces (and other signals).</w:t>
            </w:r>
          </w:p>
        </w:tc>
      </w:tr>
      <w:tr>
        <w:trPr>
          <w:cantSplit/>
        </w:trPr>
        <w:tc>
          <w:tcPr>
            <w:tcW w:type="dxa" w:w="2800"/>
            <w:tcMar>
              <w:top w:type="dxa" w:w="70"/>
              <w:left w:type="dxa" w:w="110"/>
              <w:bottom w:type="dxa" w:w="70"/>
              <w:right w:type="dxa" w:w="110"/>
            </w:tcMar>
          </w:tcPr>
          <w:p>
            <w:pPr>
              <w:spacing w:after="0"/>
            </w:pPr>
            <w:r>
              <w:t xml:space="preserve">X-Scope-OrgID</w:t>
            </w:r>
          </w:p>
        </w:tc>
        <w:tc>
          <w:tcPr>
            <w:tcW w:type="dxa" w:w="6946"/>
            <w:tcMar>
              <w:top w:type="dxa" w:w="70"/>
              <w:left w:type="dxa" w:w="110"/>
              <w:bottom w:type="dxa" w:w="70"/>
              <w:right w:type="dxa" w:w="110"/>
            </w:tcMar>
          </w:tcPr>
          <w:p>
            <w:pPr>
              <w:spacing w:after="0"/>
            </w:pPr>
            <w:r>
              <w:t xml:space="preserve">The HTTP header that tells a backend which tenant a request is for.</w:t>
            </w:r>
          </w:p>
        </w:tc>
      </w:tr>
      <w:tr>
        <w:trPr>
          <w:cantSplit/>
        </w:trPr>
        <w:tc>
          <w:tcPr>
            <w:tcW w:type="dxa" w:w="2800"/>
            <w:tcMar>
              <w:top w:type="dxa" w:w="70"/>
              <w:left w:type="dxa" w:w="110"/>
              <w:bottom w:type="dxa" w:w="70"/>
              <w:right w:type="dxa" w:w="110"/>
            </w:tcMar>
          </w:tcPr>
          <w:p>
            <w:pPr>
              <w:spacing w:after="0"/>
            </w:pPr>
            <w:r>
              <w:t xml:space="preserve">Tenant</w:t>
            </w:r>
          </w:p>
        </w:tc>
        <w:tc>
          <w:tcPr>
            <w:tcW w:type="dxa" w:w="6946"/>
            <w:tcMar>
              <w:top w:type="dxa" w:w="70"/>
              <w:left w:type="dxa" w:w="110"/>
              <w:bottom w:type="dxa" w:w="70"/>
              <w:right w:type="dxa" w:w="110"/>
            </w:tcMar>
          </w:tcPr>
          <w:p>
            <w:pPr>
              <w:spacing w:after="0"/>
            </w:pPr>
            <w:r>
              <w:t xml:space="preserve">A separate data space inside a backend: its own storage, its own queries. A query may name several (</w:t>
            </w:r>
            <w:r>
              <w:rPr>
                <w:rFonts w:ascii="Consolas" w:cs="Consolas" w:eastAsia="Consolas" w:hAnsi="Consolas"/>
                <w:sz w:val="19"/>
                <w:szCs w:val="19"/>
              </w:rPr>
              <w:t xml:space="preserve">tenant-a|tenant-c</w:t>
            </w:r>
            <w:r>
              <w:t xml:space="preserve">), except in Pyroscope.</w:t>
            </w:r>
          </w:p>
        </w:tc>
      </w:tr>
      <w:tr>
        <w:trPr>
          <w:cantSplit/>
        </w:trPr>
        <w:tc>
          <w:tcPr>
            <w:tcW w:type="dxa" w:w="2800"/>
            <w:tcMar>
              <w:top w:type="dxa" w:w="70"/>
              <w:left w:type="dxa" w:w="110"/>
              <w:bottom w:type="dxa" w:w="70"/>
              <w:right w:type="dxa" w:w="110"/>
            </w:tcMar>
          </w:tcPr>
          <w:p>
            <w:pPr>
              <w:spacing w:after="0"/>
            </w:pPr>
            <w:r>
              <w:t xml:space="preserve">obs-gateway</w:t>
            </w:r>
          </w:p>
        </w:tc>
        <w:tc>
          <w:tcPr>
            <w:tcW w:type="dxa" w:w="6946"/>
            <w:tcMar>
              <w:top w:type="dxa" w:w="70"/>
              <w:left w:type="dxa" w:w="110"/>
              <w:bottom w:type="dxa" w:w="70"/>
              <w:right w:type="dxa" w:w="110"/>
            </w:tcMar>
          </w:tcPr>
          <w:p>
            <w:pPr>
              <w:spacing w:after="0"/>
            </w:pPr>
            <w:r>
              <w:t xml:space="preserve">An internal kgateway Gateway in front of the backends. Each Grafana org gets a path on it.</w:t>
            </w:r>
          </w:p>
        </w:tc>
      </w:tr>
      <w:tr>
        <w:trPr>
          <w:cantSplit/>
        </w:trPr>
        <w:tc>
          <w:tcPr>
            <w:tcW w:type="dxa" w:w="2800"/>
            <w:tcMar>
              <w:top w:type="dxa" w:w="70"/>
              <w:left w:type="dxa" w:w="110"/>
              <w:bottom w:type="dxa" w:w="70"/>
              <w:right w:type="dxa" w:w="110"/>
            </w:tcMar>
          </w:tcPr>
          <w:p>
            <w:pPr>
              <w:spacing w:after="0"/>
            </w:pPr>
            <w:r>
              <w:t xml:space="preserve">View</w:t>
            </w:r>
          </w:p>
        </w:tc>
        <w:tc>
          <w:tcPr>
            <w:tcW w:type="dxa" w:w="6946"/>
            <w:tcMar>
              <w:top w:type="dxa" w:w="70"/>
              <w:left w:type="dxa" w:w="110"/>
              <w:bottom w:type="dxa" w:w="70"/>
              <w:right w:type="dxa" w:w="110"/>
            </w:tcMar>
          </w:tcPr>
          <w:p>
            <w:pPr>
              <w:spacing w:after="0"/>
            </w:pPr>
            <w:r>
              <w:t xml:space="preserve">One org's path on obs-gateway: only that org's key opens it, and it sets which tenants the backends answer for.</w:t>
            </w:r>
          </w:p>
        </w:tc>
      </w:tr>
      <w:tr>
        <w:trPr>
          <w:cantSplit/>
        </w:trPr>
        <w:tc>
          <w:tcPr>
            <w:tcW w:type="dxa" w:w="2800"/>
            <w:tcMar>
              <w:top w:type="dxa" w:w="70"/>
              <w:left w:type="dxa" w:w="110"/>
              <w:bottom w:type="dxa" w:w="70"/>
              <w:right w:type="dxa" w:w="110"/>
            </w:tcMar>
          </w:tcPr>
          <w:p>
            <w:pPr>
              <w:spacing w:after="0"/>
            </w:pPr>
            <w:r>
              <w:t xml:space="preserve">Grafana organization</w:t>
            </w:r>
          </w:p>
        </w:tc>
        <w:tc>
          <w:tcPr>
            <w:tcW w:type="dxa" w:w="6946"/>
            <w:tcMar>
              <w:top w:type="dxa" w:w="70"/>
              <w:left w:type="dxa" w:w="110"/>
              <w:bottom w:type="dxa" w:w="70"/>
              <w:right w:type="dxa" w:w="110"/>
            </w:tcMar>
          </w:tcPr>
          <w:p>
            <w:pPr>
              <w:spacing w:after="0"/>
            </w:pPr>
            <w:r>
              <w:t xml:space="preserve">An isolated space in Grafana with its own users, data sources and dashboards.</w:t>
            </w:r>
          </w:p>
        </w:tc>
      </w:tr>
      <w:tr>
        <w:trPr>
          <w:cantSplit/>
        </w:trPr>
        <w:tc>
          <w:tcPr>
            <w:tcW w:type="dxa" w:w="2800"/>
            <w:tcMar>
              <w:top w:type="dxa" w:w="70"/>
              <w:left w:type="dxa" w:w="110"/>
              <w:bottom w:type="dxa" w:w="70"/>
              <w:right w:type="dxa" w:w="110"/>
            </w:tcMar>
          </w:tcPr>
          <w:p>
            <w:pPr>
              <w:spacing w:after="0"/>
            </w:pPr>
            <w:r>
              <w:t xml:space="preserve">Service graph</w:t>
            </w:r>
          </w:p>
        </w:tc>
        <w:tc>
          <w:tcPr>
            <w:tcW w:type="dxa" w:w="6946"/>
            <w:tcMar>
              <w:top w:type="dxa" w:w="70"/>
              <w:left w:type="dxa" w:w="110"/>
              <w:bottom w:type="dxa" w:w="70"/>
              <w:right w:type="dxa" w:w="110"/>
            </w:tcMar>
          </w:tcPr>
          <w:p>
            <w:pPr>
              <w:spacing w:after="0"/>
            </w:pPr>
            <w:r>
              <w:t xml:space="preserve">Metrics Tempo derives from spans: who calls whom, how often, how slowly.</w:t>
            </w:r>
          </w:p>
        </w:tc>
      </w:tr>
      <w:tr>
        <w:trPr>
          <w:cantSplit/>
        </w:trPr>
        <w:tc>
          <w:tcPr>
            <w:tcW w:type="dxa" w:w="2800"/>
            <w:tcMar>
              <w:top w:type="dxa" w:w="70"/>
              <w:left w:type="dxa" w:w="110"/>
              <w:bottom w:type="dxa" w:w="70"/>
              <w:right w:type="dxa" w:w="110"/>
            </w:tcMar>
          </w:tcPr>
          <w:p>
            <w:pPr>
              <w:spacing w:after="0"/>
            </w:pPr>
            <w:r>
              <w:t xml:space="preserve">LogQL, PromQL, TraceQL</w:t>
            </w:r>
          </w:p>
        </w:tc>
        <w:tc>
          <w:tcPr>
            <w:tcW w:type="dxa" w:w="6946"/>
            <w:tcMar>
              <w:top w:type="dxa" w:w="70"/>
              <w:left w:type="dxa" w:w="110"/>
              <w:bottom w:type="dxa" w:w="70"/>
              <w:right w:type="dxa" w:w="110"/>
            </w:tcMar>
          </w:tcPr>
          <w:p>
            <w:pPr>
              <w:spacing w:after="0"/>
            </w:pPr>
            <w:r>
              <w:t xml:space="preserve">The query languages of Loki, Mimir (Prometheus) and Tempo.</w:t>
            </w:r>
          </w:p>
        </w:tc>
      </w:tr>
    </w:tbl>
    <w:p>
      <w:pPr>
        <w:spacing w:after="160"/>
      </w:pPr>
    </w:p>
    <w:p>
      <w:pPr>
        <w:pStyle w:val="Heading2"/>
      </w:pPr>
      <w:r>
        <w:t xml:space="preserve">Related</w:t>
      </w:r>
    </w:p>
    <w:p>
      <w:pPr>
        <w:pStyle w:val="ListParagraph"/>
        <w:numPr>
          <w:ilvl w:val="0"/>
          <w:numId w:val="2"/>
        </w:numPr>
        <w:spacing w:after="70"/>
      </w:pPr>
      <w:r>
        <w:t xml:space="preserve">Part 1: </w:t>
      </w:r>
      <w:r>
        <w:rPr>
          <w:b/>
          <w:bCs/>
        </w:rPr>
        <w:t xml:space="preserve">Soft tenancy with Cilium: the basics</w:t>
      </w:r>
      <w:r>
        <w:t xml:space="preserve"> (how tenants are kept apart on the network).</w:t>
      </w:r>
    </w:p>
    <w:p>
      <w:pPr>
        <w:pStyle w:val="ListParagraph"/>
        <w:numPr>
          <w:ilvl w:val="0"/>
          <w:numId w:val="2"/>
        </w:numPr>
        <w:spacing w:after="70"/>
      </w:pPr>
      <w:r>
        <w:t xml:space="preserve">Full walkthrough with every manifest: </w:t>
      </w:r>
      <w:r>
        <w:rPr>
          <w:b/>
          <w:bCs/>
        </w:rPr>
        <w:t xml:space="preserve">Soft Multi-Tenancy on Kubernetes, step-by-step guide</w:t>
      </w:r>
      <w:r>
        <w:t xml:space="preserv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0"/>
      <w:outlineLvl w:val="0"/>
    </w:pPr>
    <w:rPr>
      <w:rFonts w:ascii="Calibri" w:cs="Calibri" w:eastAsia="Calibri" w:hAnsi="Calibri"/>
      <w:b/>
      <w:bCs/>
      <w:color w:val="1F3864"/>
      <w:sz w:val="40"/>
      <w:szCs w:val="40"/>
    </w:rPr>
  </w:style>
  <w:style w:type="paragraph" w:styleId="Heading2">
    <w:name w:val="Heading 2"/>
    <w:basedOn w:val="Normal"/>
    <w:next w:val="Normal"/>
    <w:qFormat/>
    <w:pPr>
      <w:keepNext/>
      <w:spacing w:after="120" w:before="360"/>
      <w:outlineLvl w:val="1"/>
    </w:pPr>
    <w:rPr>
      <w:rFonts w:ascii="Calibri" w:cs="Calibri" w:eastAsia="Calibri" w:hAnsi="Calibri"/>
      <w:b/>
      <w:bCs/>
      <w:color w:val="2E5C8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0a10425e4ad87db586d357963b47ebd16ea7936.svg"/><Relationship Id="rId8" Type="http://schemas.openxmlformats.org/officeDocument/2006/relationships/image" Target="media/dc6cdb5be38b5580b3ae2b87a0ddcf975fd47681.png"/><Relationship Id="rId9" Type="http://schemas.openxmlformats.org/officeDocument/2006/relationships/image" Target="media/2c579138b2b5124eb07b95ae06dff702114df621.svg"/><Relationship Id="rId10" Type="http://schemas.openxmlformats.org/officeDocument/2006/relationships/image" Target="media/09e3671a856b8fdf7b181696d2611e2d165485ca.png"/><Relationship Id="rId11" Type="http://schemas.openxmlformats.org/officeDocument/2006/relationships/image" Target="media/a97c772d1b77eaed73ed8658df2257bda8e3d731.svg"/><Relationship Id="rId12" Type="http://schemas.openxmlformats.org/officeDocument/2006/relationships/image" Target="media/14802bed9b0dc2f709e1b393ddb59660ed02ee92.png"/><Relationship Id="rId13" Type="http://schemas.openxmlformats.org/officeDocument/2006/relationships/image" Target="media/2e1592b926adac9eabb470fdc3e25055fdb588e5.svg"/><Relationship Id="rId14" Type="http://schemas.openxmlformats.org/officeDocument/2006/relationships/image" Target="media/5019afd8e8ec6c74e7b9a48dafc9318305f5f940.png"/><Relationship Id="rId15" Type="http://schemas.openxmlformats.org/officeDocument/2006/relationships/image" Target="media/5a3fb923a5445b05f048d6d1d7adc091caa4b928.svg"/><Relationship Id="rId16" Type="http://schemas.openxmlformats.org/officeDocument/2006/relationships/image" Target="media/69fb47182cc0cbfc7117d9d0e3b594ac91cca528.png"/><Relationship Id="rId17" Type="http://schemas.openxmlformats.org/officeDocument/2006/relationships/image" Target="media/2a2cfcfc80b20752e1b0e6e7602d428c4c9ec485.svg"/><Relationship Id="rId18" Type="http://schemas.openxmlformats.org/officeDocument/2006/relationships/image" Target="media/96911bbee401009905ab95712f83a2bc33b4ba26.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Per-tenant observability: the basics</dc:title>
  <dc:creator>Platform team</dc:creator>
  <cp:lastModifiedBy>Un-named</cp:lastModifiedBy>
  <cp:revision>1</cp:revision>
  <dcterms:created xsi:type="dcterms:W3CDTF">2026-09-22T21:15:02.012Z</dcterms:created>
  <dcterms:modified xsi:type="dcterms:W3CDTF">2026-09-22T21:15:02.012Z</dcterms:modified>
</cp:coreProperties>
</file>

<file path=docProps/custom.xml><?xml version="1.0" encoding="utf-8"?>
<Properties xmlns="http://schemas.openxmlformats.org/officeDocument/2006/custom-properties" xmlns:vt="http://schemas.openxmlformats.org/officeDocument/2006/docPropsVTypes"/>
</file>