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Confluence pages: soft tenancy basics</w:t>
      </w:r>
    </w:p>
    <w:p>
      <w:pPr>
        <w:spacing w:after="140"/>
      </w:pPr>
      <w:r>
        <w:t xml:space="preserve">Two short, team-facing pages that explain how soft tenancy works, with architecture diagrams as images. The full step-by-step implementation is in </w:t>
      </w:r>
      <w:r>
        <w:rPr>
          <w:rFonts w:ascii="Consolas" w:cs="Consolas" w:eastAsia="Consolas" w:hAnsi="Consolas"/>
          <w:sz w:val="19"/>
          <w:szCs w:val="19"/>
        </w:rPr>
        <w:t xml:space="preserve">../soft-multi-tenancy-guide.docx</w:t>
      </w:r>
      <w:r>
        <w:t xml:space="preserve">.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5357"/>
        <w:gridCol w:w="4389"/>
      </w:tblGrid>
      <w:tr>
        <w:trPr>
          <w:cantSplit/>
          <w:tblHeader/>
        </w:trPr>
        <w:tc>
          <w:tcPr>
            <w:tcW w:type="dxa" w:w="53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43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Confluence page</w:t>
            </w:r>
          </w:p>
        </w:tc>
      </w:tr>
      <w:tr>
        <w:trPr>
          <w:cantSplit/>
          <w:tblHeader w:val="false"/>
        </w:trPr>
        <w:tc>
          <w:tcPr>
            <w:tcW w:type="dxa" w:w="53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01-soft-tenancy-with-cilium.docx</w:t>
            </w:r>
          </w:p>
        </w:tc>
        <w:tc>
          <w:tcPr>
            <w:tcW w:type="dxa" w:w="4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Soft tenancy with Cilium: the basics</w:t>
            </w:r>
            <w:r>
              <w:t xml:space="preserve">: isolation, identities, deny rules, DNS filtering, guardrail layers, ingress with kgateway</w:t>
            </w:r>
          </w:p>
        </w:tc>
      </w:tr>
      <w:tr>
        <w:trPr>
          <w:cantSplit/>
          <w:tblHeader w:val="false"/>
        </w:trPr>
        <w:tc>
          <w:tcPr>
            <w:tcW w:type="dxa" w:w="53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02-per-tenant-observability.docx</w:t>
            </w:r>
          </w:p>
        </w:tc>
        <w:tc>
          <w:tcPr>
            <w:tcW w:type="dxa" w:w="4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Per-tenant observability: the basics</w:t>
            </w:r>
            <w:r>
              <w:t xml:space="preserve">: Loki, Mimir, Tempo, Pyroscope, the read gateway, pulled signals, per-tenant trace receivers, Grafana orgs, the podinfo workload, lockdown</w:t>
            </w:r>
          </w:p>
        </w:tc>
      </w:tr>
      <w:tr>
        <w:trPr>
          <w:cantSplit/>
          <w:tblHeader w:val="false"/>
        </w:trPr>
        <w:tc>
          <w:tcPr>
            <w:tcW w:type="dxa" w:w="53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images/*.svg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images/*.png</w:t>
            </w:r>
          </w:p>
        </w:tc>
        <w:tc>
          <w:tcPr>
            <w:tcW w:type="dxa" w:w="4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12 diagrams, one file each, as SVG and as PNG (100%, 960 px wide)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Getting them into Confluence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 the page and use the first heading of the Word file as the page title.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Copy everything below that heading from Word and paste it into the page.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Check the diagrams. Each image in the Word file has a caption under it, for example </w:t>
      </w:r>
      <w:r>
        <w:rPr>
          <w:rFonts w:ascii="Consolas" w:cs="Consolas" w:eastAsia="Consolas" w:hAnsi="Consolas"/>
          <w:sz w:val="19"/>
          <w:szCs w:val="19"/>
        </w:rPr>
        <w:t xml:space="preserve">Diagram: images/obs-overview.svg (or .png)</w:t>
      </w:r>
      <w:r>
        <w:t xml:space="preserve">. If an image didn't come through the paste, drag that SVG or PNG file from </w:t>
      </w:r>
      <w:r>
        <w:rPr>
          <w:rFonts w:ascii="Consolas" w:cs="Consolas" w:eastAsia="Consolas" w:hAnsi="Consolas"/>
          <w:sz w:val="19"/>
          <w:szCs w:val="19"/>
        </w:rPr>
        <w:t xml:space="preserve">images/</w:t>
      </w:r>
      <w:r>
        <w:t xml:space="preserve"> onto the same spot and delete the caption. Use the PNG if your Confluence doesn't render SVG attachments.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Code snippets paste as plain text. Select each one and turn it into a code block (type </w:t>
      </w:r>
      <w:r>
        <w:rPr>
          <w:rFonts w:ascii="Consolas" w:cs="Consolas" w:eastAsia="Consolas" w:hAnsi="Consolas"/>
          <w:sz w:val="19"/>
          <w:szCs w:val="19"/>
        </w:rPr>
        <w:t xml:space="preserve">/code</w:t>
      </w:r>
      <w:r>
        <w:t xml:space="preserve">, or use the toolbar).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 the "Next" / "Related" sections, turn the bold page names into links.</w:t>
      </w:r>
    </w:p>
    <w:p>
      <w:pPr>
        <w:spacing w:after="140"/>
      </w:pPr>
      <w:r>
        <w:t xml:space="preserve">The diagrams have a white background, so they stay readable in Confluence's dark theme. The SVGs contain no scripts or external fonts.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Calibri" w:cs="Calibri" w:eastAsia="Calibri" w:hAnsi="Calibri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80"/>
      <w:outlineLvl w:val="2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paste these pages into Confluence</dc:title>
  <dc:creator>Platform team</dc:creator>
  <cp:lastModifiedBy>Un-named</cp:lastModifiedBy>
  <cp:revision>1</cp:revision>
  <dcterms:created xsi:type="dcterms:W3CDTF">2026-09-22T13:33:24.979Z</dcterms:created>
  <dcterms:modified xsi:type="dcterms:W3CDTF">2026-09-22T13:33:24.979Z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