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Soft tenancy with Cilium: the basics</w:t>
      </w:r>
    </w:p>
    <w:p>
      <w:pPr>
        <w:pBdr>
          <w:left w:val="single" w:color="2E5C8A" w:sz="24" w:space="8"/>
        </w:pBdr>
        <w:shd w:fill="EEF4FB" w:color="auto" w:val="clear"/>
        <w:spacing w:after="220" w:before="120"/>
        <w:ind w:left="180" w:right="120"/>
      </w:pPr>
      <w:r>
        <w:rPr>
          <w:b/>
          <w:bCs/>
          <w:color w:val="2E5C8A"/>
        </w:rPr>
        <w:t xml:space="preserve">In 30 seconds  </w:t>
      </w:r>
      <w:r>
        <w:t xml:space="preserve">Several teams (tenants) share one Kubernetes cluster, and each tenant gets its own namespace. Cilium, our network plugin, makes sure a tenant's pods cannot reach another tenant's pods, cannot even look up their names, and can only reach the internet destinations we allow. Our ingress, kgateway, gives each tenant its own gateway, so publishing an app never opens a path to another tenant.</w:t>
      </w:r>
    </w:p>
    <w:p>
      <w:pPr>
        <w:pStyle w:val="Heading2"/>
      </w:pPr>
      <w:r>
        <w:t xml:space="preserve">Soft or hard tenancy?</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1900"/>
        <w:gridCol w:w="4000"/>
        <w:gridCol w:w="3846"/>
      </w:tblGrid>
      <w:tr>
        <w:trPr>
          <w:tblHeader/>
        </w:trPr>
        <w:tc>
          <w:tcPr>
            <w:tcW w:type="dxa" w:w="1900"/>
            <w:shd w:fill="DCE6F1" w:color="auto" w:val="clear"/>
            <w:tcMar>
              <w:top w:type="dxa" w:w="70"/>
              <w:left w:type="dxa" w:w="110"/>
              <w:bottom w:type="dxa" w:w="70"/>
              <w:right w:type="dxa" w:w="110"/>
            </w:tcMar>
          </w:tcPr>
          <w:p>
            <w:pPr>
              <w:spacing w:after="0"/>
            </w:pPr>
          </w:p>
        </w:tc>
        <w:tc>
          <w:tcPr>
            <w:tcW w:type="dxa" w:w="4000"/>
            <w:shd w:fill="DCE6F1" w:color="auto" w:val="clear"/>
            <w:tcMar>
              <w:top w:type="dxa" w:w="70"/>
              <w:left w:type="dxa" w:w="110"/>
              <w:bottom w:type="dxa" w:w="70"/>
              <w:right w:type="dxa" w:w="110"/>
            </w:tcMar>
          </w:tcPr>
          <w:p>
            <w:pPr>
              <w:spacing w:after="0"/>
            </w:pPr>
            <w:r>
              <w:rPr>
                <w:b/>
                <w:bCs/>
              </w:rPr>
              <w:t xml:space="preserve">Soft tenancy (this page)</w:t>
            </w:r>
          </w:p>
        </w:tc>
        <w:tc>
          <w:tcPr>
            <w:tcW w:type="dxa" w:w="3846"/>
            <w:shd w:fill="DCE6F1" w:color="auto" w:val="clear"/>
            <w:tcMar>
              <w:top w:type="dxa" w:w="70"/>
              <w:left w:type="dxa" w:w="110"/>
              <w:bottom w:type="dxa" w:w="70"/>
              <w:right w:type="dxa" w:w="110"/>
            </w:tcMar>
          </w:tcPr>
          <w:p>
            <w:pPr>
              <w:spacing w:after="0"/>
            </w:pPr>
            <w:r>
              <w:rPr>
                <w:b/>
                <w:bCs/>
              </w:rPr>
              <w:t xml:space="preserve">Hard tenancy</w:t>
            </w:r>
          </w:p>
        </w:tc>
      </w:tr>
      <w:tr>
        <w:trPr>
          <w:cantSplit/>
        </w:trPr>
        <w:tc>
          <w:tcPr>
            <w:tcW w:type="dxa" w:w="1900"/>
            <w:tcMar>
              <w:top w:type="dxa" w:w="70"/>
              <w:left w:type="dxa" w:w="110"/>
              <w:bottom w:type="dxa" w:w="70"/>
              <w:right w:type="dxa" w:w="110"/>
            </w:tcMar>
          </w:tcPr>
          <w:p>
            <w:pPr>
              <w:spacing w:after="0"/>
            </w:pPr>
            <w:r>
              <w:rPr>
                <w:b/>
                <w:bCs/>
              </w:rPr>
              <w:t xml:space="preserve">Shared</w:t>
            </w:r>
          </w:p>
        </w:tc>
        <w:tc>
          <w:tcPr>
            <w:tcW w:type="dxa" w:w="4000"/>
            <w:tcMar>
              <w:top w:type="dxa" w:w="70"/>
              <w:left w:type="dxa" w:w="110"/>
              <w:bottom w:type="dxa" w:w="70"/>
              <w:right w:type="dxa" w:w="110"/>
            </w:tcMar>
          </w:tcPr>
          <w:p>
            <w:pPr>
              <w:spacing w:after="0"/>
            </w:pPr>
            <w:r>
              <w:t xml:space="preserve">One cluster, the same nodes, one kernel</w:t>
            </w:r>
          </w:p>
        </w:tc>
        <w:tc>
          <w:tcPr>
            <w:tcW w:type="dxa" w:w="3846"/>
            <w:tcMar>
              <w:top w:type="dxa" w:w="70"/>
              <w:left w:type="dxa" w:w="110"/>
              <w:bottom w:type="dxa" w:w="70"/>
              <w:right w:type="dxa" w:w="110"/>
            </w:tcMar>
          </w:tcPr>
          <w:p>
            <w:pPr>
              <w:spacing w:after="0"/>
            </w:pPr>
            <w:r>
              <w:t xml:space="preserve">Little or nothing: separate nodes or clusters</w:t>
            </w:r>
          </w:p>
        </w:tc>
      </w:tr>
      <w:tr>
        <w:trPr>
          <w:cantSplit/>
        </w:trPr>
        <w:tc>
          <w:tcPr>
            <w:tcW w:type="dxa" w:w="1900"/>
            <w:tcMar>
              <w:top w:type="dxa" w:w="70"/>
              <w:left w:type="dxa" w:w="110"/>
              <w:bottom w:type="dxa" w:w="70"/>
              <w:right w:type="dxa" w:w="110"/>
            </w:tcMar>
          </w:tcPr>
          <w:p>
            <w:pPr>
              <w:spacing w:after="0"/>
            </w:pPr>
            <w:r>
              <w:rPr>
                <w:b/>
                <w:bCs/>
              </w:rPr>
              <w:t xml:space="preserve">Isolation by</w:t>
            </w:r>
          </w:p>
        </w:tc>
        <w:tc>
          <w:tcPr>
            <w:tcW w:type="dxa" w:w="4000"/>
            <w:tcMar>
              <w:top w:type="dxa" w:w="70"/>
              <w:left w:type="dxa" w:w="110"/>
              <w:bottom w:type="dxa" w:w="70"/>
              <w:right w:type="dxa" w:w="110"/>
            </w:tcMar>
          </w:tcPr>
          <w:p>
            <w:pPr>
              <w:spacing w:after="0"/>
            </w:pPr>
            <w:r>
              <w:t xml:space="preserve">Policies: network, RBAC, Pod Security</w:t>
            </w:r>
          </w:p>
        </w:tc>
        <w:tc>
          <w:tcPr>
            <w:tcW w:type="dxa" w:w="3846"/>
            <w:tcMar>
              <w:top w:type="dxa" w:w="70"/>
              <w:left w:type="dxa" w:w="110"/>
              <w:bottom w:type="dxa" w:w="70"/>
              <w:right w:type="dxa" w:w="110"/>
            </w:tcMar>
          </w:tcPr>
          <w:p>
            <w:pPr>
              <w:spacing w:after="0"/>
            </w:pPr>
            <w:r>
              <w:t xml:space="preserve">Separate machines and control planes</w:t>
            </w:r>
          </w:p>
        </w:tc>
      </w:tr>
      <w:tr>
        <w:trPr>
          <w:cantSplit/>
        </w:trPr>
        <w:tc>
          <w:tcPr>
            <w:tcW w:type="dxa" w:w="1900"/>
            <w:tcMar>
              <w:top w:type="dxa" w:w="70"/>
              <w:left w:type="dxa" w:w="110"/>
              <w:bottom w:type="dxa" w:w="70"/>
              <w:right w:type="dxa" w:w="110"/>
            </w:tcMar>
          </w:tcPr>
          <w:p>
            <w:pPr>
              <w:spacing w:after="0"/>
            </w:pPr>
            <w:r>
              <w:rPr>
                <w:b/>
                <w:bCs/>
              </w:rPr>
              <w:t xml:space="preserve">Good for</w:t>
            </w:r>
          </w:p>
        </w:tc>
        <w:tc>
          <w:tcPr>
            <w:tcW w:type="dxa" w:w="4000"/>
            <w:tcMar>
              <w:top w:type="dxa" w:w="70"/>
              <w:left w:type="dxa" w:w="110"/>
              <w:bottom w:type="dxa" w:w="70"/>
              <w:right w:type="dxa" w:w="110"/>
            </w:tcMar>
          </w:tcPr>
          <w:p>
            <w:pPr>
              <w:spacing w:after="0"/>
            </w:pPr>
            <w:r>
              <w:t xml:space="preserve">Internal teams and environments we trust</w:t>
            </w:r>
          </w:p>
        </w:tc>
        <w:tc>
          <w:tcPr>
            <w:tcW w:type="dxa" w:w="3846"/>
            <w:tcMar>
              <w:top w:type="dxa" w:w="70"/>
              <w:left w:type="dxa" w:w="110"/>
              <w:bottom w:type="dxa" w:w="70"/>
              <w:right w:type="dxa" w:w="110"/>
            </w:tcMar>
          </w:tcPr>
          <w:p>
            <w:pPr>
              <w:spacing w:after="0"/>
            </w:pPr>
            <w:r>
              <w:t xml:space="preserve">Untrusted customers, strict compliance</w:t>
            </w:r>
          </w:p>
        </w:tc>
      </w:tr>
      <w:tr>
        <w:trPr>
          <w:cantSplit/>
        </w:trPr>
        <w:tc>
          <w:tcPr>
            <w:tcW w:type="dxa" w:w="1900"/>
            <w:tcMar>
              <w:top w:type="dxa" w:w="70"/>
              <w:left w:type="dxa" w:w="110"/>
              <w:bottom w:type="dxa" w:w="70"/>
              <w:right w:type="dxa" w:w="110"/>
            </w:tcMar>
          </w:tcPr>
          <w:p>
            <w:pPr>
              <w:spacing w:after="0"/>
            </w:pPr>
            <w:r>
              <w:rPr>
                <w:b/>
                <w:bCs/>
              </w:rPr>
              <w:t xml:space="preserve">Cost</w:t>
            </w:r>
          </w:p>
        </w:tc>
        <w:tc>
          <w:tcPr>
            <w:tcW w:type="dxa" w:w="4000"/>
            <w:tcMar>
              <w:top w:type="dxa" w:w="70"/>
              <w:left w:type="dxa" w:w="110"/>
              <w:bottom w:type="dxa" w:w="70"/>
              <w:right w:type="dxa" w:w="110"/>
            </w:tcMar>
          </w:tcPr>
          <w:p>
            <w:pPr>
              <w:spacing w:after="0"/>
            </w:pPr>
            <w:r>
              <w:t xml:space="preserve">Low: one cluster to run</w:t>
            </w:r>
          </w:p>
        </w:tc>
        <w:tc>
          <w:tcPr>
            <w:tcW w:type="dxa" w:w="3846"/>
            <w:tcMar>
              <w:top w:type="dxa" w:w="70"/>
              <w:left w:type="dxa" w:w="110"/>
              <w:bottom w:type="dxa" w:w="70"/>
              <w:right w:type="dxa" w:w="110"/>
            </w:tcMar>
          </w:tcPr>
          <w:p>
            <w:pPr>
              <w:spacing w:after="0"/>
            </w:pPr>
            <w:r>
              <w:t xml:space="preserve">High: many clusters or node pools</w:t>
            </w:r>
          </w:p>
        </w:tc>
      </w:tr>
    </w:tbl>
    <w:p>
      <w:pPr>
        <w:spacing w:after="160"/>
      </w:pPr>
    </w:p>
    <w:p>
      <w:pPr>
        <w:pStyle w:val="Heading2"/>
      </w:pPr>
      <w:r>
        <w:t xml:space="preserve">The picture</w:t>
      </w:r>
    </w:p>
    <w:p>
      <w:pPr>
        <w:keepNext/>
        <w:spacing w:after="40" w:before="120"/>
        <w:jc w:val="center"/>
      </w:pPr>
      <w:r>
        <w:drawing>
          <wp:inline distT="0" distB="0" distL="0" distR="0">
            <wp:extent cx="6191250" cy="3743325"/>
            <wp:effectExtent t="0" r="0" b="0" l="0"/>
            <wp:docPr id="1" name="cilium-overview" descr="Two tenant namespaces on a shared cluster, separated by Cilium" title="Two tenant namespaces on a shared cluster, separated by Cil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6191250" cy="3743325"/>
                    </a:xfrm>
                    <a:prstGeom prst="rect">
                      <a:avLst/>
                    </a:prstGeom>
                  </pic:spPr>
                </pic:pic>
              </a:graphicData>
            </a:graphic>
          </wp:inline>
        </w:drawing>
      </w:r>
    </w:p>
    <w:p>
      <w:pPr>
        <w:spacing w:after="240"/>
        <w:jc w:val="center"/>
      </w:pPr>
      <w:r>
        <w:rPr>
          <w:i/>
          <w:iCs/>
          <w:color w:val="5F6B7A"/>
          <w:sz w:val="16"/>
          <w:szCs w:val="16"/>
        </w:rPr>
        <w:t xml:space="preserve">Diagram: images/cilium-overview.svg (or .png)</w:t>
      </w:r>
    </w:p>
    <w:p>
      <w:pPr>
        <w:pStyle w:val="ListParagraph"/>
        <w:numPr>
          <w:ilvl w:val="0"/>
          <w:numId w:val="2"/>
        </w:numPr>
        <w:spacing w:after="70"/>
      </w:pPr>
      <w:r>
        <w:t xml:space="preserve">Pods </w:t>
      </w:r>
      <w:r>
        <w:rPr>
          <w:b/>
          <w:bCs/>
        </w:rPr>
        <w:t xml:space="preserve">inside</w:t>
      </w:r>
      <w:r>
        <w:t xml:space="preserve"> a tenant talk freely: </w:t>
      </w:r>
      <w:r>
        <w:rPr>
          <w:rFonts w:ascii="Consolas" w:cs="Consolas" w:eastAsia="Consolas" w:hAnsi="Consolas"/>
          <w:sz w:val="19"/>
          <w:szCs w:val="19"/>
        </w:rPr>
        <w:t xml:space="preserve">client</w:t>
      </w:r>
      <w:r>
        <w:t xml:space="preserve"> can call </w:t>
      </w:r>
      <w:r>
        <w:rPr>
          <w:rFonts w:ascii="Consolas" w:cs="Consolas" w:eastAsia="Consolas" w:hAnsi="Consolas"/>
          <w:sz w:val="19"/>
          <w:szCs w:val="19"/>
        </w:rPr>
        <w:t xml:space="preserve">web</w:t>
      </w:r>
      <w:r>
        <w:t xml:space="preserve">.</w:t>
      </w:r>
    </w:p>
    <w:p>
      <w:pPr>
        <w:pStyle w:val="ListParagraph"/>
        <w:numPr>
          <w:ilvl w:val="0"/>
          <w:numId w:val="2"/>
        </w:numPr>
        <w:spacing w:after="70"/>
      </w:pPr>
      <w:r>
        <w:t xml:space="preserve">Traffic </w:t>
      </w:r>
      <w:r>
        <w:rPr>
          <w:b/>
          <w:bCs/>
        </w:rPr>
        <w:t xml:space="preserve">between</w:t>
      </w:r>
      <w:r>
        <w:t xml:space="preserve"> tenants is denied in both directions, on every node.</w:t>
      </w:r>
    </w:p>
    <w:p>
      <w:pPr>
        <w:pStyle w:val="ListParagraph"/>
        <w:numPr>
          <w:ilvl w:val="0"/>
          <w:numId w:val="2"/>
        </w:numPr>
        <w:spacing w:after="70"/>
      </w:pPr>
      <w:r>
        <w:t xml:space="preserve">Both tenants use the shared CoreDNS, but each can only resolve </w:t>
      </w:r>
      <w:r>
        <w:rPr>
          <w:b/>
          <w:bCs/>
        </w:rPr>
        <w:t xml:space="preserve">its own</w:t>
      </w:r>
      <w:r>
        <w:t xml:space="preserve"> names.</w:t>
      </w:r>
    </w:p>
    <w:p>
      <w:pPr>
        <w:pStyle w:val="ListParagraph"/>
        <w:numPr>
          <w:ilvl w:val="0"/>
          <w:numId w:val="2"/>
        </w:numPr>
        <w:spacing w:after="70"/>
      </w:pPr>
      <w:r>
        <w:t xml:space="preserve">Leaving the cluster is an allowlist, per tenant: tenant-a may reach </w:t>
      </w:r>
      <w:r>
        <w:rPr>
          <w:rFonts w:ascii="Consolas" w:cs="Consolas" w:eastAsia="Consolas" w:hAnsi="Consolas"/>
          <w:sz w:val="19"/>
          <w:szCs w:val="19"/>
        </w:rPr>
        <w:t xml:space="preserve">example.com</w:t>
      </w:r>
      <w:r>
        <w:t xml:space="preserve">, tenant-b nothing.</w:t>
      </w:r>
    </w:p>
    <w:p>
      <w:pPr>
        <w:pStyle w:val="Heading2"/>
      </w:pPr>
      <w:r>
        <w:t xml:space="preserve">How Cilium decides who may talk</w:t>
      </w:r>
    </w:p>
    <w:p>
      <w:pPr>
        <w:keepNext/>
        <w:spacing w:after="40" w:before="120"/>
        <w:jc w:val="center"/>
      </w:pPr>
      <w:r>
        <w:drawing>
          <wp:inline distT="0" distB="0" distL="0" distR="0">
            <wp:extent cx="6191250" cy="2771775"/>
            <wp:effectExtent t="0" r="0" b="0" l="0"/>
            <wp:docPr id="1" name="cilium-identity" descr="Pod labels become a Cilium identity that is checked on every packet" title="Pod labels become a Cilium identity that is checked on every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6191250" cy="2771775"/>
                    </a:xfrm>
                    <a:prstGeom prst="rect">
                      <a:avLst/>
                    </a:prstGeom>
                  </pic:spPr>
                </pic:pic>
              </a:graphicData>
            </a:graphic>
          </wp:inline>
        </w:drawing>
      </w:r>
    </w:p>
    <w:p>
      <w:pPr>
        <w:spacing w:after="240"/>
        <w:jc w:val="center"/>
      </w:pPr>
      <w:r>
        <w:rPr>
          <w:i/>
          <w:iCs/>
          <w:color w:val="5F6B7A"/>
          <w:sz w:val="16"/>
          <w:szCs w:val="16"/>
        </w:rPr>
        <w:t xml:space="preserve">Diagram: images/cilium-identity.svg (or .png)</w:t>
      </w:r>
    </w:p>
    <w:p>
      <w:pPr>
        <w:spacing w:after="140"/>
      </w:pPr>
      <w:r>
        <w:t xml:space="preserve">Cilium does not filter by IP address. When a pod starts, Cilium turns the pod's labels, including its </w:t>
      </w:r>
      <w:r>
        <w:rPr>
          <w:b/>
          <w:bCs/>
        </w:rPr>
        <w:t xml:space="preserve">namespace labels</w:t>
      </w:r>
      <w:r>
        <w:t xml:space="preserve">, into a numeric </w:t>
      </w:r>
      <w:r>
        <w:rPr>
          <w:b/>
          <w:bCs/>
        </w:rPr>
        <w:t xml:space="preserve">identity</w:t>
      </w:r>
      <w:r>
        <w:t xml:space="preserve">. On every packet, eBPF code on the node checks the source identity, the destination identity and the port against the policy.</w:t>
      </w:r>
    </w:p>
    <w:p>
      <w:pPr>
        <w:spacing w:after="140"/>
      </w:pPr>
      <w:r>
        <w:t xml:space="preserve">The key point: we base every decision on the </w:t>
      </w:r>
      <w:r>
        <w:rPr>
          <w:b/>
          <w:bCs/>
        </w:rPr>
        <w:t xml:space="preserve">namespace label</w:t>
      </w:r>
      <w:r>
        <w:t xml:space="preserve"> </w:t>
      </w:r>
      <w:r>
        <w:rPr>
          <w:rFonts w:ascii="Consolas" w:cs="Consolas" w:eastAsia="Consolas" w:hAnsi="Consolas"/>
          <w:sz w:val="19"/>
          <w:szCs w:val="19"/>
        </w:rPr>
        <w:t xml:space="preserve">tenant</w:t>
      </w:r>
      <w:r>
        <w:t xml:space="preserve">. Only the platform team can set it. Pod labels are chosen by the tenants themselves, so we never trust them.</w:t>
      </w:r>
    </w:p>
    <w:p>
      <w:pPr>
        <w:pStyle w:val="Heading2"/>
      </w:pPr>
      <w:r>
        <w:t xml:space="preserve">One policy per tenant</w:t>
      </w:r>
    </w:p>
    <w:p>
      <w:pPr>
        <w:spacing w:after="140"/>
      </w:pPr>
      <w:r>
        <w:t xml:space="preserve">Each tenant gets one </w:t>
      </w:r>
      <w:r>
        <w:rPr>
          <w:rFonts w:ascii="Consolas" w:cs="Consolas" w:eastAsia="Consolas" w:hAnsi="Consolas"/>
          <w:sz w:val="19"/>
          <w:szCs w:val="19"/>
        </w:rPr>
        <w:t xml:space="preserve">CiliumClusterwideNetworkPolicy</w:t>
      </w:r>
      <w:r>
        <w:t xml:space="preserve">, owned by the platform team. Tenants cannot see or change it. A simplified version for tenant-a: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60" w:line="240"/>
        <w:ind w:left="100" w:right="100"/>
      </w:pPr>
      <w:r>
        <w:rPr>
          <w:rFonts w:ascii="Consolas" w:cs="Consolas" w:eastAsia="Consolas" w:hAnsi="Consolas"/>
          <w:color w:val="24292F"/>
          <w:sz w:val="16"/>
          <w:szCs w:val="16"/>
        </w:rPr>
        <w:t xml:space="preserve">apiVersion: cilium.io/v2</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kind: CiliumClusterwideNetworkPolicy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metadata: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name: tenant-a-baseline</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spec:</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endpointSelector:                        # every pod in tenant a's namespaces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ingress:                                 # who may call tenant a: only 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egress: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toEndpoints:                         # tenant a may call 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k8s:io.cilium.k8s.namespace.labels.tenant: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toEndpoints:                         # DNS, but only tenant a's own names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matchLabels: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k8s:io.kubernetes.pod.namespace: kube-system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k8s:k8s-app: kube-dns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ports: [{port: "53", protocol: ANY}]</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rules: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dns: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matchPattern: "*.tenant-a.svc.cluster.local"</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matchName: "example.com"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toFQDNs:                             # the internet allowlist</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matchName: "example.com"</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toPorts: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ports: [{port: "443", protocol: TCP}]</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ingressDeny:                             # any other tenant: always denied</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fromEndpoints: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matchExpressions: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{key: k8s:io.cilium.k8s.namespace.labels.tenant, operator: Exists}</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0" w:before="0" w:line="240"/>
        <w:ind w:left="100" w:right="100"/>
      </w:pPr>
      <w:r>
        <w:rPr>
          <w:rFonts w:ascii="Consolas" w:cs="Consolas" w:eastAsia="Consolas" w:hAnsi="Consolas"/>
          <w:color w:val="24292F"/>
          <w:sz w:val="16"/>
          <w:szCs w:val="16"/>
        </w:rPr>
        <w:t xml:space="preserve">            - {key: k8s:io.cilium.k8s.namespace.labels.tenant, operator: NotIn, values: ["a"]}</w:t>
      </w:r>
    </w:p>
    <w:p>
      <w:pPr>
        <w:keepNext w:val="false"/>
        <w:keepLines/>
        <w:pBdr>
          <w:top w:val="single" w:color="D0D7DE" w:sz="4" w:space="4"/>
          <w:left w:val="single" w:color="D0D7DE" w:sz="4" w:space="4"/>
          <w:bottom w:val="single" w:color="D0D7DE" w:sz="4" w:space="4"/>
          <w:right w:val="single" w:color="D0D7DE" w:sz="4" w:space="4"/>
        </w:pBdr>
        <w:shd w:fill="F4F6F8" w:color="auto" w:val="clear"/>
        <w:spacing w:after="200" w:before="0" w:line="240"/>
        <w:ind w:left="100" w:right="100"/>
      </w:pPr>
      <w:r>
        <w:rPr>
          <w:rFonts w:ascii="Consolas" w:cs="Consolas" w:eastAsia="Consolas" w:hAnsi="Consolas"/>
          <w:color w:val="24292F"/>
          <w:sz w:val="16"/>
          <w:szCs w:val="16"/>
        </w:rPr>
        <w:t xml:space="preserve">  # egressDeny: the same selector again, for the other direction</w:t>
      </w:r>
    </w:p>
    <w:p>
      <w:pPr>
        <w:spacing w:after="140"/>
      </w:pPr>
      <w:r>
        <w:t xml:space="preserve">Once a policy selects a pod, </w:t>
      </w:r>
      <w:r>
        <w:rPr>
          <w:b/>
          <w:bCs/>
        </w:rPr>
        <w:t xml:space="preserve">everything not listed is dropped</w:t>
      </w:r>
      <w:r>
        <w:t xml:space="preserve">. The full version, with both deny directions, is in the step-by-step guide.</w:t>
      </w:r>
    </w:p>
    <w:p>
      <w:pPr>
        <w:pStyle w:val="Heading2"/>
      </w:pPr>
      <w:r>
        <w:t xml:space="preserve">Deny beats allow</w:t>
      </w:r>
    </w:p>
    <w:p>
      <w:pPr>
        <w:keepNext/>
        <w:spacing w:after="40" w:before="120"/>
        <w:jc w:val="center"/>
      </w:pPr>
      <w:r>
        <w:drawing>
          <wp:inline distT="0" distB="0" distL="0" distR="0">
            <wp:extent cx="6191250" cy="2705100"/>
            <wp:effectExtent t="0" r="0" b="0" l="0"/>
            <wp:docPr id="1" name="cilium-deny" descr="A platform deny rule overrides an allow rule added by mistake" title="A platform deny rule overrides an allow rule added by mis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6191250" cy="2705100"/>
                    </a:xfrm>
                    <a:prstGeom prst="rect">
                      <a:avLst/>
                    </a:prstGeom>
                  </pic:spPr>
                </pic:pic>
              </a:graphicData>
            </a:graphic>
          </wp:inline>
        </w:drawing>
      </w:r>
    </w:p>
    <w:p>
      <w:pPr>
        <w:spacing w:after="240"/>
        <w:jc w:val="center"/>
      </w:pPr>
      <w:r>
        <w:rPr>
          <w:i/>
          <w:iCs/>
          <w:color w:val="5F6B7A"/>
          <w:sz w:val="16"/>
          <w:szCs w:val="16"/>
        </w:rPr>
        <w:t xml:space="preserve">Diagram: images/cilium-deny.svg (or .png)</w:t>
      </w:r>
    </w:p>
    <w:p>
      <w:pPr>
        <w:spacing w:after="140"/>
      </w:pPr>
      <w:r>
        <w:t xml:space="preserve">Mistakes happen: someone might add a NetworkPolicy that allows tenant-a to reach tenant-b. Because the platform policy contains explicit </w:t>
      </w:r>
      <w:r>
        <w:rPr>
          <w:b/>
          <w:bCs/>
        </w:rPr>
        <w:t xml:space="preserve">deny</w:t>
      </w:r>
      <w:r>
        <w:t xml:space="preserve"> rules, and Cilium always checks deny rules first, that traffic is still dropped. The allow rule simply has no effect.</w:t>
      </w:r>
    </w:p>
    <w:p>
      <w:pPr>
        <w:pStyle w:val="Heading2"/>
      </w:pPr>
      <w:r>
        <w:t xml:space="preserve">DNS filtering</w:t>
      </w:r>
    </w:p>
    <w:p>
      <w:pPr>
        <w:keepNext/>
        <w:spacing w:after="40" w:before="120"/>
        <w:jc w:val="center"/>
      </w:pPr>
      <w:r>
        <w:drawing>
          <wp:inline distT="0" distB="0" distL="0" distR="0">
            <wp:extent cx="6191250" cy="3095625"/>
            <wp:effectExtent t="0" r="0" b="0" l="0"/>
            <wp:docPr id="1" name="cilium-dns" descr="Cilium DNS proxy forwards allowed names and answers NXDOMAIN for the rest" title="Cilium DNS proxy forwards allowed names and answers NXDOMAIN for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6191250" cy="3095625"/>
                    </a:xfrm>
                    <a:prstGeom prst="rect">
                      <a:avLst/>
                    </a:prstGeom>
                  </pic:spPr>
                </pic:pic>
              </a:graphicData>
            </a:graphic>
          </wp:inline>
        </w:drawing>
      </w:r>
    </w:p>
    <w:p>
      <w:pPr>
        <w:spacing w:after="240"/>
        <w:jc w:val="center"/>
      </w:pPr>
      <w:r>
        <w:rPr>
          <w:i/>
          <w:iCs/>
          <w:color w:val="5F6B7A"/>
          <w:sz w:val="16"/>
          <w:szCs w:val="16"/>
        </w:rPr>
        <w:t xml:space="preserve">Diagram: images/cilium-dns.svg (or .png)</w:t>
      </w:r>
    </w:p>
    <w:p>
      <w:pPr>
        <w:spacing w:after="140"/>
      </w:pPr>
      <w:r>
        <w:t xml:space="preserve">Because the policy contains DNS rules, every DNS query from a tenant pod goes through Cilium's DNS proxy first. Allowed names are forwarded to CoreDNS. Anything else is answered with </w:t>
      </w:r>
      <w:r>
        <w:rPr>
          <w:b/>
          <w:bCs/>
        </w:rPr>
        <w:t xml:space="preserve">NXDOMAIN</w:t>
      </w:r>
      <w:r>
        <w:t xml:space="preserve"> ("this name does not exist"), so tenant-a cannot even discover which services tenant-b runs. The same lookups tell Cilium which IP addresses </w:t>
      </w:r>
      <w:r>
        <w:rPr>
          <w:rFonts w:ascii="Consolas" w:cs="Consolas" w:eastAsia="Consolas" w:hAnsi="Consolas"/>
          <w:sz w:val="19"/>
          <w:szCs w:val="19"/>
        </w:rPr>
        <w:t xml:space="preserve">example.com</w:t>
      </w:r>
      <w:r>
        <w:t xml:space="preserve"> uses, which is how the internet allowlist works.</w:t>
      </w:r>
    </w:p>
    <w:p>
      <w:pPr>
        <w:pBdr>
          <w:left w:val="single" w:color="2E5C8A" w:sz="24" w:space="8"/>
        </w:pBdr>
        <w:shd w:fill="EEF4FB" w:color="auto" w:val="clear"/>
        <w:spacing w:after="220" w:before="120"/>
        <w:ind w:left="180" w:right="120"/>
      </w:pPr>
      <w:r>
        <w:rPr>
          <w:b/>
          <w:bCs/>
          <w:color w:val="2E5C8A"/>
        </w:rPr>
        <w:t xml:space="preserve">Setting  </w:t>
      </w:r>
      <w:r>
        <w:t xml:space="preserve">Cilium answers blocked names with REFUSED by default, which breaks normal lookups (Linux resolvers give up on REFUSED). We set </w:t>
      </w:r>
      <w:r>
        <w:rPr>
          <w:rFonts w:ascii="Consolas" w:cs="Consolas" w:eastAsia="Consolas" w:hAnsi="Consolas"/>
          <w:sz w:val="19"/>
          <w:szCs w:val="19"/>
        </w:rPr>
        <w:t xml:space="preserve">dnsProxy.dnsRejectResponseCode: nameError</w:t>
      </w:r>
      <w:r>
        <w:t xml:space="preserve"> in Cilium's Helm values.</w:t>
      </w:r>
    </w:p>
    <w:p>
      <w:pPr>
        <w:pStyle w:val="Heading2"/>
      </w:pPr>
      <w:r>
        <w:t xml:space="preserve">Why Cilium alone is not enough</w:t>
      </w:r>
    </w:p>
    <w:p>
      <w:pPr>
        <w:keepNext/>
        <w:spacing w:after="40" w:before="120"/>
        <w:jc w:val="center"/>
      </w:pPr>
      <w:r>
        <w:drawing>
          <wp:inline distT="0" distB="0" distL="0" distR="0">
            <wp:extent cx="6191250" cy="3419475"/>
            <wp:effectExtent t="0" r="0" b="0" l="0"/>
            <wp:docPr id="1" name="cilium-layers" descr="Five guardrail layers from admission control to DNS filtering" title="Five guardrail layers from admission control to DNS fil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extLst>
                        <a:ext uri="{96DAC541-7B7A-43D3-8B79-37D633B846F1}">
                          <asvg:svgBlip xmlns:asvg="http://schemas.microsoft.com/office/drawing/2016/SVG/main" r:embed="rId15"/>
                        </a:ext>
                      </a:extLst>
                    </a:blip>
                    <a:srcRect/>
                    <a:stretch>
                      <a:fillRect/>
                    </a:stretch>
                  </pic:blipFill>
                  <pic:spPr bwMode="auto">
                    <a:xfrm>
                      <a:off x="0" y="0"/>
                      <a:ext cx="6191250" cy="3419475"/>
                    </a:xfrm>
                    <a:prstGeom prst="rect">
                      <a:avLst/>
                    </a:prstGeom>
                  </pic:spPr>
                </pic:pic>
              </a:graphicData>
            </a:graphic>
          </wp:inline>
        </w:drawing>
      </w:r>
    </w:p>
    <w:p>
      <w:pPr>
        <w:spacing w:after="240"/>
        <w:jc w:val="center"/>
      </w:pPr>
      <w:r>
        <w:rPr>
          <w:i/>
          <w:iCs/>
          <w:color w:val="5F6B7A"/>
          <w:sz w:val="16"/>
          <w:szCs w:val="16"/>
        </w:rPr>
        <w:t xml:space="preserve">Diagram: images/cilium-layers.svg (or .png)</w:t>
      </w:r>
    </w:p>
    <w:p>
      <w:pPr>
        <w:spacing w:after="140"/>
      </w:pPr>
      <w:r>
        <w:t xml:space="preserve">Cilium does the isolation, but someone could still walk around it. A pod with </w:t>
      </w:r>
      <w:r>
        <w:rPr>
          <w:rFonts w:ascii="Consolas" w:cs="Consolas" w:eastAsia="Consolas" w:hAnsi="Consolas"/>
          <w:sz w:val="19"/>
          <w:szCs w:val="19"/>
        </w:rPr>
        <w:t xml:space="preserve">hostNetwork: true</w:t>
      </w:r>
      <w:r>
        <w:t xml:space="preserve"> uses the node's network and identity instead of its own, and a tenant allowed to write network policies could open their own firewall. The three Kubernetes layers close those doors, so the two Cilium layers can do their job.</w:t>
      </w:r>
    </w:p>
    <w:p>
      <w:pPr>
        <w:pStyle w:val="Heading2"/>
      </w:pPr>
      <w:r>
        <w:t xml:space="preserve">Ingress with kgateway</w:t>
      </w:r>
    </w:p>
    <w:p>
      <w:pPr>
        <w:keepNext/>
        <w:spacing w:after="40" w:before="120"/>
        <w:jc w:val="center"/>
      </w:pPr>
      <w:r>
        <w:drawing>
          <wp:inline distT="0" distB="0" distL="0" distR="0">
            <wp:extent cx="6191250" cy="3743325"/>
            <wp:effectExtent t="0" r="0" b="0" l="0"/>
            <wp:docPr id="1" name="cilium-kgateway" descr="One kgateway Gateway per tenant, each pinned to its tenant by Cilium" title="One kgateway Gateway per tenant, each pinned to its tenant by Cil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6191250" cy="3743325"/>
                    </a:xfrm>
                    <a:prstGeom prst="rect">
                      <a:avLst/>
                    </a:prstGeom>
                  </pic:spPr>
                </pic:pic>
              </a:graphicData>
            </a:graphic>
          </wp:inline>
        </w:drawing>
      </w:r>
    </w:p>
    <w:p>
      <w:pPr>
        <w:spacing w:after="240"/>
        <w:jc w:val="center"/>
      </w:pPr>
      <w:r>
        <w:rPr>
          <w:i/>
          <w:iCs/>
          <w:color w:val="5F6B7A"/>
          <w:sz w:val="16"/>
          <w:szCs w:val="16"/>
        </w:rPr>
        <w:t xml:space="preserve">Diagram: images/cilium-kgateway.svg (or .png)</w:t>
      </w:r>
    </w:p>
    <w:p>
      <w:pPr>
        <w:spacing w:after="140"/>
      </w:pPr>
      <w:r>
        <w:t xml:space="preserve">An ingress talks to every backend, which makes it the easiest place to lose isolation. So each tenant gets its </w:t>
      </w:r>
      <w:r>
        <w:rPr>
          <w:b/>
          <w:bCs/>
        </w:rPr>
        <w:t xml:space="preserve">own Gateway</w:t>
      </w:r>
      <w:r>
        <w:t xml:space="preserve"> in kgateway, and with it its own Envoy proxy. The Gateways belong to the platform and live in </w:t>
      </w:r>
      <w:r>
        <w:rPr>
          <w:rFonts w:ascii="Consolas" w:cs="Consolas" w:eastAsia="Consolas" w:hAnsi="Consolas"/>
          <w:sz w:val="19"/>
          <w:szCs w:val="19"/>
        </w:rPr>
        <w:t xml:space="preserve">kgateway-system</w:t>
      </w:r>
      <w:r>
        <w:t xml:space="preserve">. Tenants publish their apps by creating an </w:t>
      </w:r>
      <w:r>
        <w:rPr>
          <w:rFonts w:ascii="Consolas" w:cs="Consolas" w:eastAsia="Consolas" w:hAnsi="Consolas"/>
          <w:sz w:val="19"/>
          <w:szCs w:val="19"/>
        </w:rPr>
        <w:t xml:space="preserve">HTTPRoute</w:t>
      </w:r>
      <w:r>
        <w:t xml:space="preserve"> in their own namespace.</w:t>
      </w:r>
    </w:p>
    <w:p>
      <w:pPr>
        <w:pStyle w:val="ListParagraph"/>
        <w:numPr>
          <w:ilvl w:val="0"/>
          <w:numId w:val="2"/>
        </w:numPr>
        <w:spacing w:after="70"/>
      </w:pPr>
      <w:r>
        <w:rPr>
          <w:b/>
          <w:bCs/>
        </w:rPr>
        <w:t xml:space="preserve">Listener:</w:t>
      </w:r>
      <w:r>
        <w:t xml:space="preserve"> tenant-a's Gateway only accepts routes from tenant-a's namespaces, so tenant-b cannot steal </w:t>
      </w:r>
      <w:r>
        <w:rPr>
          <w:rFonts w:ascii="Consolas" w:cs="Consolas" w:eastAsia="Consolas" w:hAnsi="Consolas"/>
          <w:sz w:val="19"/>
          <w:szCs w:val="19"/>
        </w:rPr>
        <w:t xml:space="preserve">web.tenant-a...</w:t>
      </w:r>
      <w:r>
        <w:t xml:space="preserve"> with a route of its own.</w:t>
      </w:r>
    </w:p>
    <w:p>
      <w:pPr>
        <w:pStyle w:val="ListParagraph"/>
        <w:numPr>
          <w:ilvl w:val="0"/>
          <w:numId w:val="2"/>
        </w:numPr>
        <w:spacing w:after="70"/>
      </w:pPr>
      <w:r>
        <w:rPr>
          <w:b/>
          <w:bCs/>
        </w:rPr>
        <w:t xml:space="preserve">RBAC:</w:t>
      </w:r>
      <w:r>
        <w:t xml:space="preserve"> tenants may create HTTPRoutes and nothing else. No ReferenceGrant (which would let another tenant's route use your service), and no kgateway </w:t>
      </w:r>
      <w:r>
        <w:rPr>
          <w:rFonts w:ascii="Consolas" w:cs="Consolas" w:eastAsia="Consolas" w:hAnsi="Consolas"/>
          <w:sz w:val="19"/>
          <w:szCs w:val="19"/>
        </w:rPr>
        <w:t xml:space="preserve">Backend</w:t>
      </w:r>
      <w:r>
        <w:t xml:space="preserve"> (which can point at any host).</w:t>
      </w:r>
    </w:p>
    <w:p>
      <w:pPr>
        <w:pStyle w:val="ListParagraph"/>
        <w:numPr>
          <w:ilvl w:val="0"/>
          <w:numId w:val="2"/>
        </w:numPr>
        <w:spacing w:after="70"/>
      </w:pPr>
      <w:r>
        <w:rPr>
          <w:b/>
          <w:bCs/>
        </w:rPr>
        <w:t xml:space="preserve">Cilium:</w:t>
      </w:r>
      <w:r>
        <w:t xml:space="preserve"> each proxy may only reach its own tenant, and each tenant only accepts its own proxy. Even a rogue route cannot cross over.</w:t>
      </w:r>
    </w:p>
    <w:p>
      <w:pPr>
        <w:spacing w:after="140"/>
      </w:pPr>
      <w:r>
        <w:t xml:space="preserve">Why not one shared Gateway? Its proxy would need a way into every tenant, and on that hop Cilium would see a single identity. One proxy per tenant keeps the network in charge.</w:t>
      </w:r>
    </w:p>
    <w:p>
      <w:pPr>
        <w:pBdr>
          <w:left w:val="single" w:color="2E5C8A" w:sz="24" w:space="8"/>
        </w:pBdr>
        <w:shd w:fill="EEF4FB" w:color="auto" w:val="clear"/>
        <w:spacing w:after="220" w:before="120"/>
        <w:ind w:left="180" w:right="120"/>
      </w:pPr>
      <w:r>
        <w:rPr>
          <w:b/>
          <w:bCs/>
          <w:color w:val="2E5C8A"/>
        </w:rPr>
        <w:t xml:space="preserve">Inside the cluster  </w:t>
      </w:r>
      <w:r>
        <w:t xml:space="preserve">Tenant pods cannot reach any gateway. The ingress is for traffic from outside; inside the cluster, pods use service names.</w:t>
      </w:r>
    </w:p>
    <w:p>
      <w:pPr>
        <w:pStyle w:val="Heading2"/>
      </w:pPr>
      <w:r>
        <w:t xml:space="preserve">Try it yourself</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2500"/>
        <w:gridCol w:w="4846"/>
        <w:gridCol w:w="2400"/>
      </w:tblGrid>
      <w:tr>
        <w:trPr>
          <w:tblHeader/>
        </w:trPr>
        <w:tc>
          <w:tcPr>
            <w:tcW w:type="dxa" w:w="2500"/>
            <w:shd w:fill="DCE6F1" w:color="auto" w:val="clear"/>
            <w:tcMar>
              <w:top w:type="dxa" w:w="70"/>
              <w:left w:type="dxa" w:w="110"/>
              <w:bottom w:type="dxa" w:w="70"/>
              <w:right w:type="dxa" w:w="110"/>
            </w:tcMar>
          </w:tcPr>
          <w:p>
            <w:pPr>
              <w:spacing w:after="0"/>
            </w:pPr>
            <w:r>
              <w:rPr>
                <w:b/>
                <w:bCs/>
              </w:rPr>
              <w:t xml:space="preserve">What we check</w:t>
            </w:r>
          </w:p>
        </w:tc>
        <w:tc>
          <w:tcPr>
            <w:tcW w:type="dxa" w:w="4846"/>
            <w:shd w:fill="DCE6F1" w:color="auto" w:val="clear"/>
            <w:tcMar>
              <w:top w:type="dxa" w:w="70"/>
              <w:left w:type="dxa" w:w="110"/>
              <w:bottom w:type="dxa" w:w="70"/>
              <w:right w:type="dxa" w:w="110"/>
            </w:tcMar>
          </w:tcPr>
          <w:p>
            <w:pPr>
              <w:spacing w:after="0"/>
            </w:pPr>
            <w:r>
              <w:rPr>
                <w:b/>
                <w:bCs/>
              </w:rPr>
              <w:t xml:space="preserve">Command (from tenant-a's client pod)</w:t>
            </w:r>
          </w:p>
        </w:tc>
        <w:tc>
          <w:tcPr>
            <w:tcW w:type="dxa" w:w="2400"/>
            <w:shd w:fill="DCE6F1" w:color="auto" w:val="clear"/>
            <w:tcMar>
              <w:top w:type="dxa" w:w="70"/>
              <w:left w:type="dxa" w:w="110"/>
              <w:bottom w:type="dxa" w:w="70"/>
              <w:right w:type="dxa" w:w="110"/>
            </w:tcMar>
          </w:tcPr>
          <w:p>
            <w:pPr>
              <w:spacing w:after="0"/>
            </w:pPr>
            <w:r>
              <w:rPr>
                <w:b/>
                <w:bCs/>
              </w:rPr>
              <w:t xml:space="preserve">Expected</w:t>
            </w:r>
          </w:p>
        </w:tc>
      </w:tr>
      <w:tr>
        <w:trPr>
          <w:cantSplit/>
        </w:trPr>
        <w:tc>
          <w:tcPr>
            <w:tcW w:type="dxa" w:w="2500"/>
            <w:tcMar>
              <w:top w:type="dxa" w:w="70"/>
              <w:left w:type="dxa" w:w="110"/>
              <w:bottom w:type="dxa" w:w="70"/>
              <w:right w:type="dxa" w:w="110"/>
            </w:tcMar>
          </w:tcPr>
          <w:p>
            <w:pPr>
              <w:spacing w:after="0"/>
            </w:pPr>
            <w:r>
              <w:t xml:space="preserve">Same tenant works</w:t>
            </w:r>
          </w:p>
        </w:tc>
        <w:tc>
          <w:tcPr>
            <w:tcW w:type="dxa" w:w="4846"/>
            <w:tcMar>
              <w:top w:type="dxa" w:w="70"/>
              <w:left w:type="dxa" w:w="110"/>
              <w:bottom w:type="dxa" w:w="70"/>
              <w:right w:type="dxa" w:w="110"/>
            </w:tcMar>
          </w:tcPr>
          <w:p>
            <w:pPr>
              <w:spacing w:after="0"/>
            </w:pPr>
            <w:r>
              <w:rPr>
                <w:rFonts w:ascii="Consolas" w:cs="Consolas" w:eastAsia="Consolas" w:hAnsi="Consolas"/>
                <w:sz w:val="19"/>
                <w:szCs w:val="19"/>
              </w:rPr>
              <w:t xml:space="preserve">curl -s http://web</w:t>
            </w:r>
          </w:p>
        </w:tc>
        <w:tc>
          <w:tcPr>
            <w:tcW w:type="dxa" w:w="2400"/>
            <w:tcMar>
              <w:top w:type="dxa" w:w="70"/>
              <w:left w:type="dxa" w:w="110"/>
              <w:bottom w:type="dxa" w:w="70"/>
              <w:right w:type="dxa" w:w="110"/>
            </w:tcMar>
          </w:tcPr>
          <w:p>
            <w:pPr>
              <w:spacing w:after="0"/>
            </w:pPr>
            <w:r>
              <w:t xml:space="preserve">"hello from tenant-a"</w:t>
            </w:r>
          </w:p>
        </w:tc>
      </w:tr>
      <w:tr>
        <w:trPr>
          <w:cantSplit/>
        </w:trPr>
        <w:tc>
          <w:tcPr>
            <w:tcW w:type="dxa" w:w="2500"/>
            <w:tcMar>
              <w:top w:type="dxa" w:w="70"/>
              <w:left w:type="dxa" w:w="110"/>
              <w:bottom w:type="dxa" w:w="70"/>
              <w:right w:type="dxa" w:w="110"/>
            </w:tcMar>
          </w:tcPr>
          <w:p>
            <w:pPr>
              <w:spacing w:after="0"/>
            </w:pPr>
            <w:r>
              <w:t xml:space="preserve">Other tenant is blocked</w:t>
            </w:r>
          </w:p>
        </w:tc>
        <w:tc>
          <w:tcPr>
            <w:tcW w:type="dxa" w:w="4846"/>
            <w:tcMar>
              <w:top w:type="dxa" w:w="70"/>
              <w:left w:type="dxa" w:w="110"/>
              <w:bottom w:type="dxa" w:w="70"/>
              <w:right w:type="dxa" w:w="110"/>
            </w:tcMar>
          </w:tcPr>
          <w:p>
            <w:pPr>
              <w:spacing w:after="0"/>
            </w:pPr>
            <w:r>
              <w:rPr>
                <w:rFonts w:ascii="Consolas" w:cs="Consolas" w:eastAsia="Consolas" w:hAnsi="Consolas"/>
                <w:sz w:val="19"/>
                <w:szCs w:val="19"/>
              </w:rPr>
              <w:t xml:space="preserve">curl -s -m 3 http://&lt;tenant-b pod IP&gt;:8080</w:t>
            </w:r>
          </w:p>
        </w:tc>
        <w:tc>
          <w:tcPr>
            <w:tcW w:type="dxa" w:w="2400"/>
            <w:tcMar>
              <w:top w:type="dxa" w:w="70"/>
              <w:left w:type="dxa" w:w="110"/>
              <w:bottom w:type="dxa" w:w="70"/>
              <w:right w:type="dxa" w:w="110"/>
            </w:tcMar>
          </w:tcPr>
          <w:p>
            <w:pPr>
              <w:spacing w:after="0"/>
            </w:pPr>
            <w:r>
              <w:t xml:space="preserve">timeout</w:t>
            </w:r>
          </w:p>
        </w:tc>
      </w:tr>
      <w:tr>
        <w:trPr>
          <w:cantSplit/>
        </w:trPr>
        <w:tc>
          <w:tcPr>
            <w:tcW w:type="dxa" w:w="2500"/>
            <w:tcMar>
              <w:top w:type="dxa" w:w="70"/>
              <w:left w:type="dxa" w:w="110"/>
              <w:bottom w:type="dxa" w:w="70"/>
              <w:right w:type="dxa" w:w="110"/>
            </w:tcMar>
          </w:tcPr>
          <w:p>
            <w:pPr>
              <w:spacing w:after="0"/>
            </w:pPr>
            <w:r>
              <w:t xml:space="preserve">Other tenant's names are hidden</w:t>
            </w:r>
          </w:p>
        </w:tc>
        <w:tc>
          <w:tcPr>
            <w:tcW w:type="dxa" w:w="4846"/>
            <w:tcMar>
              <w:top w:type="dxa" w:w="70"/>
              <w:left w:type="dxa" w:w="110"/>
              <w:bottom w:type="dxa" w:w="70"/>
              <w:right w:type="dxa" w:w="110"/>
            </w:tcMar>
          </w:tcPr>
          <w:p>
            <w:pPr>
              <w:spacing w:after="0"/>
            </w:pPr>
            <w:r>
              <w:rPr>
                <w:rFonts w:ascii="Consolas" w:cs="Consolas" w:eastAsia="Consolas" w:hAnsi="Consolas"/>
                <w:sz w:val="19"/>
                <w:szCs w:val="19"/>
              </w:rPr>
              <w:t xml:space="preserve">dig web.tenant-b.svc.cluster.local</w:t>
            </w:r>
          </w:p>
        </w:tc>
        <w:tc>
          <w:tcPr>
            <w:tcW w:type="dxa" w:w="2400"/>
            <w:tcMar>
              <w:top w:type="dxa" w:w="70"/>
              <w:left w:type="dxa" w:w="110"/>
              <w:bottom w:type="dxa" w:w="70"/>
              <w:right w:type="dxa" w:w="110"/>
            </w:tcMar>
          </w:tcPr>
          <w:p>
            <w:pPr>
              <w:spacing w:after="0"/>
            </w:pPr>
            <w:r>
              <w:t xml:space="preserve">NXDOMAIN</w:t>
            </w:r>
          </w:p>
        </w:tc>
      </w:tr>
      <w:tr>
        <w:trPr>
          <w:cantSplit/>
        </w:trPr>
        <w:tc>
          <w:tcPr>
            <w:tcW w:type="dxa" w:w="2500"/>
            <w:tcMar>
              <w:top w:type="dxa" w:w="70"/>
              <w:left w:type="dxa" w:w="110"/>
              <w:bottom w:type="dxa" w:w="70"/>
              <w:right w:type="dxa" w:w="110"/>
            </w:tcMar>
          </w:tcPr>
          <w:p>
            <w:pPr>
              <w:spacing w:after="0"/>
            </w:pPr>
            <w:r>
              <w:t xml:space="preserve">Internet allowlist</w:t>
            </w:r>
          </w:p>
        </w:tc>
        <w:tc>
          <w:tcPr>
            <w:tcW w:type="dxa" w:w="4846"/>
            <w:tcMar>
              <w:top w:type="dxa" w:w="70"/>
              <w:left w:type="dxa" w:w="110"/>
              <w:bottom w:type="dxa" w:w="70"/>
              <w:right w:type="dxa" w:w="110"/>
            </w:tcMar>
          </w:tcPr>
          <w:p>
            <w:pPr>
              <w:spacing w:after="0"/>
            </w:pPr>
            <w:r>
              <w:rPr>
                <w:rFonts w:ascii="Consolas" w:cs="Consolas" w:eastAsia="Consolas" w:hAnsi="Consolas"/>
                <w:sz w:val="19"/>
                <w:szCs w:val="19"/>
              </w:rPr>
              <w:t xml:space="preserve">curl -sI https://example.com</w:t>
            </w:r>
            <w:r>
              <w:t xml:space="preserve"> and </w:t>
            </w:r>
            <w:r>
              <w:rPr>
                <w:rFonts w:ascii="Consolas" w:cs="Consolas" w:eastAsia="Consolas" w:hAnsi="Consolas"/>
                <w:sz w:val="19"/>
                <w:szCs w:val="19"/>
              </w:rPr>
              <w:t xml:space="preserve">https://github.com</w:t>
            </w:r>
          </w:p>
        </w:tc>
        <w:tc>
          <w:tcPr>
            <w:tcW w:type="dxa" w:w="2400"/>
            <w:tcMar>
              <w:top w:type="dxa" w:w="70"/>
              <w:left w:type="dxa" w:w="110"/>
              <w:bottom w:type="dxa" w:w="70"/>
              <w:right w:type="dxa" w:w="110"/>
            </w:tcMar>
          </w:tcPr>
          <w:p>
            <w:pPr>
              <w:spacing w:after="0"/>
            </w:pPr>
            <w:r>
              <w:t xml:space="preserve">first works, second fails</w:t>
            </w:r>
          </w:p>
        </w:tc>
      </w:tr>
      <w:tr>
        <w:trPr>
          <w:cantSplit/>
        </w:trPr>
        <w:tc>
          <w:tcPr>
            <w:tcW w:type="dxa" w:w="2500"/>
            <w:tcMar>
              <w:top w:type="dxa" w:w="70"/>
              <w:left w:type="dxa" w:w="110"/>
              <w:bottom w:type="dxa" w:w="70"/>
              <w:right w:type="dxa" w:w="110"/>
            </w:tcMar>
          </w:tcPr>
          <w:p>
            <w:pPr>
              <w:spacing w:after="0"/>
            </w:pPr>
            <w:r>
              <w:t xml:space="preserve">See what Cilium dropped</w:t>
            </w:r>
          </w:p>
        </w:tc>
        <w:tc>
          <w:tcPr>
            <w:tcW w:type="dxa" w:w="4846"/>
            <w:tcMar>
              <w:top w:type="dxa" w:w="70"/>
              <w:left w:type="dxa" w:w="110"/>
              <w:bottom w:type="dxa" w:w="70"/>
              <w:right w:type="dxa" w:w="110"/>
            </w:tcMar>
          </w:tcPr>
          <w:p>
            <w:pPr>
              <w:spacing w:after="0"/>
            </w:pPr>
            <w:r>
              <w:rPr>
                <w:rFonts w:ascii="Consolas" w:cs="Consolas" w:eastAsia="Consolas" w:hAnsi="Consolas"/>
                <w:sz w:val="19"/>
                <w:szCs w:val="19"/>
              </w:rPr>
              <w:t xml:space="preserve">hubble observe --verdict DROPPED --namespace tenant-a</w:t>
            </w:r>
          </w:p>
        </w:tc>
        <w:tc>
          <w:tcPr>
            <w:tcW w:type="dxa" w:w="2400"/>
            <w:tcMar>
              <w:top w:type="dxa" w:w="70"/>
              <w:left w:type="dxa" w:w="110"/>
              <w:bottom w:type="dxa" w:w="70"/>
              <w:right w:type="dxa" w:w="110"/>
            </w:tcMar>
          </w:tcPr>
          <w:p>
            <w:pPr>
              <w:spacing w:after="0"/>
            </w:pPr>
            <w:r>
              <w:t xml:space="preserve">the blocked flows</w:t>
            </w:r>
          </w:p>
        </w:tc>
      </w:tr>
      <w:tr>
        <w:trPr>
          <w:cantSplit/>
        </w:trPr>
        <w:tc>
          <w:tcPr>
            <w:tcW w:type="dxa" w:w="2500"/>
            <w:tcMar>
              <w:top w:type="dxa" w:w="70"/>
              <w:left w:type="dxa" w:w="110"/>
              <w:bottom w:type="dxa" w:w="70"/>
              <w:right w:type="dxa" w:w="110"/>
            </w:tcMar>
          </w:tcPr>
          <w:p>
            <w:pPr>
              <w:spacing w:after="0"/>
            </w:pPr>
            <w:r>
              <w:t xml:space="preserve">Gateway serves only its tenant</w:t>
            </w:r>
          </w:p>
        </w:tc>
        <w:tc>
          <w:tcPr>
            <w:tcW w:type="dxa" w:w="4846"/>
            <w:tcMar>
              <w:top w:type="dxa" w:w="70"/>
              <w:left w:type="dxa" w:w="110"/>
              <w:bottom w:type="dxa" w:w="70"/>
              <w:right w:type="dxa" w:w="110"/>
            </w:tcMar>
          </w:tcPr>
          <w:p>
            <w:pPr>
              <w:spacing w:after="0"/>
            </w:pPr>
            <w:r>
              <w:t xml:space="preserve">from outside: </w:t>
            </w:r>
            <w:r>
              <w:rPr>
                <w:rFonts w:ascii="Consolas" w:cs="Consolas" w:eastAsia="Consolas" w:hAnsi="Consolas"/>
                <w:sz w:val="19"/>
                <w:szCs w:val="19"/>
              </w:rPr>
              <w:t xml:space="preserve">curl -H "Host: web.tenant-b..." &lt;tenant-a gateway&gt;</w:t>
            </w:r>
          </w:p>
        </w:tc>
        <w:tc>
          <w:tcPr>
            <w:tcW w:type="dxa" w:w="2400"/>
            <w:tcMar>
              <w:top w:type="dxa" w:w="70"/>
              <w:left w:type="dxa" w:w="110"/>
              <w:bottom w:type="dxa" w:w="70"/>
              <w:right w:type="dxa" w:w="110"/>
            </w:tcMar>
          </w:tcPr>
          <w:p>
            <w:pPr>
              <w:spacing w:after="0"/>
            </w:pPr>
            <w:r>
              <w:t xml:space="preserve">404</w:t>
            </w:r>
          </w:p>
        </w:tc>
      </w:tr>
    </w:tbl>
    <w:p>
      <w:pPr>
        <w:spacing w:after="160"/>
      </w:pPr>
    </w:p>
    <w:p>
      <w:pPr>
        <w:spacing w:after="140"/>
      </w:pPr>
      <w:r>
        <w:t xml:space="preserve">Run the pod commands with </w:t>
      </w:r>
      <w:r>
        <w:rPr>
          <w:rFonts w:ascii="Consolas" w:cs="Consolas" w:eastAsia="Consolas" w:hAnsi="Consolas"/>
          <w:sz w:val="19"/>
          <w:szCs w:val="19"/>
        </w:rPr>
        <w:t xml:space="preserve">kubectl -n tenant-a exec deploy/client -- &lt;command&gt;</w:t>
      </w:r>
      <w:r>
        <w:t xml:space="preserve">.</w:t>
      </w:r>
    </w:p>
    <w:p>
      <w:pPr>
        <w:pStyle w:val="Heading2"/>
      </w:pPr>
      <w:r>
        <w:t xml:space="preserve">What soft tenancy does not do</w:t>
      </w:r>
    </w:p>
    <w:p>
      <w:pPr>
        <w:pStyle w:val="ListParagraph"/>
        <w:numPr>
          <w:ilvl w:val="0"/>
          <w:numId w:val="2"/>
        </w:numPr>
        <w:spacing w:after="70"/>
      </w:pPr>
      <w:r>
        <w:rPr>
          <w:b/>
          <w:bCs/>
        </w:rPr>
        <w:t xml:space="preserve">Shared kernel.</w:t>
      </w:r>
      <w:r>
        <w:t xml:space="preserve"> A container escape on a node reaches every tenant's pods on that node.</w:t>
      </w:r>
    </w:p>
    <w:p>
      <w:pPr>
        <w:pStyle w:val="ListParagraph"/>
        <w:numPr>
          <w:ilvl w:val="0"/>
          <w:numId w:val="2"/>
        </w:numPr>
        <w:spacing w:after="70"/>
      </w:pPr>
      <w:r>
        <w:rPr>
          <w:b/>
          <w:bCs/>
        </w:rPr>
        <w:t xml:space="preserve">Shared DNS and Cilium agent.</w:t>
      </w:r>
      <w:r>
        <w:t xml:space="preserve"> One tenant flooding DNS slows it down for everyone.</w:t>
      </w:r>
    </w:p>
    <w:p>
      <w:pPr>
        <w:pStyle w:val="ListParagraph"/>
        <w:numPr>
          <w:ilvl w:val="0"/>
          <w:numId w:val="2"/>
        </w:numPr>
        <w:spacing w:after="70"/>
      </w:pPr>
      <w:r>
        <w:rPr>
          <w:b/>
          <w:bCs/>
        </w:rPr>
        <w:t xml:space="preserve">Node resources.</w:t>
      </w:r>
      <w:r>
        <w:t xml:space="preserve"> Quotas cap CPU and memory, not disk or network bandwidth.</w:t>
      </w:r>
    </w:p>
    <w:p>
      <w:pPr>
        <w:pStyle w:val="ListParagraph"/>
        <w:numPr>
          <w:ilvl w:val="0"/>
          <w:numId w:val="2"/>
        </w:numPr>
        <w:spacing w:after="70"/>
      </w:pPr>
      <w:r>
        <w:rPr>
          <w:b/>
          <w:bCs/>
        </w:rPr>
        <w:t xml:space="preserve">Admins see everything.</w:t>
      </w:r>
      <w:r>
        <w:t xml:space="preserve"> Cluster admins and the Hubble UI are not tenant-aware.</w:t>
      </w:r>
    </w:p>
    <w:p>
      <w:pPr>
        <w:spacing w:after="140"/>
      </w:pPr>
      <w:r>
        <w:t xml:space="preserve">If any of these is unacceptable for a tenant, that tenant needs hard tenancy: dedicated nodes or its own cluster.</w:t>
      </w:r>
    </w:p>
    <w:p>
      <w:pPr>
        <w:pStyle w:val="Heading2"/>
      </w:pPr>
      <w:r>
        <w:t xml:space="preserve">Glossary</w:t>
      </w:r>
    </w:p>
    <w:tbl>
      <w:tblPr>
        <w:tblW w:type="dxa" w:w="9746"/>
        <w:tblBorders>
          <w:top w:val="single" w:color="BFC8D4" w:sz="4"/>
          <w:left w:val="single" w:color="BFC8D4" w:sz="4"/>
          <w:bottom w:val="single" w:color="BFC8D4" w:sz="4"/>
          <w:right w:val="single" w:color="BFC8D4" w:sz="4"/>
          <w:insideH w:val="single" w:color="BFC8D4" w:sz="4"/>
          <w:insideV w:val="single" w:color="BFC8D4" w:sz="4"/>
        </w:tblBorders>
      </w:tblPr>
      <w:tblGrid>
        <w:gridCol w:w="3000"/>
        <w:gridCol w:w="6746"/>
      </w:tblGrid>
      <w:tr>
        <w:trPr>
          <w:tblHeader/>
        </w:trPr>
        <w:tc>
          <w:tcPr>
            <w:tcW w:type="dxa" w:w="3000"/>
            <w:shd w:fill="DCE6F1" w:color="auto" w:val="clear"/>
            <w:tcMar>
              <w:top w:type="dxa" w:w="70"/>
              <w:left w:type="dxa" w:w="110"/>
              <w:bottom w:type="dxa" w:w="70"/>
              <w:right w:type="dxa" w:w="110"/>
            </w:tcMar>
          </w:tcPr>
          <w:p>
            <w:pPr>
              <w:spacing w:after="0"/>
            </w:pPr>
            <w:r>
              <w:rPr>
                <w:b/>
                <w:bCs/>
              </w:rPr>
              <w:t xml:space="preserve">Term</w:t>
            </w:r>
          </w:p>
        </w:tc>
        <w:tc>
          <w:tcPr>
            <w:tcW w:type="dxa" w:w="6746"/>
            <w:shd w:fill="DCE6F1" w:color="auto" w:val="clear"/>
            <w:tcMar>
              <w:top w:type="dxa" w:w="70"/>
              <w:left w:type="dxa" w:w="110"/>
              <w:bottom w:type="dxa" w:w="70"/>
              <w:right w:type="dxa" w:w="110"/>
            </w:tcMar>
          </w:tcPr>
          <w:p>
            <w:pPr>
              <w:spacing w:after="0"/>
            </w:pPr>
            <w:r>
              <w:rPr>
                <w:b/>
                <w:bCs/>
              </w:rPr>
              <w:t xml:space="preserve">Meaning</w:t>
            </w:r>
          </w:p>
        </w:tc>
      </w:tr>
      <w:tr>
        <w:trPr>
          <w:cantSplit/>
        </w:trPr>
        <w:tc>
          <w:tcPr>
            <w:tcW w:type="dxa" w:w="3000"/>
            <w:tcMar>
              <w:top w:type="dxa" w:w="70"/>
              <w:left w:type="dxa" w:w="110"/>
              <w:bottom w:type="dxa" w:w="70"/>
              <w:right w:type="dxa" w:w="110"/>
            </w:tcMar>
          </w:tcPr>
          <w:p>
            <w:pPr>
              <w:spacing w:after="0"/>
            </w:pPr>
            <w:r>
              <w:t xml:space="preserve">CNI</w:t>
            </w:r>
          </w:p>
        </w:tc>
        <w:tc>
          <w:tcPr>
            <w:tcW w:type="dxa" w:w="6746"/>
            <w:tcMar>
              <w:top w:type="dxa" w:w="70"/>
              <w:left w:type="dxa" w:w="110"/>
              <w:bottom w:type="dxa" w:w="70"/>
              <w:right w:type="dxa" w:w="110"/>
            </w:tcMar>
          </w:tcPr>
          <w:p>
            <w:pPr>
              <w:spacing w:after="0"/>
            </w:pPr>
            <w:r>
              <w:t xml:space="preserve">The network plugin of a Kubernetes cluster. Ours is Cilium.</w:t>
            </w:r>
          </w:p>
        </w:tc>
      </w:tr>
      <w:tr>
        <w:trPr>
          <w:cantSplit/>
        </w:trPr>
        <w:tc>
          <w:tcPr>
            <w:tcW w:type="dxa" w:w="3000"/>
            <w:tcMar>
              <w:top w:type="dxa" w:w="70"/>
              <w:left w:type="dxa" w:w="110"/>
              <w:bottom w:type="dxa" w:w="70"/>
              <w:right w:type="dxa" w:w="110"/>
            </w:tcMar>
          </w:tcPr>
          <w:p>
            <w:pPr>
              <w:spacing w:after="0"/>
            </w:pPr>
            <w:r>
              <w:t xml:space="preserve">eBPF</w:t>
            </w:r>
          </w:p>
        </w:tc>
        <w:tc>
          <w:tcPr>
            <w:tcW w:type="dxa" w:w="6746"/>
            <w:tcMar>
              <w:top w:type="dxa" w:w="70"/>
              <w:left w:type="dxa" w:w="110"/>
              <w:bottom w:type="dxa" w:w="70"/>
              <w:right w:type="dxa" w:w="110"/>
            </w:tcMar>
          </w:tcPr>
          <w:p>
            <w:pPr>
              <w:spacing w:after="0"/>
            </w:pPr>
            <w:r>
              <w:t xml:space="preserve">Small programs running inside the Linux kernel. Cilium uses them to check every packet quickly.</w:t>
            </w:r>
          </w:p>
        </w:tc>
      </w:tr>
      <w:tr>
        <w:trPr>
          <w:cantSplit/>
        </w:trPr>
        <w:tc>
          <w:tcPr>
            <w:tcW w:type="dxa" w:w="3000"/>
            <w:tcMar>
              <w:top w:type="dxa" w:w="70"/>
              <w:left w:type="dxa" w:w="110"/>
              <w:bottom w:type="dxa" w:w="70"/>
              <w:right w:type="dxa" w:w="110"/>
            </w:tcMar>
          </w:tcPr>
          <w:p>
            <w:pPr>
              <w:spacing w:after="0"/>
            </w:pPr>
            <w:r>
              <w:t xml:space="preserve">Identity</w:t>
            </w:r>
          </w:p>
        </w:tc>
        <w:tc>
          <w:tcPr>
            <w:tcW w:type="dxa" w:w="6746"/>
            <w:tcMar>
              <w:top w:type="dxa" w:w="70"/>
              <w:left w:type="dxa" w:w="110"/>
              <w:bottom w:type="dxa" w:w="70"/>
              <w:right w:type="dxa" w:w="110"/>
            </w:tcMar>
          </w:tcPr>
          <w:p>
            <w:pPr>
              <w:spacing w:after="0"/>
            </w:pPr>
            <w:r>
              <w:t xml:space="preserve">A number Cilium derives from a pod's labels. Policies are written against identities, not IPs.</w:t>
            </w:r>
          </w:p>
        </w:tc>
      </w:tr>
      <w:tr>
        <w:trPr>
          <w:cantSplit/>
        </w:trPr>
        <w:tc>
          <w:tcPr>
            <w:tcW w:type="dxa" w:w="3000"/>
            <w:tcMar>
              <w:top w:type="dxa" w:w="70"/>
              <w:left w:type="dxa" w:w="110"/>
              <w:bottom w:type="dxa" w:w="70"/>
              <w:right w:type="dxa" w:w="110"/>
            </w:tcMar>
          </w:tcPr>
          <w:p>
            <w:pPr>
              <w:spacing w:after="0"/>
            </w:pPr>
            <w:r>
              <w:t xml:space="preserve">CiliumClusterwideNetworkPolicy</w:t>
            </w:r>
          </w:p>
        </w:tc>
        <w:tc>
          <w:tcPr>
            <w:tcW w:type="dxa" w:w="6746"/>
            <w:tcMar>
              <w:top w:type="dxa" w:w="70"/>
              <w:left w:type="dxa" w:w="110"/>
              <w:bottom w:type="dxa" w:w="70"/>
              <w:right w:type="dxa" w:w="110"/>
            </w:tcMar>
          </w:tcPr>
          <w:p>
            <w:pPr>
              <w:spacing w:after="0"/>
            </w:pPr>
            <w:r>
              <w:t xml:space="preserve">A Cilium policy for the whole cluster, owned by the platform team.</w:t>
            </w:r>
          </w:p>
        </w:tc>
      </w:tr>
      <w:tr>
        <w:trPr>
          <w:cantSplit/>
        </w:trPr>
        <w:tc>
          <w:tcPr>
            <w:tcW w:type="dxa" w:w="3000"/>
            <w:tcMar>
              <w:top w:type="dxa" w:w="70"/>
              <w:left w:type="dxa" w:w="110"/>
              <w:bottom w:type="dxa" w:w="70"/>
              <w:right w:type="dxa" w:w="110"/>
            </w:tcMar>
          </w:tcPr>
          <w:p>
            <w:pPr>
              <w:spacing w:after="0"/>
            </w:pPr>
            <w:r>
              <w:t xml:space="preserve">toFQDNs</w:t>
            </w:r>
          </w:p>
        </w:tc>
        <w:tc>
          <w:tcPr>
            <w:tcW w:type="dxa" w:w="6746"/>
            <w:tcMar>
              <w:top w:type="dxa" w:w="70"/>
              <w:left w:type="dxa" w:w="110"/>
              <w:bottom w:type="dxa" w:w="70"/>
              <w:right w:type="dxa" w:w="110"/>
            </w:tcMar>
          </w:tcPr>
          <w:p>
            <w:pPr>
              <w:spacing w:after="0"/>
            </w:pPr>
            <w:r>
              <w:t xml:space="preserve">A policy rule that allows traffic to a DNS name (for example example.com) instead of an IP.</w:t>
            </w:r>
          </w:p>
        </w:tc>
      </w:tr>
      <w:tr>
        <w:trPr>
          <w:cantSplit/>
        </w:trPr>
        <w:tc>
          <w:tcPr>
            <w:tcW w:type="dxa" w:w="3000"/>
            <w:tcMar>
              <w:top w:type="dxa" w:w="70"/>
              <w:left w:type="dxa" w:w="110"/>
              <w:bottom w:type="dxa" w:w="70"/>
              <w:right w:type="dxa" w:w="110"/>
            </w:tcMar>
          </w:tcPr>
          <w:p>
            <w:pPr>
              <w:spacing w:after="0"/>
            </w:pPr>
            <w:r>
              <w:t xml:space="preserve">NXDOMAIN</w:t>
            </w:r>
          </w:p>
        </w:tc>
        <w:tc>
          <w:tcPr>
            <w:tcW w:type="dxa" w:w="6746"/>
            <w:tcMar>
              <w:top w:type="dxa" w:w="70"/>
              <w:left w:type="dxa" w:w="110"/>
              <w:bottom w:type="dxa" w:w="70"/>
              <w:right w:type="dxa" w:w="110"/>
            </w:tcMar>
          </w:tcPr>
          <w:p>
            <w:pPr>
              <w:spacing w:after="0"/>
            </w:pPr>
            <w:r>
              <w:t xml:space="preserve">The DNS answer "this name does not exist".</w:t>
            </w:r>
          </w:p>
        </w:tc>
      </w:tr>
      <w:tr>
        <w:trPr>
          <w:cantSplit/>
        </w:trPr>
        <w:tc>
          <w:tcPr>
            <w:tcW w:type="dxa" w:w="3000"/>
            <w:tcMar>
              <w:top w:type="dxa" w:w="70"/>
              <w:left w:type="dxa" w:w="110"/>
              <w:bottom w:type="dxa" w:w="70"/>
              <w:right w:type="dxa" w:w="110"/>
            </w:tcMar>
          </w:tcPr>
          <w:p>
            <w:pPr>
              <w:spacing w:after="0"/>
            </w:pPr>
            <w:r>
              <w:t xml:space="preserve">Pod Security (restricted)</w:t>
            </w:r>
          </w:p>
        </w:tc>
        <w:tc>
          <w:tcPr>
            <w:tcW w:type="dxa" w:w="6746"/>
            <w:tcMar>
              <w:top w:type="dxa" w:w="70"/>
              <w:left w:type="dxa" w:w="110"/>
              <w:bottom w:type="dxa" w:w="70"/>
              <w:right w:type="dxa" w:w="110"/>
            </w:tcMar>
          </w:tcPr>
          <w:p>
            <w:pPr>
              <w:spacing w:after="0"/>
            </w:pPr>
            <w:r>
              <w:t xml:space="preserve">Built-in Kubernetes check that rejects risky pods, such as ones using hostNetwork.</w:t>
            </w:r>
          </w:p>
        </w:tc>
      </w:tr>
      <w:tr>
        <w:trPr>
          <w:cantSplit/>
        </w:trPr>
        <w:tc>
          <w:tcPr>
            <w:tcW w:type="dxa" w:w="3000"/>
            <w:tcMar>
              <w:top w:type="dxa" w:w="70"/>
              <w:left w:type="dxa" w:w="110"/>
              <w:bottom w:type="dxa" w:w="70"/>
              <w:right w:type="dxa" w:w="110"/>
            </w:tcMar>
          </w:tcPr>
          <w:p>
            <w:pPr>
              <w:spacing w:after="0"/>
            </w:pPr>
            <w:r>
              <w:t xml:space="preserve">ValidatingAdmissionPolicy</w:t>
            </w:r>
          </w:p>
        </w:tc>
        <w:tc>
          <w:tcPr>
            <w:tcW w:type="dxa" w:w="6746"/>
            <w:tcMar>
              <w:top w:type="dxa" w:w="70"/>
              <w:left w:type="dxa" w:w="110"/>
              <w:bottom w:type="dxa" w:w="70"/>
              <w:right w:type="dxa" w:w="110"/>
            </w:tcMar>
          </w:tcPr>
          <w:p>
            <w:pPr>
              <w:spacing w:after="0"/>
            </w:pPr>
            <w:r>
              <w:t xml:space="preserve">A built-in Kubernetes rule that rejects objects which break our conventions.</w:t>
            </w:r>
          </w:p>
        </w:tc>
      </w:tr>
      <w:tr>
        <w:trPr>
          <w:cantSplit/>
        </w:trPr>
        <w:tc>
          <w:tcPr>
            <w:tcW w:type="dxa" w:w="3000"/>
            <w:tcMar>
              <w:top w:type="dxa" w:w="70"/>
              <w:left w:type="dxa" w:w="110"/>
              <w:bottom w:type="dxa" w:w="70"/>
              <w:right w:type="dxa" w:w="110"/>
            </w:tcMar>
          </w:tcPr>
          <w:p>
            <w:pPr>
              <w:spacing w:after="0"/>
            </w:pPr>
            <w:r>
              <w:t xml:space="preserve">Hubble</w:t>
            </w:r>
          </w:p>
        </w:tc>
        <w:tc>
          <w:tcPr>
            <w:tcW w:type="dxa" w:w="6746"/>
            <w:tcMar>
              <w:top w:type="dxa" w:w="70"/>
              <w:left w:type="dxa" w:w="110"/>
              <w:bottom w:type="dxa" w:w="70"/>
              <w:right w:type="dxa" w:w="110"/>
            </w:tcMar>
          </w:tcPr>
          <w:p>
            <w:pPr>
              <w:spacing w:after="0"/>
            </w:pPr>
            <w:r>
              <w:t xml:space="preserve">Cilium's flow viewer: shows which connections were allowed or dropped.</w:t>
            </w:r>
          </w:p>
        </w:tc>
      </w:tr>
      <w:tr>
        <w:trPr>
          <w:cantSplit/>
        </w:trPr>
        <w:tc>
          <w:tcPr>
            <w:tcW w:type="dxa" w:w="3000"/>
            <w:tcMar>
              <w:top w:type="dxa" w:w="70"/>
              <w:left w:type="dxa" w:w="110"/>
              <w:bottom w:type="dxa" w:w="70"/>
              <w:right w:type="dxa" w:w="110"/>
            </w:tcMar>
          </w:tcPr>
          <w:p>
            <w:pPr>
              <w:spacing w:after="0"/>
            </w:pPr>
            <w:r>
              <w:t xml:space="preserve">kgateway</w:t>
            </w:r>
          </w:p>
        </w:tc>
        <w:tc>
          <w:tcPr>
            <w:tcW w:type="dxa" w:w="6746"/>
            <w:tcMar>
              <w:top w:type="dxa" w:w="70"/>
              <w:left w:type="dxa" w:w="110"/>
              <w:bottom w:type="dxa" w:w="70"/>
              <w:right w:type="dxa" w:w="110"/>
            </w:tcMar>
          </w:tcPr>
          <w:p>
            <w:pPr>
              <w:spacing w:after="0"/>
            </w:pPr>
            <w:r>
              <w:t xml:space="preserve">Our gateway controller, an Envoy-based implementation of the Kubernetes Gateway API. It runs the tenant ingress and the internal read gateway of the observability stack.</w:t>
            </w:r>
          </w:p>
        </w:tc>
      </w:tr>
      <w:tr>
        <w:trPr>
          <w:cantSplit/>
        </w:trPr>
        <w:tc>
          <w:tcPr>
            <w:tcW w:type="dxa" w:w="3000"/>
            <w:tcMar>
              <w:top w:type="dxa" w:w="70"/>
              <w:left w:type="dxa" w:w="110"/>
              <w:bottom w:type="dxa" w:w="70"/>
              <w:right w:type="dxa" w:w="110"/>
            </w:tcMar>
          </w:tcPr>
          <w:p>
            <w:pPr>
              <w:spacing w:after="0"/>
            </w:pPr>
            <w:r>
              <w:t xml:space="preserve">Gateway / HTTPRoute</w:t>
            </w:r>
          </w:p>
        </w:tc>
        <w:tc>
          <w:tcPr>
            <w:tcW w:type="dxa" w:w="6746"/>
            <w:tcMar>
              <w:top w:type="dxa" w:w="70"/>
              <w:left w:type="dxa" w:w="110"/>
              <w:bottom w:type="dxa" w:w="70"/>
              <w:right w:type="dxa" w:w="110"/>
            </w:tcMar>
          </w:tcPr>
          <w:p>
            <w:pPr>
              <w:spacing w:after="0"/>
            </w:pPr>
            <w:r>
              <w:t xml:space="preserve">Gateway API objects: the platform owns the Gateway (the entry point); tenants attach HTTPRoutes to it.</w:t>
            </w:r>
          </w:p>
        </w:tc>
      </w:tr>
      <w:tr>
        <w:trPr>
          <w:cantSplit/>
        </w:trPr>
        <w:tc>
          <w:tcPr>
            <w:tcW w:type="dxa" w:w="3000"/>
            <w:tcMar>
              <w:top w:type="dxa" w:w="70"/>
              <w:left w:type="dxa" w:w="110"/>
              <w:bottom w:type="dxa" w:w="70"/>
              <w:right w:type="dxa" w:w="110"/>
            </w:tcMar>
          </w:tcPr>
          <w:p>
            <w:pPr>
              <w:spacing w:after="0"/>
            </w:pPr>
            <w:r>
              <w:t xml:space="preserve">ReferenceGrant</w:t>
            </w:r>
          </w:p>
        </w:tc>
        <w:tc>
          <w:tcPr>
            <w:tcW w:type="dxa" w:w="6746"/>
            <w:tcMar>
              <w:top w:type="dxa" w:w="70"/>
              <w:left w:type="dxa" w:w="110"/>
              <w:bottom w:type="dxa" w:w="70"/>
              <w:right w:type="dxa" w:w="110"/>
            </w:tcMar>
          </w:tcPr>
          <w:p>
            <w:pPr>
              <w:spacing w:after="0"/>
            </w:pPr>
            <w:r>
              <w:t xml:space="preserve">Lets routes in one namespace use services in another. Tenants cannot create them.</w:t>
            </w:r>
          </w:p>
        </w:tc>
      </w:tr>
    </w:tbl>
    <w:p>
      <w:pPr>
        <w:spacing w:after="160"/>
      </w:pPr>
    </w:p>
    <w:p>
      <w:pPr>
        <w:pStyle w:val="Heading2"/>
      </w:pPr>
      <w:r>
        <w:t xml:space="preserve">Next</w:t>
      </w:r>
    </w:p>
    <w:p>
      <w:pPr>
        <w:pStyle w:val="ListParagraph"/>
        <w:numPr>
          <w:ilvl w:val="0"/>
          <w:numId w:val="2"/>
        </w:numPr>
        <w:spacing w:after="70"/>
      </w:pPr>
      <w:r>
        <w:t xml:space="preserve">Part 2: </w:t>
      </w:r>
      <w:r>
        <w:rPr>
          <w:b/>
          <w:bCs/>
        </w:rPr>
        <w:t xml:space="preserve">Per-tenant observability: the basics</w:t>
      </w:r>
      <w:r>
        <w:t xml:space="preserve"> (how each tenant sees only its own logs, metrics, traces and profiles).</w:t>
      </w:r>
    </w:p>
    <w:p>
      <w:pPr>
        <w:pStyle w:val="ListParagraph"/>
        <w:numPr>
          <w:ilvl w:val="0"/>
          <w:numId w:val="2"/>
        </w:numPr>
        <w:spacing w:after="70"/>
      </w:pPr>
      <w:r>
        <w:t xml:space="preserve">Full walkthrough with every manifest: </w:t>
      </w:r>
      <w:r>
        <w:rPr>
          <w:b/>
          <w:bCs/>
        </w:rPr>
        <w:t xml:space="preserve">Soft Multi-Tenancy on Kubernetes, step-by-step guide</w:t>
      </w:r>
      <w: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20" w:before="360"/>
      <w:outlineLvl w:val="1"/>
    </w:pPr>
    <w:rPr>
      <w:rFonts w:ascii="Calibri" w:cs="Calibri" w:eastAsia="Calibri" w:hAnsi="Calibri"/>
      <w:b/>
      <w:bCs/>
      <w:color w:val="2E5C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8fec7cecc0562bd502df28bce76b8459071ca9.svg"/><Relationship Id="rId8" Type="http://schemas.openxmlformats.org/officeDocument/2006/relationships/image" Target="media/82f608e52f4dfaa224586fb3b6f6688a7f4634ad.png"/><Relationship Id="rId9" Type="http://schemas.openxmlformats.org/officeDocument/2006/relationships/image" Target="media/fa47a5fa471672bfc1de65d912fd433af3320bef.svg"/><Relationship Id="rId10" Type="http://schemas.openxmlformats.org/officeDocument/2006/relationships/image" Target="media/d9a0eec9ff3dee944da2fe7bc4f9ddaa5bc430b7.png"/><Relationship Id="rId11" Type="http://schemas.openxmlformats.org/officeDocument/2006/relationships/image" Target="media/18f01617267f2af82accbff8acade62aefda779d.svg"/><Relationship Id="rId12" Type="http://schemas.openxmlformats.org/officeDocument/2006/relationships/image" Target="media/f971ea7ad0c07d301ba5919522e36c5f9388b26d.png"/><Relationship Id="rId13" Type="http://schemas.openxmlformats.org/officeDocument/2006/relationships/image" Target="media/e60397c85fc608e07fc34ef30717ab8b73170c11.svg"/><Relationship Id="rId14" Type="http://schemas.openxmlformats.org/officeDocument/2006/relationships/image" Target="media/966720512b74fdd47f96d0816a140a226ee7fa95.png"/><Relationship Id="rId15" Type="http://schemas.openxmlformats.org/officeDocument/2006/relationships/image" Target="media/c43f92afdd909c63a7cd6c2d232fb6f0d836f492.svg"/><Relationship Id="rId16" Type="http://schemas.openxmlformats.org/officeDocument/2006/relationships/image" Target="media/10b0bfab5f75b95eb6d4c8409b82ace479496aae.png"/><Relationship Id="rId17" Type="http://schemas.openxmlformats.org/officeDocument/2006/relationships/image" Target="media/aca5c2070e47424027c39c029f61c7ca9ecbff7c.svg"/><Relationship Id="rId18" Type="http://schemas.openxmlformats.org/officeDocument/2006/relationships/image" Target="media/096576fc22f4198dc849b6688907e1a187f2806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 tenancy with Cilium: the basics</dc:title>
  <dc:creator>Platform team</dc:creator>
  <cp:lastModifiedBy>Un-named</cp:lastModifiedBy>
  <cp:revision>1</cp:revision>
  <dcterms:created xsi:type="dcterms:W3CDTF">2026-09-22T14:30:30.630Z</dcterms:created>
  <dcterms:modified xsi:type="dcterms:W3CDTF">2026-09-22T14:30:30.631Z</dcterms:modified>
</cp:coreProperties>
</file>

<file path=docProps/custom.xml><?xml version="1.0" encoding="utf-8"?>
<Properties xmlns="http://schemas.openxmlformats.org/officeDocument/2006/custom-properties" xmlns:vt="http://schemas.openxmlformats.org/officeDocument/2006/docPropsVTypes"/>
</file>