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Mimir: per-tenant metrics</w:t>
      </w:r>
    </w:p>
    <w:p>
      <w:pPr>
        <w:pBdr>
          <w:left w:val="single" w:color="2E5C8A" w:sz="24" w:space="8"/>
        </w:pBdr>
        <w:shd w:fill="EEF4FB" w:color="auto" w:val="clear"/>
        <w:spacing w:after="220" w:before="120"/>
        <w:ind w:left="180" w:right="120"/>
      </w:pPr>
      <w:r>
        <w:rPr>
          <w:b/>
          <w:bCs/>
          <w:color w:val="2E5C8A"/>
        </w:rPr>
        <w:t xml:space="preserve">In 30 seconds  </w:t>
      </w:r>
      <w:r>
        <w:t xml:space="preserve">Mimir stores metrics and answers PromQL, just like Prometheus. It keeps each tenant's series in a separate space: its own blocks, limits and queries. Two things write to it: Alloy, which scrapes the pods that opt in, and Tempo, which turns each tenant's spans into service-graph metrics. Users query through obs-gateway. Mimir trusts whatever tenant a request names, so the network makes sure only those three can reach it.</w:t>
      </w:r>
    </w:p>
    <w:p>
      <w:pPr>
        <w:pBdr>
          <w:left w:val="single" w:color="2E5C8A" w:sz="24" w:space="8"/>
        </w:pBdr>
        <w:shd w:fill="EEF4FB" w:color="auto" w:val="clear"/>
        <w:spacing w:after="220" w:before="120"/>
        <w:ind w:left="180" w:right="120"/>
      </w:pPr>
      <w:r>
        <w:rPr>
          <w:b/>
          <w:bCs/>
          <w:color w:val="2E5C8A"/>
        </w:rPr>
        <w:t xml:space="preserve">Series  </w:t>
      </w:r>
      <w:r>
        <w:t xml:space="preserve">Component page of the soft tenancy series. Read </w:t>
      </w:r>
      <w:r>
        <w:rPr>
          <w:b/>
          <w:bCs/>
        </w:rPr>
        <w:t xml:space="preserve">Per-tenant observability: the basics</w:t>
      </w:r>
      <w:r>
        <w:t xml:space="preserve"> first: it explains the read gateway, the collectors and the Grafana organizations that every backend relies on.</w:t>
      </w:r>
    </w:p>
    <w:p>
      <w:pPr>
        <w:spacing w:after="60" w:before="120"/>
      </w:pPr>
      <w:r>
        <w:rPr>
          <w:b/>
          <w:bCs/>
        </w:rPr>
        <w:t xml:space="preserve">On this page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What Mimir does here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Where Mimir sits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How tenants are kept apart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Write path: how metrics get in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Read path: how tenants query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Our configuration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Per-tenant limits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Network lockdown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Using Mimir as a tenant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How we verify it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Troubleshooting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Going to production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FAQ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Related</w:t>
      </w:r>
    </w:p>
    <w:p>
      <w:pPr>
        <w:pStyle w:val="Heading2"/>
      </w:pPr>
      <w:r>
        <w:t xml:space="preserve">What Mimir does here</w:t>
      </w:r>
    </w:p>
    <w:p>
      <w:pPr>
        <w:spacing w:after="140"/>
      </w:pPr>
      <w:r>
        <w:t xml:space="preserve">Mimir is our metrics backend: Prometheus-compatible, long-term, and multi-tenant. Grafana talks to it with the normal Prometheus data source and PromQL.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2800"/>
        <w:gridCol w:w="4600"/>
        <w:gridCol w:w="2346"/>
      </w:tblGrid>
      <w:tr>
        <w:trPr>
          <w:tblHeader/>
        </w:trPr>
        <w:tc>
          <w:tcPr>
            <w:tcW w:type="dxa" w:w="28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6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Metrics</w:t>
            </w:r>
          </w:p>
        </w:tc>
        <w:tc>
          <w:tcPr>
            <w:tcW w:type="dxa" w:w="23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Tenant from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Alloy, scraping pods that opt in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app metrics such as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http_request_duration_seconds_*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http_requests_total</w:t>
            </w:r>
            <w:r>
              <w:t xml:space="preserve">, Go runtime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go_*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process_*</w:t>
            </w:r>
            <w:r>
              <w:t xml:space="preserve">),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</w:t>
            </w:r>
          </w:p>
        </w:tc>
        <w:tc>
          <w:tcPr>
            <w:tcW w:type="dxa" w:w="2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namespace name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Tempo's metrics generator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traces_service_graph_*</w:t>
            </w:r>
            <w:r>
              <w:t xml:space="preserve"> (who calls whom)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traces_spanmetrics_*</w:t>
            </w:r>
            <w:r>
              <w:t xml:space="preserve"> (rate, errors, latency per span)</w:t>
            </w:r>
          </w:p>
        </w:tc>
        <w:tc>
          <w:tcPr>
            <w:tcW w:type="dxa" w:w="2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tenant of the spans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Alloy adds </w:t>
      </w:r>
      <w:r>
        <w:rPr>
          <w:rFonts w:ascii="Consolas" w:cs="Consolas" w:eastAsia="Consolas" w:hAnsi="Consolas"/>
          <w:sz w:val="19"/>
          <w:szCs w:val="19"/>
        </w:rPr>
        <w:t xml:space="preserve">namespace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container</w:t>
      </w:r>
      <w:r>
        <w:t xml:space="preserve"> labels to every scraped series.</w:t>
      </w:r>
    </w:p>
    <w:p>
      <w:pPr>
        <w:pStyle w:val="Heading2"/>
      </w:pPr>
      <w:r>
        <w:t xml:space="preserve">Where Mimir sits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191250" cy="3486150"/>
            <wp:effectExtent t="0" r="0" b="0" l="0"/>
            <wp:docPr id="1" name="mimir-flow" descr="Alloy and Tempo write metrics into Mimir; obs-gateway reads them for Grafana; nobody else may reach Mimir" title="Alloy and Tempo write metrics into Mimir; obs-gateway reads them for Grafana; nobody else may reach Mim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B7A"/>
          <w:sz w:val="16"/>
          <w:szCs w:val="16"/>
        </w:rPr>
        <w:t xml:space="preserve">Diagram: images/mimir-flow.svg (or .png)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Writes:</w:t>
      </w:r>
      <w:r>
        <w:t xml:space="preserve"> Alloy (scraped metrics) and Tempo (service graph), each only to the push endpoint.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Reads:</w:t>
      </w:r>
      <w:r>
        <w:t xml:space="preserve"> only obs-gateway (kgateway) on port 8080, and only the Prometheus query API.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Everything else</w:t>
      </w:r>
      <w:r>
        <w:t xml:space="preserve"> is dropped by Cilium, including Grafana talking to Mimir directly.</w:t>
      </w:r>
    </w:p>
    <w:p>
      <w:pPr>
        <w:pStyle w:val="Heading2"/>
      </w:pPr>
      <w:r>
        <w:t xml:space="preserve">How tenants are kept apart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191250" cy="2771775"/>
            <wp:effectExtent t="0" r="0" b="0" l="0"/>
            <wp:docPr id="1" name="mimir-inside" descr="Mimir keeps a separate space per X-Scope-OrgID; requests without the header are refused" title="Mimir keeps a separate space per X-Scope-OrgID; requests without the header are refu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B7A"/>
          <w:sz w:val="16"/>
          <w:szCs w:val="16"/>
        </w:rPr>
        <w:t xml:space="preserve">Diagram: images/mimir-inside.svg (or .png)</w:t>
      </w:r>
    </w:p>
    <w:p>
      <w:pPr>
        <w:spacing w:after="140"/>
      </w:pPr>
      <w:r>
        <w:t xml:space="preserve">The switch is </w:t>
      </w:r>
      <w:r>
        <w:rPr>
          <w:rFonts w:ascii="Consolas" w:cs="Consolas" w:eastAsia="Consolas" w:hAnsi="Consolas"/>
          <w:sz w:val="19"/>
          <w:szCs w:val="19"/>
        </w:rPr>
        <w:t xml:space="preserve">multitenancy_enabled: true</w:t>
      </w:r>
      <w:r>
        <w:t xml:space="preserve">. Every push and every query must name its tenant in </w:t>
      </w:r>
      <w:r>
        <w:rPr>
          <w:rFonts w:ascii="Consolas" w:cs="Consolas" w:eastAsia="Consolas" w:hAnsi="Consolas"/>
          <w:sz w:val="19"/>
          <w:szCs w:val="19"/>
        </w:rPr>
        <w:t xml:space="preserve">X-Scope-OrgID</w:t>
      </w:r>
      <w:r>
        <w:t xml:space="preserve">; without it, Mimir answers </w:t>
      </w:r>
      <w:r>
        <w:rPr>
          <w:b/>
          <w:bCs/>
        </w:rPr>
        <w:t xml:space="preserve">401 no org id</w:t>
      </w:r>
      <w:r>
        <w:t xml:space="preserve">.</w:t>
      </w:r>
    </w:p>
    <w:p>
      <w:pPr>
        <w:spacing w:after="140"/>
      </w:pPr>
      <w:r>
        <w:t xml:space="preserve">Each tenant gets its own in-memory series, its own blocks on disk (its own prefix in object storage), and its own limits. A query reads only the tenant it names. Mimir can also run queries across tenants (</w:t>
      </w:r>
      <w:r>
        <w:rPr>
          <w:rFonts w:ascii="Consolas" w:cs="Consolas" w:eastAsia="Consolas" w:hAnsi="Consolas"/>
          <w:sz w:val="19"/>
          <w:szCs w:val="19"/>
        </w:rPr>
        <w:t xml:space="preserve">tenant-a|tenant-b</w:t>
      </w:r>
      <w:r>
        <w:t xml:space="preserve">), but only with tenant federation switched on. It is off by default, and we leave it off.</w:t>
      </w:r>
    </w:p>
    <w:p>
      <w:pPr>
        <w:pBdr>
          <w:left w:val="single" w:color="2E5C8A" w:sz="24" w:space="8"/>
        </w:pBdr>
        <w:shd w:fill="EEF4FB" w:color="auto" w:val="clear"/>
        <w:spacing w:after="220" w:before="120"/>
        <w:ind w:left="180" w:right="120"/>
      </w:pPr>
      <w:r>
        <w:rPr>
          <w:b/>
          <w:bCs/>
          <w:color w:val="2E5C8A"/>
        </w:rPr>
        <w:t xml:space="preserve">Remember  </w:t>
      </w:r>
      <w:r>
        <w:t xml:space="preserve">Mimir does not check who sends the header. That is why only Alloy, Tempo and obs-gateway can reach it.</w:t>
      </w:r>
    </w:p>
    <w:p>
      <w:pPr>
        <w:pStyle w:val="Heading2"/>
      </w:pPr>
      <w:r>
        <w:t xml:space="preserve">Write path: how metrics get in</w:t>
      </w:r>
    </w:p>
    <w:p>
      <w:pPr>
        <w:pStyle w:val="Heading3"/>
      </w:pPr>
      <w:r>
        <w:t xml:space="preserve">From Alloy</w:t>
      </w:r>
    </w:p>
    <w:p>
      <w:pPr>
        <w:spacing w:after="140"/>
      </w:pPr>
      <w:r>
        <w:t xml:space="preserve">A pod opts in with two annotations. Alloy on the pod's node scrapes it every 30 seconds and pushes the samples to Mimir with its tenant pipeline's ID: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metadata: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annotations: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prometheus.io/scrape: "true"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prometheus.io/port: "9898"         # must be a declared containerPort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# prometheus.io/path: /metrics     # optional; /metrics is the default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prometheus.remote_write "mimir" {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endpoint {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url     = "http://mimir.observability.svc.cluster.local:8080/api/v1/push"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headers = { "X-Scope-OrgID" = argument.id.value }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}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}</w:t>
      </w:r>
    </w:p>
    <w:p>
      <w:pPr>
        <w:spacing w:after="140"/>
      </w:pPr>
      <w:r>
        <w:t xml:space="preserve">Pod discovery gives one target per container port. A relabel rule keeps only the port the annotation names, so each pod is scraped once, on the port it chose.</w:t>
      </w:r>
    </w:p>
    <w:p>
      <w:pPr>
        <w:pStyle w:val="Heading3"/>
      </w:pPr>
      <w:r>
        <w:t xml:space="preserve">From Tempo</w:t>
      </w:r>
    </w:p>
    <w:p>
      <w:pPr>
        <w:spacing w:after="140"/>
      </w:pPr>
      <w:r>
        <w:t xml:space="preserve">Tempo's metrics generator reads each tenant's spans and writes </w:t>
      </w:r>
      <w:r>
        <w:rPr>
          <w:b/>
          <w:bCs/>
        </w:rPr>
        <w:t xml:space="preserve">service-graph</w:t>
      </w:r>
      <w:r>
        <w:t xml:space="preserve"> and </w:t>
      </w:r>
      <w:r>
        <w:rPr>
          <w:b/>
          <w:bCs/>
        </w:rPr>
        <w:t xml:space="preserve">span</w:t>
      </w:r>
      <w:r>
        <w:t xml:space="preserve"> metrics to Mimir. It adds the tenant of the spans as </w:t>
      </w:r>
      <w:r>
        <w:rPr>
          <w:rFonts w:ascii="Consolas" w:cs="Consolas" w:eastAsia="Consolas" w:hAnsi="Consolas"/>
          <w:sz w:val="19"/>
          <w:szCs w:val="19"/>
        </w:rPr>
        <w:t xml:space="preserve">X-Scope-OrgID</w:t>
      </w:r>
      <w:r>
        <w:t xml:space="preserve"> (Tempo does that by default), so tenant-a's service map lands in tenant-a's metrics and nowhere else.</w:t>
      </w:r>
    </w:p>
    <w:p>
      <w:pPr>
        <w:pStyle w:val="Heading2"/>
      </w:pPr>
      <w:r>
        <w:t xml:space="preserve">Read path: how tenants query</w:t>
      </w:r>
    </w:p>
    <w:p>
      <w:pPr>
        <w:spacing w:after="140"/>
      </w:pPr>
      <w:r>
        <w:t xml:space="preserve">Grafana → the org's </w:t>
      </w:r>
      <w:r>
        <w:rPr>
          <w:b/>
          <w:bCs/>
        </w:rPr>
        <w:t xml:space="preserve">Mimir</w:t>
      </w:r>
      <w:r>
        <w:t xml:space="preserve"> data source → obs-gateway port 8080, with the tenant's key → Mimir. The gateway's Mimir listener forwards the Prometheus query API and nothing else: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5600"/>
        <w:gridCol w:w="4146"/>
      </w:tblGrid>
      <w:tr>
        <w:trPr>
          <w:tblHeader/>
        </w:trPr>
        <w:tc>
          <w:tcPr>
            <w:tcW w:type="dxa" w:w="56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Request</w:t>
            </w:r>
          </w:p>
        </w:tc>
        <w:tc>
          <w:tcPr>
            <w:tcW w:type="dxa" w:w="41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Gateway answer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/prometheus/api/v1/query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query_range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label/&lt;name&gt;/values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metadata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query_exemplars</w:t>
            </w:r>
          </w:p>
        </w:tc>
        <w:tc>
          <w:tcPr>
            <w:tcW w:type="dxa" w:w="4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forwarded, as the tenant the key belongs to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/api/v1/push</w:t>
            </w:r>
          </w:p>
        </w:tc>
        <w:tc>
          <w:tcPr>
            <w:tcW w:type="dxa" w:w="4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404: no pushes through the gateway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rules and Alertmanager APIs, admin pages,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/metrics</w:t>
            </w:r>
          </w:p>
        </w:tc>
        <w:tc>
          <w:tcPr>
            <w:tcW w:type="dxa" w:w="4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404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 key, or an unknown one</w:t>
            </w:r>
          </w:p>
        </w:tc>
        <w:tc>
          <w:tcPr>
            <w:tcW w:type="dxa" w:w="4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401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The data source is a normal Prometheus data source, flagged as Mimir. The URL must end in </w:t>
      </w:r>
      <w:r>
        <w:rPr>
          <w:rFonts w:ascii="Consolas" w:cs="Consolas" w:eastAsia="Consolas" w:hAnsi="Consolas"/>
          <w:sz w:val="19"/>
          <w:szCs w:val="19"/>
        </w:rPr>
        <w:t xml:space="preserve">/prometheus</w:t>
      </w:r>
      <w:r>
        <w:t xml:space="preserve">, and the key travels in a custom header, stored encrypted: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{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"name": "Mimir", "uid": "mimir-tenant-a", "type": "prometheus",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"url": "http://obs-gateway.observability.svc.cluster.local:8080/prometheus",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"jsonData": {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"prometheusType": "Mimir", "httpMethod": "POST",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"httpHeaderName1": "X-Api-Key",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"exemplarTraceIdDestinations": [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{"name": "trace_id", "datasourceUid": "tempo-tenant-a"}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]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},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"secureJsonData": {"httpHeaderValue1": "&lt;tenant-a's gateway key&gt;"}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}</w:t>
      </w:r>
    </w:p>
    <w:p>
      <w:pPr>
        <w:spacing w:after="140"/>
      </w:pPr>
      <w:r>
        <w:t xml:space="preserve">When a metric carries exemplars, each exemplar links to its trace in the same org's Tempo. Tempo's service map also reads its data from this data source.</w:t>
      </w:r>
    </w:p>
    <w:p>
      <w:pPr>
        <w:pStyle w:val="Heading2"/>
      </w:pPr>
      <w:r>
        <w:t xml:space="preserve">Our configuration</w:t>
      </w:r>
    </w:p>
    <w:p>
      <w:pPr>
        <w:spacing w:after="140"/>
      </w:pPr>
      <w:r>
        <w:t xml:space="preserve">Mimir's only Helm chart deploys the full microservices setup with object storage. For the lab we run a single binary instead (</w:t>
      </w:r>
      <w:r>
        <w:rPr>
          <w:rFonts w:ascii="Consolas" w:cs="Consolas" w:eastAsia="Consolas" w:hAnsi="Consolas"/>
          <w:sz w:val="19"/>
          <w:szCs w:val="19"/>
        </w:rPr>
        <w:t xml:space="preserve">-target=all</w:t>
      </w:r>
      <w:r>
        <w:t xml:space="preserve">), from a plain StatefulSet, which keeps the tenancy model easy to see: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multitenancy_enabled: true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limits:                                   # defaults for every tenant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max_global_series_per_user: 150000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ingestion_rate: 20000                   # samples per second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compactor_blocks_retention_period: 72h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usage_stats: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enabled: false                          # no usage reports leave the cluster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Storage: the local filesystem, on a 5 GiB volume.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Runs as UID 10001 with a </w:t>
      </w:r>
      <w:r>
        <w:rPr>
          <w:b/>
          <w:bCs/>
        </w:rPr>
        <w:t xml:space="preserve">read-only root filesystem</w:t>
      </w:r>
      <w:r>
        <w:t xml:space="preserve">. Mimir writes some files relative to its working directory, so </w:t>
      </w:r>
      <w:r>
        <w:rPr>
          <w:rFonts w:ascii="Consolas" w:cs="Consolas" w:eastAsia="Consolas" w:hAnsi="Consolas"/>
          <w:sz w:val="19"/>
          <w:szCs w:val="19"/>
        </w:rPr>
        <w:t xml:space="preserve">workingDir</w:t>
      </w:r>
      <w:r>
        <w:t xml:space="preserve"> is the data volume.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service account token: Mimir never calls the Kubernetes API.</w:t>
      </w:r>
    </w:p>
    <w:p>
      <w:pPr>
        <w:pStyle w:val="Heading3"/>
      </w:pPr>
      <w:r>
        <w:t xml:space="preserve">Files in the lab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4600"/>
        <w:gridCol w:w="5146"/>
      </w:tblGrid>
      <w:tr>
        <w:trPr>
          <w:tblHeader/>
        </w:trPr>
        <w:tc>
          <w:tcPr>
            <w:tcW w:type="dxa" w:w="46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51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holds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06-observability-backends/mimir.yaml</w:t>
            </w:r>
          </w:p>
        </w:tc>
        <w:tc>
          <w:tcPr>
            <w:tcW w:type="dxa" w:w="5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ConfigMap, StatefulSet and Service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08-collectors/alloy-values.yaml</w:t>
            </w:r>
          </w:p>
        </w:tc>
        <w:tc>
          <w:tcPr>
            <w:tcW w:type="dxa" w:w="5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scraping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prometheus.remote_write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06-observability-backends/tempo-values.yaml</w:t>
            </w:r>
          </w:p>
        </w:tc>
        <w:tc>
          <w:tcPr>
            <w:tcW w:type="dxa" w:w="5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metrics generator that writes to Mimir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07-read-gateway/gateway.yaml</w:t>
            </w:r>
          </w:p>
        </w:tc>
        <w:tc>
          <w:tcPr>
            <w:tcW w:type="dxa" w:w="5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obs-gateway, port 8080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10-observability-lockdown/policies.yaml</w:t>
            </w:r>
          </w:p>
        </w:tc>
        <w:tc>
          <w:tcPr>
            <w:tcW w:type="dxa" w:w="5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mimir</w:t>
            </w:r>
            <w:r>
              <w:t xml:space="preserve"> network policy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Per-tenant limits</w:t>
      </w:r>
    </w:p>
    <w:p>
      <w:pPr>
        <w:spacing w:after="140"/>
      </w:pPr>
      <w:r>
        <w:t xml:space="preserve">The lab gives every tenant the same defaults: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3500"/>
        <w:gridCol w:w="2200"/>
        <w:gridCol w:w="4046"/>
      </w:tblGrid>
      <w:tr>
        <w:trPr>
          <w:tblHeader/>
        </w:trPr>
        <w:tc>
          <w:tcPr>
            <w:tcW w:type="dxa" w:w="35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Limit</w:t>
            </w:r>
          </w:p>
        </w:tc>
        <w:tc>
          <w:tcPr>
            <w:tcW w:type="dxa" w:w="22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Here</w:t>
            </w:r>
          </w:p>
        </w:tc>
        <w:tc>
          <w:tcPr>
            <w:tcW w:type="dxa" w:w="40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When a tenant goes over it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max_global_series_per_user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150,000</w:t>
            </w:r>
          </w:p>
        </w:tc>
        <w:tc>
          <w:tcPr>
            <w:tcW w:type="dxa" w:w="40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new series are refused (error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err-mimir-max-series-per-user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ingestion_rate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20,000 samples/s</w:t>
            </w:r>
          </w:p>
        </w:tc>
        <w:tc>
          <w:tcPr>
            <w:tcW w:type="dxa" w:w="40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pushes get 429 (error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err-mimir-tenant-max-ingestion-rate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compactor_blocks_retention_period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72h</w:t>
            </w:r>
          </w:p>
        </w:tc>
        <w:tc>
          <w:tcPr>
            <w:tcW w:type="dxa" w:w="40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older blocks are deleted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To give one tenant different values, add a runtime config file with an </w:t>
      </w:r>
      <w:r>
        <w:rPr>
          <w:rFonts w:ascii="Consolas" w:cs="Consolas" w:eastAsia="Consolas" w:hAnsi="Consolas"/>
          <w:sz w:val="19"/>
          <w:szCs w:val="19"/>
        </w:rPr>
        <w:t xml:space="preserve">overrides</w:t>
      </w:r>
      <w:r>
        <w:t xml:space="preserve"> section. Mimir reloads it on its own, without a restart: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# mimir.yaml ConfigMap: a second file next to mimir.yaml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runtime.yaml: |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overrides: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tenant-a: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max_global_series_per_user: 300000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ingestion_rate: 40000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tenant-b: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compactor_blocks_retention_period: 720h    # 30 days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# StatefulSet: one more argument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args: ["-config.file=/etc/mimir/mimir.yaml", "-target=all",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 "-runtime-config.file=/etc/mimir/runtime.yaml"]</w:t>
      </w:r>
    </w:p>
    <w:p>
      <w:pPr>
        <w:pBdr>
          <w:left w:val="single" w:color="2E5C8A" w:sz="24" w:space="8"/>
        </w:pBdr>
        <w:shd w:fill="EEF4FB" w:color="auto" w:val="clear"/>
        <w:spacing w:after="220" w:before="120"/>
        <w:ind w:left="180" w:right="120"/>
      </w:pPr>
      <w:r>
        <w:rPr>
          <w:b/>
          <w:bCs/>
          <w:color w:val="2E5C8A"/>
        </w:rPr>
        <w:t xml:space="preserve">The usual culprit  </w:t>
      </w:r>
      <w:r>
        <w:t xml:space="preserve">Hitting the series limit almost always means a label with too many values: request IDs, user IDs, full URLs. Fix the label in the app before raising the limit.</w:t>
      </w:r>
    </w:p>
    <w:p>
      <w:pPr>
        <w:pStyle w:val="Heading2"/>
      </w:pPr>
      <w:r>
        <w:t xml:space="preserve">Network lockdown</w:t>
      </w:r>
    </w:p>
    <w:p>
      <w:pPr>
        <w:spacing w:after="140"/>
      </w:pPr>
      <w:r>
        <w:t xml:space="preserve">The Cilium policy </w:t>
      </w:r>
      <w:r>
        <w:rPr>
          <w:rFonts w:ascii="Consolas" w:cs="Consolas" w:eastAsia="Consolas" w:hAnsi="Consolas"/>
          <w:sz w:val="19"/>
          <w:szCs w:val="19"/>
        </w:rPr>
        <w:t xml:space="preserve">mimir</w:t>
      </w:r>
      <w:r>
        <w:t xml:space="preserve"> decides who may reach Mimir on port 8080: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3400"/>
        <w:gridCol w:w="3400"/>
        <w:gridCol w:w="2946"/>
      </w:tblGrid>
      <w:tr>
        <w:trPr>
          <w:tblHeader/>
        </w:trPr>
        <w:tc>
          <w:tcPr>
            <w:tcW w:type="dxa" w:w="34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From</w:t>
            </w:r>
          </w:p>
        </w:tc>
        <w:tc>
          <w:tcPr>
            <w:tcW w:type="dxa" w:w="34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Allowed</w:t>
            </w:r>
          </w:p>
        </w:tc>
        <w:tc>
          <w:tcPr>
            <w:tcW w:type="dxa" w:w="29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Alloy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/api/v1/push</w:t>
            </w:r>
            <w:r>
              <w:t xml:space="preserve"> only (L7 rule)</w:t>
            </w:r>
          </w:p>
        </w:tc>
        <w:tc>
          <w:tcPr>
            <w:tcW w:type="dxa" w:w="2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writes scraped metrics; cannot read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Tempo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/api/v1/push</w:t>
            </w:r>
            <w:r>
              <w:t xml:space="preserve"> only (L7 rule)</w:t>
            </w:r>
          </w:p>
        </w:tc>
        <w:tc>
          <w:tcPr>
            <w:tcW w:type="dxa" w:w="2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writes service-graph metrics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obs-gateway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port 8080</w:t>
            </w:r>
          </w:p>
        </w:tc>
        <w:tc>
          <w:tcPr>
            <w:tcW w:type="dxa" w:w="2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gateway does the filtering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Mimir itself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2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its internal ring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tenant pods, other namespaces, Grafana, the internet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dropped</w:t>
            </w:r>
          </w:p>
        </w:tc>
        <w:tc>
          <w:tcPr>
            <w:tcW w:type="dxa" w:w="2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10-observability-lockdown/attack-demo.sh</w:t>
      </w:r>
      <w:r>
        <w:t xml:space="preserve"> shows why this matters: before step 10, a pod in </w:t>
      </w:r>
      <w:r>
        <w:rPr>
          <w:rFonts w:ascii="Consolas" w:cs="Consolas" w:eastAsia="Consolas" w:hAnsi="Consolas"/>
          <w:sz w:val="19"/>
          <w:szCs w:val="19"/>
        </w:rPr>
        <w:t xml:space="preserve">default</w:t>
      </w:r>
      <w:r>
        <w:t xml:space="preserve"> reads tenant-b's metrics just by sending </w:t>
      </w:r>
      <w:r>
        <w:rPr>
          <w:rFonts w:ascii="Consolas" w:cs="Consolas" w:eastAsia="Consolas" w:hAnsi="Consolas"/>
          <w:sz w:val="19"/>
          <w:szCs w:val="19"/>
        </w:rPr>
        <w:t xml:space="preserve">X-Scope-OrgID: tenant-b</w:t>
      </w:r>
      <w:r>
        <w:t xml:space="preserve">. After step 10, the same request times out.</w:t>
      </w:r>
    </w:p>
    <w:p>
      <w:pPr>
        <w:pStyle w:val="Heading2"/>
      </w:pPr>
      <w:r>
        <w:t xml:space="preserve">Using Mimir as a tenant</w:t>
      </w:r>
    </w:p>
    <w:p>
      <w:pPr>
        <w:spacing w:after="140"/>
      </w:pPr>
      <w:r>
        <w:t xml:space="preserve">In Grafana, open </w:t>
      </w:r>
      <w:r>
        <w:rPr>
          <w:b/>
          <w:bCs/>
        </w:rPr>
        <w:t xml:space="preserve">Explore</w:t>
      </w:r>
      <w:r>
        <w:t xml:space="preserve"> and pick </w:t>
      </w:r>
      <w:r>
        <w:rPr>
          <w:b/>
          <w:bCs/>
        </w:rPr>
        <w:t xml:space="preserve">Mimir</w:t>
      </w:r>
      <w:r>
        <w:t xml:space="preserve">. You never need </w:t>
      </w:r>
      <w:r>
        <w:rPr>
          <w:rFonts w:ascii="Consolas" w:cs="Consolas" w:eastAsia="Consolas" w:hAnsi="Consolas"/>
          <w:sz w:val="19"/>
          <w:szCs w:val="19"/>
        </w:rPr>
        <w:t xml:space="preserve">namespace=</w:t>
      </w:r>
      <w:r>
        <w:t xml:space="preserve"> to stay inside your tenant; use it to narrow things down.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you want</w:t>
            </w:r>
          </w:p>
        </w:tc>
        <w:tc>
          <w:tcPr>
            <w:tcW w:type="dxa" w:w="67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PromQL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Request rate by status code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sum by (status) (rate(http_request_duration_seconds_count{namespace="tenant-a"}[5m]))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95th percentile latency per service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histogram_quantile(0.95, sum by (le, container) (rate(http_request_duration_seconds_bucket[5m])))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Share of failing requests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sum(rate(http_requests_total{status=~"5.."}[5m])) / sum(rate(http_requests_total[5m]))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Is every target scraped?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</w:t>
            </w:r>
            <w:r>
              <w:t xml:space="preserve"> (0 means the scrape fails)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Who calls whom (service graph)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sum by (client, server) (rate(traces_service_graph_request_total[5m]))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Calls per span, from traces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sum by (service, span_name) (rate(traces_spanmetrics_calls_total[5m]))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Your biggest metrics (series count)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topk(10, count by (__name__) ({__name__=~".+"}))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Alert rules created in your org (Grafana-managed alerts) query through the same data source, so they only ever see your tenant.</w:t>
      </w:r>
    </w:p>
    <w:p>
      <w:pPr>
        <w:pStyle w:val="Heading2"/>
      </w:pPr>
      <w:r>
        <w:t xml:space="preserve">How we verify it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11-verify-observability.sh</w:t>
      </w:r>
      <w:r>
        <w:t xml:space="preserve"> runs these checks after every change. The Mimir part: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6200"/>
        <w:gridCol w:w="3546"/>
      </w:tblGrid>
      <w:tr>
        <w:trPr>
          <w:tblHeader/>
        </w:trPr>
        <w:tc>
          <w:tcPr>
            <w:tcW w:type="dxa" w:w="62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35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tenant-a lists the namespaces it has metrics for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only tenant-a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tenant-a's key plus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X-Scope-OrgID: tenant-b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still only tenant-a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 key, or an unknown key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refused (401)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push through the gateway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refused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 pod with Alloy's identity pushes / queries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push passes the L7 rule; query gets 403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 tenant-a pod connects to Mimir on 8080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dropped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 pod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</w:t>
            </w:r>
            <w:r>
              <w:t xml:space="preserve"> connects to Mimir (the attack)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dropped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service graph frontend → backend, as tenant-a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present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podinfo request metrics, as tenant-a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present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ops (Platform org) lists namespaces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 tenant namespaces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alice and bob in Grafana list metric namespaces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only their own tenant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By hand, from the repository root: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kubectl -n observability port-forward svc/obs-gateway 8080:8080 &amp;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source .state/soft-tenancy/credentials.env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curl -s -H "X-Api-Key: ${OBS_KEY_TENANT_A}" \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http://127.0.0.1:8080/prometheus/api/v1/label/namespace/values | jq .data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curl -s -H "X-Api-Key: ${OBS_KEY_TENANT_A}" --data-urlencode 'query=up' \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http://127.0.0.1:8080/prometheus/api/v1/query | jq '.data.result[].metric.namespace'</w:t>
      </w:r>
    </w:p>
    <w:p>
      <w:pPr>
        <w:pStyle w:val="Heading2"/>
      </w:pPr>
      <w:r>
        <w:t xml:space="preserve">Troubleshooting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2700"/>
        <w:gridCol w:w="3700"/>
        <w:gridCol w:w="3346"/>
      </w:tblGrid>
      <w:tr>
        <w:trPr>
          <w:tblHeader/>
        </w:trPr>
        <w:tc>
          <w:tcPr>
            <w:tcW w:type="dxa" w:w="27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37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Likely cause</w:t>
            </w:r>
          </w:p>
        </w:tc>
        <w:tc>
          <w:tcPr>
            <w:tcW w:type="dxa" w:w="33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 pod's metrics are missing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Annotations missing, 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prometheus.io/port</w:t>
            </w:r>
            <w:r>
              <w:t xml:space="preserve"> is not a declared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containerPort</w:t>
            </w:r>
            <w:r>
              <w:t xml:space="preserve">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Declare the port in the container spec. Check the targets in the UI of the Alloy pod on that node (port 12345).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err-mimir-max-series-per-user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Too many active series, usually one label with too many values.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Fix the label at the source; raise the tenant's limit only if justified.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err-mimir-tenant-max-ingestion-rate</w:t>
            </w:r>
            <w:r>
              <w:t xml:space="preserve"> (429)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tenant pushes faster than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ingestion_rate</w:t>
            </w:r>
            <w:r>
              <w:t xml:space="preserve">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Same as above.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Grafana data source test fails with 404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URL does not end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/prometheus</w:t>
            </w:r>
            <w:r>
              <w:t xml:space="preserve">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Re-run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09-grafana/setup-orgs.sh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Grafana data source test fails with 401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key in the data source does not match the gateway's Secret.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Re-run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07-read-gateway/install.sh</w:t>
            </w:r>
            <w:r>
              <w:t xml:space="preserve">, then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09-grafana/setup-orgs.sh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Service graph is empty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It needs both sides of a call in one trace, a few minutes of traffic, and Tempo allowed to write to Mimir.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Check Tempo's logs for remote-write errors.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Mimir crash-loops with "read-only file system"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It writes files relative to its working directory.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Keep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workingDir: /data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 org id</w:t>
            </w:r>
            <w:r>
              <w:t xml:space="preserve"> (401)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request reached Mimir without the header.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Go through the gateway.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Going to production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The mimir-distributed chart:</w:t>
      </w:r>
      <w:r>
        <w:t xml:space="preserve"> separate distributors, ingesters, queriers, store-gateways and compactor, with a replication factor of 3.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Object storage:</w:t>
      </w:r>
      <w:r>
        <w:t xml:space="preserve"> each tenant's blocks sit under its own prefix in the bucket.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Per-tenant limits:</w:t>
      </w:r>
      <w:r>
        <w:t xml:space="preserve"> set through the chart's runtime config, sized from real usage. Add </w:t>
      </w:r>
      <w:r>
        <w:rPr>
          <w:rFonts w:ascii="Consolas" w:cs="Consolas" w:eastAsia="Consolas" w:hAnsi="Consolas"/>
          <w:sz w:val="19"/>
          <w:szCs w:val="19"/>
        </w:rPr>
        <w:t xml:space="preserve">max_global_series_per_metric</w:t>
      </w:r>
      <w:r>
        <w:t xml:space="preserve"> to catch one exploding metric.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Shuffle sharding:</w:t>
      </w:r>
      <w:r>
        <w:t xml:space="preserve"> limits how many ingesters one tenant uses, so a noisy tenant cannot slow down all of them.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Alerting:</w:t>
      </w:r>
      <w:r>
        <w:t xml:space="preserve"> Grafana-managed alerts per org work as they are. Mimir's own ruler and Alertmanager are multi-tenant too, but their APIs would have to be exposed per tenant through the gateway.</w:t>
      </w:r>
    </w:p>
    <w:p>
      <w:pPr>
        <w:pStyle w:val="Heading2"/>
      </w:pPr>
      <w:r>
        <w:t xml:space="preserve">FAQ</w:t>
      </w:r>
    </w:p>
    <w:p>
      <w:pPr>
        <w:spacing w:after="140"/>
      </w:pPr>
      <w:r>
        <w:rPr>
          <w:b/>
          <w:bCs/>
        </w:rPr>
        <w:t xml:space="preserve">What if tenant-a's app exports a metric labelled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namespace="tenant-b"</w:t>
      </w:r>
      <w:r>
        <w:rPr>
          <w:b/>
          <w:bCs/>
        </w:rPr>
        <w:t xml:space="preserve">?</w:t>
      </w:r>
      <w:r>
        <w:t xml:space="preserve"> It still lands in tenant-a's space. Alloy also renames the app's label to </w:t>
      </w:r>
      <w:r>
        <w:rPr>
          <w:rFonts w:ascii="Consolas" w:cs="Consolas" w:eastAsia="Consolas" w:hAnsi="Consolas"/>
          <w:sz w:val="19"/>
          <w:szCs w:val="19"/>
        </w:rPr>
        <w:t xml:space="preserve">exported_namespace</w:t>
      </w:r>
      <w:r>
        <w:t xml:space="preserve">, because the target's own </w:t>
      </w:r>
      <w:r>
        <w:rPr>
          <w:rFonts w:ascii="Consolas" w:cs="Consolas" w:eastAsia="Consolas" w:hAnsi="Consolas"/>
          <w:sz w:val="19"/>
          <w:szCs w:val="19"/>
        </w:rPr>
        <w:t xml:space="preserve">namespace</w:t>
      </w:r>
      <w:r>
        <w:t xml:space="preserve"> label wins.</w:t>
      </w:r>
    </w:p>
    <w:p>
      <w:pPr>
        <w:spacing w:after="140"/>
      </w:pPr>
      <w:r>
        <w:rPr>
          <w:b/>
          <w:bCs/>
        </w:rPr>
        <w:t xml:space="preserve">Can tenants see node or cluster metrics?</w:t>
      </w:r>
      <w:r>
        <w:t xml:space="preserve"> Not in the lab. Cluster-wide metrics (nodes, kube-state-metrics) belong to </w:t>
      </w:r>
      <w:r>
        <w:rPr>
          <w:rFonts w:ascii="Consolas" w:cs="Consolas" w:eastAsia="Consolas" w:hAnsi="Consolas"/>
          <w:sz w:val="19"/>
          <w:szCs w:val="19"/>
        </w:rPr>
        <w:t xml:space="preserve">platform</w:t>
      </w:r>
      <w:r>
        <w:t xml:space="preserve">. Giving tenants their own pods' resource usage means copying those series into each tenant, filtered by namespace: a platform job.</w:t>
      </w:r>
    </w:p>
    <w:p>
      <w:pPr>
        <w:spacing w:after="140"/>
      </w:pPr>
      <w:r>
        <w:rPr>
          <w:b/>
          <w:bCs/>
        </w:rPr>
        <w:t xml:space="preserve">Why may Tempo write to Mimir?</w:t>
      </w:r>
      <w:r>
        <w:t xml:space="preserve"> For the service map. It writes each tenant's service-graph metrics into that same tenant.</w:t>
      </w:r>
    </w:p>
    <w:p>
      <w:pPr>
        <w:spacing w:after="140"/>
      </w:pPr>
      <w:r>
        <w:rPr>
          <w:b/>
          <w:bCs/>
        </w:rPr>
        <w:t xml:space="preserve">Why does the data source use POST?</w:t>
      </w:r>
      <w:r>
        <w:t xml:space="preserve"> Long PromQL queries fit in a POST body. The gateway allows any method on the query API.</w:t>
      </w:r>
    </w:p>
    <w:p>
      <w:pPr>
        <w:pStyle w:val="Heading2"/>
      </w:pPr>
      <w:r>
        <w:t xml:space="preserve">Related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Per-tenant observability: the basics</w:t>
      </w:r>
      <w:r>
        <w:t xml:space="preserve"> (the whole stack on one page).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other component pages: </w:t>
      </w:r>
      <w:r>
        <w:rPr>
          <w:b/>
          <w:bCs/>
        </w:rPr>
        <w:t xml:space="preserve">Loki</w:t>
      </w:r>
      <w:r>
        <w:t xml:space="preserve">, </w:t>
      </w:r>
      <w:r>
        <w:rPr>
          <w:b/>
          <w:bCs/>
        </w:rPr>
        <w:t xml:space="preserve">Tempo</w:t>
      </w:r>
      <w:r>
        <w:t xml:space="preserve">, </w:t>
      </w:r>
      <w:r>
        <w:rPr>
          <w:b/>
          <w:bCs/>
        </w:rPr>
        <w:t xml:space="preserve">Pyroscope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Soft tenancy with Cilium: the basics</w:t>
      </w:r>
      <w:r>
        <w:t xml:space="preserve"> (how tenants are kept apart on the network).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lab: </w:t>
      </w:r>
      <w:r>
        <w:rPr>
          <w:rFonts w:ascii="Consolas" w:cs="Consolas" w:eastAsia="Consolas" w:hAnsi="Consolas"/>
          <w:sz w:val="19"/>
          <w:szCs w:val="19"/>
        </w:rPr>
        <w:t xml:space="preserve">soft-tenancy/</w:t>
      </w:r>
      <w:r>
        <w:t xml:space="preserve"> in the instant-rke2-lab repository, steps 06 to 11.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0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360"/>
      <w:outlineLvl w:val="1"/>
    </w:pPr>
    <w:rPr>
      <w:rFonts w:ascii="Calibri" w:cs="Calibri" w:eastAsia="Calibri" w:hAnsi="Calibri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89a7573431b531aa9a2dcbed2a40a81d84a6a5.svg"/><Relationship Id="rId8" Type="http://schemas.openxmlformats.org/officeDocument/2006/relationships/image" Target="media/7d9a06cd7fd0beaff6ec661cf1c402cb00ae0992.png"/><Relationship Id="rId9" Type="http://schemas.openxmlformats.org/officeDocument/2006/relationships/image" Target="media/e3fd7908f1d083b7cd6db37e76a58158a7ce16c5.svg"/><Relationship Id="rId10" Type="http://schemas.openxmlformats.org/officeDocument/2006/relationships/image" Target="media/2165375feb42865151c350d0c4523c5e7282945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Mimir: per-tenant metrics</dc:title>
  <dc:creator>Platform team</dc:creator>
  <cp:lastModifiedBy>Un-named</cp:lastModifiedBy>
  <cp:revision>1</cp:revision>
  <dcterms:created xsi:type="dcterms:W3CDTF">2026-09-22T14:30:31.108Z</dcterms:created>
  <dcterms:modified xsi:type="dcterms:W3CDTF">2026-09-22T14:30:31.108Z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