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Tempo: per-tenant traces</w:t>
      </w:r>
    </w:p>
    <w:p>
      <w:pPr>
        <w:pBdr>
          <w:left w:val="single" w:color="2E5C8A" w:sz="24" w:space="8"/>
        </w:pBdr>
        <w:shd w:fill="EEF4FB" w:color="auto" w:val="clear"/>
        <w:spacing w:after="220" w:before="120"/>
        <w:ind w:left="180" w:right="120"/>
      </w:pPr>
      <w:r>
        <w:rPr>
          <w:b/>
          <w:bCs/>
          <w:color w:val="2E5C8A"/>
        </w:rPr>
        <w:t xml:space="preserve">In 30 seconds  </w:t>
      </w:r>
      <w:r>
        <w:t xml:space="preserve">Tempo stores traces: the path of one request through frontend and backend. Each tenant's traces live in a separate space, and a trace ID from another tenant finds nothing. Traces are the one signal apps push themselves, so each tenant pushes to its own small OTLP receiver, and the receiver stamps the tenant. Tempo also turns each tenant's spans into service-graph metrics in Mimir, under the same tenant.</w:t>
      </w:r>
    </w:p>
    <w:p>
      <w:pPr>
        <w:pBdr>
          <w:left w:val="single" w:color="2E5C8A" w:sz="24" w:space="8"/>
        </w:pBdr>
        <w:shd w:fill="EEF4FB" w:color="auto" w:val="clear"/>
        <w:spacing w:after="220" w:before="120"/>
        <w:ind w:left="180" w:right="120"/>
      </w:pPr>
      <w:r>
        <w:rPr>
          <w:b/>
          <w:bCs/>
          <w:color w:val="2E5C8A"/>
        </w:rPr>
        <w:t xml:space="preserve">Series  </w:t>
      </w:r>
      <w:r>
        <w:t xml:space="preserve">Component page of the soft tenancy series. Read </w:t>
      </w:r>
      <w:r>
        <w:rPr>
          <w:b/>
          <w:bCs/>
        </w:rPr>
        <w:t xml:space="preserve">Per-tenant observability: the basics</w:t>
      </w:r>
      <w:r>
        <w:t xml:space="preserve"> first: it explains the read gateway, the collectors and the Grafana organizations that every backend relies on.</w:t>
      </w:r>
    </w:p>
    <w:p>
      <w:pPr>
        <w:spacing w:after="60" w:before="120"/>
      </w:pPr>
      <w:r>
        <w:rPr>
          <w:b/>
          <w:bCs/>
        </w:rPr>
        <w:t xml:space="preserve">On this page</w:t>
      </w:r>
    </w:p>
    <w:p>
      <w:pPr>
        <w:pStyle w:val="ListParagraph"/>
        <w:numPr>
          <w:ilvl w:val="0"/>
          <w:numId w:val="2"/>
        </w:numPr>
        <w:spacing w:after="70"/>
      </w:pPr>
      <w:r>
        <w:t xml:space="preserve">What Tempo does here</w:t>
      </w:r>
    </w:p>
    <w:p>
      <w:pPr>
        <w:pStyle w:val="ListParagraph"/>
        <w:numPr>
          <w:ilvl w:val="0"/>
          <w:numId w:val="2"/>
        </w:numPr>
        <w:spacing w:after="70"/>
      </w:pPr>
      <w:r>
        <w:t xml:space="preserve">Where Tempo sits</w:t>
      </w:r>
    </w:p>
    <w:p>
      <w:pPr>
        <w:pStyle w:val="ListParagraph"/>
        <w:numPr>
          <w:ilvl w:val="0"/>
          <w:numId w:val="2"/>
        </w:numPr>
        <w:spacing w:after="70"/>
      </w:pPr>
      <w:r>
        <w:t xml:space="preserve">How tenants are kept apart</w:t>
      </w:r>
    </w:p>
    <w:p>
      <w:pPr>
        <w:pStyle w:val="ListParagraph"/>
        <w:numPr>
          <w:ilvl w:val="0"/>
          <w:numId w:val="2"/>
        </w:numPr>
        <w:spacing w:after="70"/>
      </w:pPr>
      <w:r>
        <w:t xml:space="preserve">Write path: how traces get in</w:t>
      </w:r>
    </w:p>
    <w:p>
      <w:pPr>
        <w:pStyle w:val="ListParagraph"/>
        <w:numPr>
          <w:ilvl w:val="0"/>
          <w:numId w:val="2"/>
        </w:numPr>
        <w:spacing w:after="70"/>
      </w:pPr>
      <w:r>
        <w:t xml:space="preserve">Read path: how tenants query</w:t>
      </w:r>
    </w:p>
    <w:p>
      <w:pPr>
        <w:pStyle w:val="ListParagraph"/>
        <w:numPr>
          <w:ilvl w:val="0"/>
          <w:numId w:val="2"/>
        </w:numPr>
        <w:spacing w:after="70"/>
      </w:pPr>
      <w:r>
        <w:t xml:space="preserve">Our configuration</w:t>
      </w:r>
    </w:p>
    <w:p>
      <w:pPr>
        <w:pStyle w:val="ListParagraph"/>
        <w:numPr>
          <w:ilvl w:val="0"/>
          <w:numId w:val="2"/>
        </w:numPr>
        <w:spacing w:after="70"/>
      </w:pPr>
      <w:r>
        <w:t xml:space="preserve">Per-tenant limits</w:t>
      </w:r>
    </w:p>
    <w:p>
      <w:pPr>
        <w:pStyle w:val="ListParagraph"/>
        <w:numPr>
          <w:ilvl w:val="0"/>
          <w:numId w:val="2"/>
        </w:numPr>
        <w:spacing w:after="70"/>
      </w:pPr>
      <w:r>
        <w:t xml:space="preserve">Network lockdown</w:t>
      </w:r>
    </w:p>
    <w:p>
      <w:pPr>
        <w:pStyle w:val="ListParagraph"/>
        <w:numPr>
          <w:ilvl w:val="0"/>
          <w:numId w:val="2"/>
        </w:numPr>
        <w:spacing w:after="70"/>
      </w:pPr>
      <w:r>
        <w:t xml:space="preserve">Using Tempo as a tenant</w:t>
      </w:r>
    </w:p>
    <w:p>
      <w:pPr>
        <w:pStyle w:val="ListParagraph"/>
        <w:numPr>
          <w:ilvl w:val="0"/>
          <w:numId w:val="2"/>
        </w:numPr>
        <w:spacing w:after="70"/>
      </w:pPr>
      <w:r>
        <w:t xml:space="preserve">How we verify it</w:t>
      </w:r>
    </w:p>
    <w:p>
      <w:pPr>
        <w:pStyle w:val="ListParagraph"/>
        <w:numPr>
          <w:ilvl w:val="0"/>
          <w:numId w:val="2"/>
        </w:numPr>
        <w:spacing w:after="70"/>
      </w:pPr>
      <w:r>
        <w:t xml:space="preserve">Troubleshooting</w:t>
      </w:r>
    </w:p>
    <w:p>
      <w:pPr>
        <w:pStyle w:val="ListParagraph"/>
        <w:numPr>
          <w:ilvl w:val="0"/>
          <w:numId w:val="2"/>
        </w:numPr>
        <w:spacing w:after="70"/>
      </w:pPr>
      <w:r>
        <w:t xml:space="preserve">Going to production</w:t>
      </w:r>
    </w:p>
    <w:p>
      <w:pPr>
        <w:pStyle w:val="ListParagraph"/>
        <w:numPr>
          <w:ilvl w:val="0"/>
          <w:numId w:val="2"/>
        </w:numPr>
        <w:spacing w:after="70"/>
      </w:pPr>
      <w:r>
        <w:t xml:space="preserve">FAQ</w:t>
      </w:r>
    </w:p>
    <w:p>
      <w:pPr>
        <w:pStyle w:val="ListParagraph"/>
        <w:numPr>
          <w:ilvl w:val="0"/>
          <w:numId w:val="2"/>
        </w:numPr>
        <w:spacing w:after="70"/>
      </w:pPr>
      <w:r>
        <w:t xml:space="preserve">Related</w:t>
      </w:r>
    </w:p>
    <w:p>
      <w:pPr>
        <w:pStyle w:val="Heading2"/>
      </w:pPr>
      <w:r>
        <w:t xml:space="preserve">What Tempo does here</w:t>
      </w:r>
    </w:p>
    <w:p>
      <w:pPr>
        <w:spacing w:after="140"/>
      </w:pPr>
      <w:r>
        <w:t xml:space="preserve">A </w:t>
      </w:r>
      <w:r>
        <w:rPr>
          <w:b/>
          <w:bCs/>
        </w:rPr>
        <w:t xml:space="preserve">trace</w:t>
      </w:r>
      <w:r>
        <w:t xml:space="preserve"> is one request's journey; each step in it is a </w:t>
      </w:r>
      <w:r>
        <w:rPr>
          <w:b/>
          <w:bCs/>
        </w:rPr>
        <w:t xml:space="preserve">span</w:t>
      </w:r>
      <w:r>
        <w:t xml:space="preserve">. In our workload, the client calls the frontend, and the frontend's </w:t>
      </w:r>
      <w:r>
        <w:rPr>
          <w:rFonts w:ascii="Consolas" w:cs="Consolas" w:eastAsia="Consolas" w:hAnsi="Consolas"/>
          <w:sz w:val="19"/>
          <w:szCs w:val="19"/>
        </w:rPr>
        <w:t xml:space="preserve">/echo</w:t>
      </w:r>
      <w:r>
        <w:t xml:space="preserve"> calls the backend, so a typical trace has spans from both services. Some calls are slow (</w:t>
      </w:r>
      <w:r>
        <w:rPr>
          <w:rFonts w:ascii="Consolas" w:cs="Consolas" w:eastAsia="Consolas" w:hAnsi="Consolas"/>
          <w:sz w:val="19"/>
          <w:szCs w:val="19"/>
        </w:rPr>
        <w:t xml:space="preserve">/delay/1</w:t>
      </w:r>
      <w:r>
        <w:t xml:space="preserve">) and some fail (</w:t>
      </w:r>
      <w:r>
        <w:rPr>
          <w:rFonts w:ascii="Consolas" w:cs="Consolas" w:eastAsia="Consolas" w:hAnsi="Consolas"/>
          <w:sz w:val="19"/>
          <w:szCs w:val="19"/>
        </w:rPr>
        <w:t xml:space="preserve">/status/500</w:t>
      </w:r>
      <w:r>
        <w:t xml:space="preserve">), which gives the team something to look for.</w:t>
      </w:r>
    </w:p>
    <w:p>
      <w:pPr>
        <w:spacing w:after="140"/>
      </w:pPr>
      <w:r>
        <w:t xml:space="preserve">Apps send spans with </w:t>
      </w:r>
      <w:r>
        <w:rPr>
          <w:b/>
          <w:bCs/>
        </w:rPr>
        <w:t xml:space="preserve">OTLP</w:t>
      </w:r>
      <w:r>
        <w:t xml:space="preserve">, OpenTelemetry's protocol. Tempo stores them, finds them by trace ID, and searches them with </w:t>
      </w:r>
      <w:r>
        <w:rPr>
          <w:b/>
          <w:bCs/>
        </w:rPr>
        <w:t xml:space="preserve">TraceQL</w:t>
      </w:r>
      <w:r>
        <w:t xml:space="preserve">. Tempo runs as a single binary from the </w:t>
      </w:r>
      <w:r>
        <w:rPr>
          <w:rFonts w:ascii="Consolas" w:cs="Consolas" w:eastAsia="Consolas" w:hAnsi="Consolas"/>
          <w:sz w:val="19"/>
          <w:szCs w:val="19"/>
        </w:rPr>
        <w:t xml:space="preserve">grafana-community/tempo</w:t>
      </w:r>
      <w:r>
        <w:t xml:space="preserve"> chart.</w:t>
      </w:r>
    </w:p>
    <w:p>
      <w:pPr>
        <w:pStyle w:val="Heading2"/>
      </w:pPr>
      <w:r>
        <w:t xml:space="preserve">Where Tempo sits</w:t>
      </w:r>
    </w:p>
    <w:p>
      <w:pPr>
        <w:keepNext/>
        <w:spacing w:after="40" w:before="120"/>
        <w:jc w:val="center"/>
      </w:pPr>
      <w:r>
        <w:drawing>
          <wp:inline distT="0" distB="0" distL="0" distR="0">
            <wp:extent cx="6191250" cy="3486150"/>
            <wp:effectExtent t="0" r="0" b="0" l="0"/>
            <wp:docPr id="1" name="tempo-flow" descr="Per-tenant OTLP receivers push spans into Tempo; obs-gateway reads them for Grafana" title="Per-tenant OTLP receivers push spans into Tempo; obs-gateway reads them for Graf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extLst>
                        <a:ext uri="{96DAC541-7B7A-43D3-8B79-37D633B846F1}">
                          <asvg:svgBlip xmlns:asvg="http://schemas.microsoft.com/office/drawing/2016/SVG/main" r:embed="rId7"/>
                        </a:ext>
                      </a:extLst>
                    </a:blip>
                    <a:srcRect/>
                    <a:stretch>
                      <a:fillRect/>
                    </a:stretch>
                  </pic:blipFill>
                  <pic:spPr bwMode="auto">
                    <a:xfrm>
                      <a:off x="0" y="0"/>
                      <a:ext cx="6191250" cy="3486150"/>
                    </a:xfrm>
                    <a:prstGeom prst="rect">
                      <a:avLst/>
                    </a:prstGeom>
                  </pic:spPr>
                </pic:pic>
              </a:graphicData>
            </a:graphic>
          </wp:inline>
        </w:drawing>
      </w:r>
    </w:p>
    <w:p>
      <w:pPr>
        <w:spacing w:after="240"/>
        <w:jc w:val="center"/>
      </w:pPr>
      <w:r>
        <w:rPr>
          <w:i/>
          <w:iCs/>
          <w:color w:val="5F6B7A"/>
          <w:sz w:val="16"/>
          <w:szCs w:val="16"/>
        </w:rPr>
        <w:t xml:space="preserve">Diagram: images/tempo-flow.svg (or .png)</w:t>
      </w:r>
    </w:p>
    <w:p>
      <w:pPr>
        <w:pStyle w:val="ListParagraph"/>
        <w:numPr>
          <w:ilvl w:val="0"/>
          <w:numId w:val="2"/>
        </w:numPr>
        <w:spacing w:after="70"/>
      </w:pPr>
      <w:r>
        <w:rPr>
          <w:b/>
          <w:bCs/>
        </w:rPr>
        <w:t xml:space="preserve">Writes:</w:t>
      </w:r>
      <w:r>
        <w:t xml:space="preserve"> only the tenant OTLP receivers (</w:t>
      </w:r>
      <w:r>
        <w:rPr>
          <w:rFonts w:ascii="Consolas" w:cs="Consolas" w:eastAsia="Consolas" w:hAnsi="Consolas"/>
          <w:sz w:val="19"/>
          <w:szCs w:val="19"/>
        </w:rPr>
        <w:t xml:space="preserve">otlp-tenant-a</w:t>
      </w:r>
      <w:r>
        <w:t xml:space="preserve">, </w:t>
      </w:r>
      <w:r>
        <w:rPr>
          <w:rFonts w:ascii="Consolas" w:cs="Consolas" w:eastAsia="Consolas" w:hAnsi="Consolas"/>
          <w:sz w:val="19"/>
          <w:szCs w:val="19"/>
        </w:rPr>
        <w:t xml:space="preserve">otlp-tenant-b</w:t>
      </w:r>
      <w:r>
        <w:t xml:space="preserve">), on OTLP gRPC port 4317.</w:t>
      </w:r>
    </w:p>
    <w:p>
      <w:pPr>
        <w:pStyle w:val="ListParagraph"/>
        <w:numPr>
          <w:ilvl w:val="0"/>
          <w:numId w:val="2"/>
        </w:numPr>
        <w:spacing w:after="70"/>
      </w:pPr>
      <w:r>
        <w:rPr>
          <w:b/>
          <w:bCs/>
        </w:rPr>
        <w:t xml:space="preserve">Reads:</w:t>
      </w:r>
      <w:r>
        <w:t xml:space="preserve"> only obs-gateway (kgateway) on port 3200, and only the query API.</w:t>
      </w:r>
    </w:p>
    <w:p>
      <w:pPr>
        <w:pStyle w:val="ListParagraph"/>
        <w:numPr>
          <w:ilvl w:val="0"/>
          <w:numId w:val="2"/>
        </w:numPr>
        <w:spacing w:after="70"/>
      </w:pPr>
      <w:r>
        <w:rPr>
          <w:b/>
          <w:bCs/>
        </w:rPr>
        <w:t xml:space="preserve">Tempo writes too:</w:t>
      </w:r>
      <w:r>
        <w:t xml:space="preserve"> its metrics generator pushes service-graph metrics to Mimir.</w:t>
      </w:r>
    </w:p>
    <w:p>
      <w:pPr>
        <w:pStyle w:val="ListParagraph"/>
        <w:numPr>
          <w:ilvl w:val="0"/>
          <w:numId w:val="2"/>
        </w:numPr>
        <w:spacing w:after="70"/>
      </w:pPr>
      <w:r>
        <w:rPr>
          <w:b/>
          <w:bCs/>
        </w:rPr>
        <w:t xml:space="preserve">Tenant pods</w:t>
      </w:r>
      <w:r>
        <w:t xml:space="preserve"> cannot reach Tempo at all. They reach their own receiver, and nothing else in the observability namespace.</w:t>
      </w:r>
    </w:p>
    <w:p>
      <w:pPr>
        <w:pStyle w:val="Heading2"/>
      </w:pPr>
      <w:r>
        <w:t xml:space="preserve">How tenants are kept apart</w:t>
      </w:r>
    </w:p>
    <w:p>
      <w:pPr>
        <w:keepNext/>
        <w:spacing w:after="40" w:before="120"/>
        <w:jc w:val="center"/>
      </w:pPr>
      <w:r>
        <w:drawing>
          <wp:inline distT="0" distB="0" distL="0" distR="0">
            <wp:extent cx="6191250" cy="2771775"/>
            <wp:effectExtent t="0" r="0" b="0" l="0"/>
            <wp:docPr id="1" name="tempo-inside" descr="Tempo keeps a separate space per X-Scope-OrgID; requests without the header are refused" title="Tempo keeps a separate space per X-Scope-OrgID; requests without the header are ref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6191250" cy="2771775"/>
                    </a:xfrm>
                    <a:prstGeom prst="rect">
                      <a:avLst/>
                    </a:prstGeom>
                  </pic:spPr>
                </pic:pic>
              </a:graphicData>
            </a:graphic>
          </wp:inline>
        </w:drawing>
      </w:r>
    </w:p>
    <w:p>
      <w:pPr>
        <w:spacing w:after="240"/>
        <w:jc w:val="center"/>
      </w:pPr>
      <w:r>
        <w:rPr>
          <w:i/>
          <w:iCs/>
          <w:color w:val="5F6B7A"/>
          <w:sz w:val="16"/>
          <w:szCs w:val="16"/>
        </w:rPr>
        <w:t xml:space="preserve">Diagram: images/tempo-inside.svg (or .png)</w:t>
      </w:r>
    </w:p>
    <w:p>
      <w:pPr>
        <w:spacing w:after="140"/>
      </w:pPr>
      <w:r>
        <w:t xml:space="preserve">The chart value </w:t>
      </w:r>
      <w:r>
        <w:rPr>
          <w:rFonts w:ascii="Consolas" w:cs="Consolas" w:eastAsia="Consolas" w:hAnsi="Consolas"/>
          <w:sz w:val="19"/>
          <w:szCs w:val="19"/>
        </w:rPr>
        <w:t xml:space="preserve">multitenancyEnabled: true</w:t>
      </w:r>
      <w:r>
        <w:t xml:space="preserve"> sets </w:t>
      </w:r>
      <w:r>
        <w:rPr>
          <w:rFonts w:ascii="Consolas" w:cs="Consolas" w:eastAsia="Consolas" w:hAnsi="Consolas"/>
          <w:sz w:val="19"/>
          <w:szCs w:val="19"/>
        </w:rPr>
        <w:t xml:space="preserve">multitenancy_enabled</w:t>
      </w:r>
      <w:r>
        <w:t xml:space="preserve"> in Tempo's configuration. Every push and every query must then name its tenant in </w:t>
      </w:r>
      <w:r>
        <w:rPr>
          <w:rFonts w:ascii="Consolas" w:cs="Consolas" w:eastAsia="Consolas" w:hAnsi="Consolas"/>
          <w:sz w:val="19"/>
          <w:szCs w:val="19"/>
        </w:rPr>
        <w:t xml:space="preserve">X-Scope-OrgID</w:t>
      </w:r>
      <w:r>
        <w:t xml:space="preserve">; without it, Tempo answers </w:t>
      </w:r>
      <w:r>
        <w:rPr>
          <w:b/>
          <w:bCs/>
        </w:rPr>
        <w:t xml:space="preserve">401</w:t>
      </w:r>
      <w:r>
        <w:t xml:space="preserve">.</w:t>
      </w:r>
    </w:p>
    <w:p>
      <w:pPr>
        <w:spacing w:after="140"/>
      </w:pPr>
      <w:r>
        <w:t xml:space="preserve">Everything happens per tenant: storage, search, trace ID lookups, and the metrics generator. A trace ID is only looked up inside the requesting tenant, so tenant-b asking for one of tenant-a's trace IDs gets an </w:t>
      </w:r>
      <w:r>
        <w:rPr>
          <w:b/>
          <w:bCs/>
        </w:rPr>
        <w:t xml:space="preserve">empty trace</w:t>
      </w:r>
      <w:r>
        <w:t xml:space="preserve">. Trace IDs are not secrets, and they don't need to be.</w:t>
      </w:r>
    </w:p>
    <w:p>
      <w:pPr>
        <w:pStyle w:val="Heading2"/>
      </w:pPr>
      <w:r>
        <w:t xml:space="preserve">Write path: how traces get in</w:t>
      </w:r>
    </w:p>
    <w:p>
      <w:pPr>
        <w:pStyle w:val="ListParagraph"/>
        <w:numPr>
          <w:ilvl w:val="0"/>
          <w:numId w:val="3"/>
        </w:numPr>
        <w:spacing w:after="70"/>
      </w:pPr>
      <w:r>
        <w:t xml:space="preserve">The app sends its spans over OTLP gRPC to its tenant's receiver, </w:t>
      </w:r>
      <w:r>
        <w:rPr>
          <w:rFonts w:ascii="Consolas" w:cs="Consolas" w:eastAsia="Consolas" w:hAnsi="Consolas"/>
          <w:sz w:val="19"/>
          <w:szCs w:val="19"/>
        </w:rPr>
        <w:t xml:space="preserve">otlp-tenant-a.observability.svc.cluster.local:4317</w:t>
      </w:r>
      <w:r>
        <w:t xml:space="preserve">.</w:t>
      </w:r>
    </w:p>
    <w:p>
      <w:pPr>
        <w:pStyle w:val="ListParagraph"/>
        <w:numPr>
          <w:ilvl w:val="0"/>
          <w:numId w:val="3"/>
        </w:numPr>
        <w:spacing w:after="70"/>
      </w:pPr>
      <w:r>
        <w:t xml:space="preserve">Tenant a's DNS rule allows exactly that name, and Cilium lets tenant a's pods reach only that receiver, on port 4317.</w:t>
      </w:r>
    </w:p>
    <w:p>
      <w:pPr>
        <w:pStyle w:val="ListParagraph"/>
        <w:numPr>
          <w:ilvl w:val="0"/>
          <w:numId w:val="3"/>
        </w:numPr>
        <w:spacing w:after="70"/>
      </w:pPr>
      <w:r>
        <w:t xml:space="preserve">The receiver, a small Alloy, batches the spans and forwards them to Tempo with </w:t>
      </w:r>
      <w:r>
        <w:rPr>
          <w:rFonts w:ascii="Consolas" w:cs="Consolas" w:eastAsia="Consolas" w:hAnsi="Consolas"/>
          <w:sz w:val="19"/>
          <w:szCs w:val="19"/>
        </w:rPr>
        <w:t xml:space="preserve">X-Scope-OrgID</w:t>
      </w:r>
      <w:r>
        <w:t xml:space="preserve"> taken from its own </w:t>
      </w:r>
      <w:r>
        <w:rPr>
          <w:rFonts w:ascii="Consolas" w:cs="Consolas" w:eastAsia="Consolas" w:hAnsi="Consolas"/>
          <w:sz w:val="19"/>
          <w:szCs w:val="19"/>
        </w:rPr>
        <w:t xml:space="preserve">TENANT</w:t>
      </w:r>
      <w:r>
        <w:t xml:space="preserve"> variable. Nothing the app sends in its headers is forwarded.</w:t>
      </w:r>
    </w:p>
    <w:p>
      <w:pPr>
        <w:pStyle w:val="ListParagraph"/>
        <w:numPr>
          <w:ilvl w:val="0"/>
          <w:numId w:val="3"/>
        </w:numPr>
        <w:spacing w:after="70"/>
      </w:pPr>
      <w:r>
        <w:t xml:space="preserve">Tempo accepts spans only from the receivers.</w:t>
      </w:r>
    </w:p>
    <w:p>
      <w:pPr>
        <w:spacing w:after="140"/>
      </w:pPr>
      <w:r>
        <w:t xml:space="preserve">In the app, two environment variables are enough:</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env:</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name: OTEL_EXPORTER_OTLP_ENDPOINT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value: http://otlp-tenant-a.observability.svc.cluster.local:4317</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name: OTEL_EXPORTER_OTLP_INSECURE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    value: "true"</w:t>
      </w:r>
    </w:p>
    <w:p>
      <w:pPr>
        <w:spacing w:after="140"/>
      </w:pPr>
      <w:r>
        <w:t xml:space="preserve">And in the receiver, the tenant is fixed per Deployment: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otelcol.exporter.otlp "tempo"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client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endpoint = "tempo.observability.svc.cluster.local:4317"</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headers  = { "X-Scope-OrgID" = sys.env("TENANT") }   // tenant-a or tenant-b</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w:t>
      </w:r>
    </w:p>
    <w:p>
      <w:pPr>
        <w:pBdr>
          <w:left w:val="single" w:color="2E5C8A" w:sz="24" w:space="8"/>
        </w:pBdr>
        <w:shd w:fill="EEF4FB" w:color="auto" w:val="clear"/>
        <w:spacing w:after="220" w:before="120"/>
        <w:ind w:left="180" w:right="120"/>
      </w:pPr>
      <w:r>
        <w:rPr>
          <w:b/>
          <w:bCs/>
          <w:color w:val="2E5C8A"/>
        </w:rPr>
        <w:t xml:space="preserve">Why one receiver per tenant  </w:t>
      </w:r>
      <w:r>
        <w:t xml:space="preserve">A shared receiver could only learn the tenant from the request, which means trusting the app. With one receiver per tenant, the network is the proof: only tenant a's pods can reach </w:t>
      </w:r>
      <w:r>
        <w:rPr>
          <w:rFonts w:ascii="Consolas" w:cs="Consolas" w:eastAsia="Consolas" w:hAnsi="Consolas"/>
          <w:sz w:val="19"/>
          <w:szCs w:val="19"/>
        </w:rPr>
        <w:t xml:space="preserve">otlp-tenant-a</w:t>
      </w:r>
      <w:r>
        <w:t xml:space="preserve">, so whatever arrives there is tenant a's.</w:t>
      </w:r>
    </w:p>
    <w:p>
      <w:pPr>
        <w:spacing w:after="140"/>
      </w:pPr>
      <w:r>
        <w:t xml:space="preserve">A new tenant needs one more receiver (a Deployment and a Service with its own </w:t>
      </w:r>
      <w:r>
        <w:rPr>
          <w:rFonts w:ascii="Consolas" w:cs="Consolas" w:eastAsia="Consolas" w:hAnsi="Consolas"/>
          <w:sz w:val="19"/>
          <w:szCs w:val="19"/>
        </w:rPr>
        <w:t xml:space="preserve">TENANT</w:t>
      </w:r>
      <w:r>
        <w:t xml:space="preserve">), its own Cilium policy, and the receiver's DNS name and port in the tenant's baseline policy.</w:t>
      </w:r>
    </w:p>
    <w:p>
      <w:pPr>
        <w:pStyle w:val="Heading3"/>
      </w:pPr>
      <w:r>
        <w:t xml:space="preserve">Service graphs, from spans</w:t>
      </w:r>
    </w:p>
    <w:p>
      <w:pPr>
        <w:spacing w:after="140"/>
      </w:pPr>
      <w:r>
        <w:t xml:space="preserve">Tempo's metrics generator runs two processors for every tenant: </w:t>
      </w:r>
      <w:r>
        <w:rPr>
          <w:b/>
          <w:bCs/>
        </w:rPr>
        <w:t xml:space="preserve">service-graphs</w:t>
      </w:r>
      <w:r>
        <w:t xml:space="preserve"> (who calls whom, how often, how slowly) and </w:t>
      </w:r>
      <w:r>
        <w:rPr>
          <w:b/>
          <w:bCs/>
        </w:rPr>
        <w:t xml:space="preserve">span-metrics</w:t>
      </w:r>
      <w:r>
        <w:t xml:space="preserve"> (rate, errors and duration per span). It writes the results to Mimir under the same tenant.</w:t>
      </w:r>
    </w:p>
    <w:p>
      <w:pPr>
        <w:pStyle w:val="Heading2"/>
      </w:pPr>
      <w:r>
        <w:t xml:space="preserve">Read path: how tenants query</w:t>
      </w:r>
    </w:p>
    <w:p>
      <w:pPr>
        <w:spacing w:after="140"/>
      </w:pPr>
      <w:r>
        <w:t xml:space="preserve">Grafana → the org's </w:t>
      </w:r>
      <w:r>
        <w:rPr>
          <w:b/>
          <w:bCs/>
        </w:rPr>
        <w:t xml:space="preserve">Tempo</w:t>
      </w:r>
      <w:r>
        <w:t xml:space="preserve"> data source → obs-gateway port 3200, with the tenant's key → Tempo.</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5600"/>
        <w:gridCol w:w="4146"/>
      </w:tblGrid>
      <w:tr>
        <w:trPr>
          <w:tblHeader/>
        </w:trPr>
        <w:tc>
          <w:tcPr>
            <w:tcW w:type="dxa" w:w="5600"/>
            <w:shd w:fill="DCE6F1" w:color="auto" w:val="clear"/>
            <w:tcMar>
              <w:top w:type="dxa" w:w="70"/>
              <w:left w:type="dxa" w:w="110"/>
              <w:bottom w:type="dxa" w:w="70"/>
              <w:right w:type="dxa" w:w="110"/>
            </w:tcMar>
          </w:tcPr>
          <w:p>
            <w:pPr>
              <w:spacing w:after="0"/>
            </w:pPr>
            <w:r>
              <w:rPr>
                <w:b/>
                <w:bCs/>
              </w:rPr>
              <w:t xml:space="preserve">Request</w:t>
            </w:r>
          </w:p>
        </w:tc>
        <w:tc>
          <w:tcPr>
            <w:tcW w:type="dxa" w:w="4146"/>
            <w:shd w:fill="DCE6F1" w:color="auto" w:val="clear"/>
            <w:tcMar>
              <w:top w:type="dxa" w:w="70"/>
              <w:left w:type="dxa" w:w="110"/>
              <w:bottom w:type="dxa" w:w="70"/>
              <w:right w:type="dxa" w:w="110"/>
            </w:tcMar>
          </w:tcPr>
          <w:p>
            <w:pPr>
              <w:spacing w:after="0"/>
            </w:pPr>
            <w:r>
              <w:rPr>
                <w:b/>
                <w:bCs/>
              </w:rPr>
              <w:t xml:space="preserve">Gateway answer</w:t>
            </w:r>
          </w:p>
        </w:tc>
      </w:tr>
      <w:tr>
        <w:trPr>
          <w:cantSplit/>
        </w:trPr>
        <w:tc>
          <w:tcPr>
            <w:tcW w:type="dxa" w:w="5600"/>
            <w:tcMar>
              <w:top w:type="dxa" w:w="70"/>
              <w:left w:type="dxa" w:w="110"/>
              <w:bottom w:type="dxa" w:w="70"/>
              <w:right w:type="dxa" w:w="110"/>
            </w:tcMar>
          </w:tcPr>
          <w:p>
            <w:pPr>
              <w:spacing w:after="0"/>
            </w:pPr>
            <w:r>
              <w:rPr>
                <w:rFonts w:ascii="Consolas" w:cs="Consolas" w:eastAsia="Consolas" w:hAnsi="Consolas"/>
                <w:sz w:val="19"/>
                <w:szCs w:val="19"/>
              </w:rPr>
              <w:t xml:space="preserve">/api/search</w:t>
            </w:r>
            <w:r>
              <w:t xml:space="preserve">, </w:t>
            </w:r>
            <w:r>
              <w:rPr>
                <w:rFonts w:ascii="Consolas" w:cs="Consolas" w:eastAsia="Consolas" w:hAnsi="Consolas"/>
                <w:sz w:val="19"/>
                <w:szCs w:val="19"/>
              </w:rPr>
              <w:t xml:space="preserve">/api/v2/traces/&lt;id&gt;</w:t>
            </w:r>
            <w:r>
              <w:t xml:space="preserve">, </w:t>
            </w:r>
            <w:r>
              <w:rPr>
                <w:rFonts w:ascii="Consolas" w:cs="Consolas" w:eastAsia="Consolas" w:hAnsi="Consolas"/>
                <w:sz w:val="19"/>
                <w:szCs w:val="19"/>
              </w:rPr>
              <w:t xml:space="preserve">/api/search/tags</w:t>
            </w:r>
            <w:r>
              <w:t xml:space="preserve">, tag values, and the rest of </w:t>
            </w:r>
            <w:r>
              <w:rPr>
                <w:rFonts w:ascii="Consolas" w:cs="Consolas" w:eastAsia="Consolas" w:hAnsi="Consolas"/>
                <w:sz w:val="19"/>
                <w:szCs w:val="19"/>
              </w:rPr>
              <w:t xml:space="preserve">/api/*</w:t>
            </w:r>
          </w:p>
        </w:tc>
        <w:tc>
          <w:tcPr>
            <w:tcW w:type="dxa" w:w="4146"/>
            <w:tcMar>
              <w:top w:type="dxa" w:w="70"/>
              <w:left w:type="dxa" w:w="110"/>
              <w:bottom w:type="dxa" w:w="70"/>
              <w:right w:type="dxa" w:w="110"/>
            </w:tcMar>
          </w:tcPr>
          <w:p>
            <w:pPr>
              <w:spacing w:after="0"/>
            </w:pPr>
            <w:r>
              <w:t xml:space="preserve">forwarded, as the tenant the key belongs to</w:t>
            </w:r>
          </w:p>
        </w:tc>
      </w:tr>
      <w:tr>
        <w:trPr>
          <w:cantSplit/>
        </w:trPr>
        <w:tc>
          <w:tcPr>
            <w:tcW w:type="dxa" w:w="5600"/>
            <w:tcMar>
              <w:top w:type="dxa" w:w="70"/>
              <w:left w:type="dxa" w:w="110"/>
              <w:bottom w:type="dxa" w:w="70"/>
              <w:right w:type="dxa" w:w="110"/>
            </w:tcMar>
          </w:tcPr>
          <w:p>
            <w:pPr>
              <w:spacing w:after="0"/>
            </w:pPr>
            <w:r>
              <w:rPr>
                <w:rFonts w:ascii="Consolas" w:cs="Consolas" w:eastAsia="Consolas" w:hAnsi="Consolas"/>
                <w:sz w:val="19"/>
                <w:szCs w:val="19"/>
              </w:rPr>
              <w:t xml:space="preserve">/api/overrides</w:t>
            </w:r>
          </w:p>
        </w:tc>
        <w:tc>
          <w:tcPr>
            <w:tcW w:type="dxa" w:w="4146"/>
            <w:tcMar>
              <w:top w:type="dxa" w:w="70"/>
              <w:left w:type="dxa" w:w="110"/>
              <w:bottom w:type="dxa" w:w="70"/>
              <w:right w:type="dxa" w:w="110"/>
            </w:tcMar>
          </w:tcPr>
          <w:p>
            <w:pPr>
              <w:spacing w:after="0"/>
            </w:pPr>
            <w:r>
              <w:t xml:space="preserve">403: tenants must not change their own limits</w:t>
            </w:r>
          </w:p>
        </w:tc>
      </w:tr>
      <w:tr>
        <w:trPr>
          <w:cantSplit/>
        </w:trPr>
        <w:tc>
          <w:tcPr>
            <w:tcW w:type="dxa" w:w="5600"/>
            <w:tcMar>
              <w:top w:type="dxa" w:w="70"/>
              <w:left w:type="dxa" w:w="110"/>
              <w:bottom w:type="dxa" w:w="70"/>
              <w:right w:type="dxa" w:w="110"/>
            </w:tcMar>
          </w:tcPr>
          <w:p>
            <w:pPr>
              <w:spacing w:after="0"/>
            </w:pPr>
            <w:r>
              <w:t xml:space="preserve">anything outside </w:t>
            </w:r>
            <w:r>
              <w:rPr>
                <w:rFonts w:ascii="Consolas" w:cs="Consolas" w:eastAsia="Consolas" w:hAnsi="Consolas"/>
                <w:sz w:val="19"/>
                <w:szCs w:val="19"/>
              </w:rPr>
              <w:t xml:space="preserve">/api/</w:t>
            </w:r>
            <w:r>
              <w:t xml:space="preserve"> (for example </w:t>
            </w:r>
            <w:r>
              <w:rPr>
                <w:rFonts w:ascii="Consolas" w:cs="Consolas" w:eastAsia="Consolas" w:hAnsi="Consolas"/>
                <w:sz w:val="19"/>
                <w:szCs w:val="19"/>
              </w:rPr>
              <w:t xml:space="preserve">/flush</w:t>
            </w:r>
            <w:r>
              <w:t xml:space="preserve">, </w:t>
            </w:r>
            <w:r>
              <w:rPr>
                <w:rFonts w:ascii="Consolas" w:cs="Consolas" w:eastAsia="Consolas" w:hAnsi="Consolas"/>
                <w:sz w:val="19"/>
                <w:szCs w:val="19"/>
              </w:rPr>
              <w:t xml:space="preserve">/shutdown</w:t>
            </w:r>
            <w:r>
              <w:t xml:space="preserve">, </w:t>
            </w:r>
            <w:r>
              <w:rPr>
                <w:rFonts w:ascii="Consolas" w:cs="Consolas" w:eastAsia="Consolas" w:hAnsi="Consolas"/>
                <w:sz w:val="19"/>
                <w:szCs w:val="19"/>
              </w:rPr>
              <w:t xml:space="preserve">/metrics</w:t>
            </w:r>
            <w:r>
              <w:t xml:space="preserve">)</w:t>
            </w:r>
          </w:p>
        </w:tc>
        <w:tc>
          <w:tcPr>
            <w:tcW w:type="dxa" w:w="4146"/>
            <w:tcMar>
              <w:top w:type="dxa" w:w="70"/>
              <w:left w:type="dxa" w:w="110"/>
              <w:bottom w:type="dxa" w:w="70"/>
              <w:right w:type="dxa" w:w="110"/>
            </w:tcMar>
          </w:tcPr>
          <w:p>
            <w:pPr>
              <w:spacing w:after="0"/>
            </w:pPr>
            <w:r>
              <w:t xml:space="preserve">404</w:t>
            </w:r>
          </w:p>
        </w:tc>
      </w:tr>
      <w:tr>
        <w:trPr>
          <w:cantSplit/>
        </w:trPr>
        <w:tc>
          <w:tcPr>
            <w:tcW w:type="dxa" w:w="5600"/>
            <w:tcMar>
              <w:top w:type="dxa" w:w="70"/>
              <w:left w:type="dxa" w:w="110"/>
              <w:bottom w:type="dxa" w:w="70"/>
              <w:right w:type="dxa" w:w="110"/>
            </w:tcMar>
          </w:tcPr>
          <w:p>
            <w:pPr>
              <w:spacing w:after="0"/>
            </w:pPr>
            <w:r>
              <w:t xml:space="preserve">OTLP pushes</w:t>
            </w:r>
          </w:p>
        </w:tc>
        <w:tc>
          <w:tcPr>
            <w:tcW w:type="dxa" w:w="4146"/>
            <w:tcMar>
              <w:top w:type="dxa" w:w="70"/>
              <w:left w:type="dxa" w:w="110"/>
              <w:bottom w:type="dxa" w:w="70"/>
              <w:right w:type="dxa" w:w="110"/>
            </w:tcMar>
          </w:tcPr>
          <w:p>
            <w:pPr>
              <w:spacing w:after="0"/>
            </w:pPr>
            <w:r>
              <w:t xml:space="preserve">not on the gateway at all</w:t>
            </w:r>
          </w:p>
        </w:tc>
      </w:tr>
      <w:tr>
        <w:trPr>
          <w:cantSplit/>
        </w:trPr>
        <w:tc>
          <w:tcPr>
            <w:tcW w:type="dxa" w:w="5600"/>
            <w:tcMar>
              <w:top w:type="dxa" w:w="70"/>
              <w:left w:type="dxa" w:w="110"/>
              <w:bottom w:type="dxa" w:w="70"/>
              <w:right w:type="dxa" w:w="110"/>
            </w:tcMar>
          </w:tcPr>
          <w:p>
            <w:pPr>
              <w:spacing w:after="0"/>
            </w:pPr>
            <w:r>
              <w:t xml:space="preserve">no key, or an unknown one</w:t>
            </w:r>
          </w:p>
        </w:tc>
        <w:tc>
          <w:tcPr>
            <w:tcW w:type="dxa" w:w="4146"/>
            <w:tcMar>
              <w:top w:type="dxa" w:w="70"/>
              <w:left w:type="dxa" w:w="110"/>
              <w:bottom w:type="dxa" w:w="70"/>
              <w:right w:type="dxa" w:w="110"/>
            </w:tcMar>
          </w:tcPr>
          <w:p>
            <w:pPr>
              <w:spacing w:after="0"/>
            </w:pPr>
            <w:r>
              <w:t xml:space="preserve">401</w:t>
            </w:r>
          </w:p>
        </w:tc>
      </w:tr>
    </w:tbl>
    <w:p>
      <w:pPr>
        <w:spacing w:after="160"/>
      </w:pPr>
    </w:p>
    <w:p>
      <w:pPr>
        <w:spacing w:after="140"/>
      </w:pPr>
      <w:r>
        <w:t xml:space="preserve">The Tempo data source ties the four signals together, always inside the same org:</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1900"/>
        <w:gridCol w:w="4400"/>
        <w:gridCol w:w="3446"/>
      </w:tblGrid>
      <w:tr>
        <w:trPr>
          <w:tblHeader/>
        </w:trPr>
        <w:tc>
          <w:tcPr>
            <w:tcW w:type="dxa" w:w="1900"/>
            <w:shd w:fill="DCE6F1" w:color="auto" w:val="clear"/>
            <w:tcMar>
              <w:top w:type="dxa" w:w="70"/>
              <w:left w:type="dxa" w:w="110"/>
              <w:bottom w:type="dxa" w:w="70"/>
              <w:right w:type="dxa" w:w="110"/>
            </w:tcMar>
          </w:tcPr>
          <w:p>
            <w:pPr>
              <w:spacing w:after="0"/>
            </w:pPr>
            <w:r>
              <w:rPr>
                <w:b/>
                <w:bCs/>
              </w:rPr>
              <w:t xml:space="preserve">Link</w:t>
            </w:r>
          </w:p>
        </w:tc>
        <w:tc>
          <w:tcPr>
            <w:tcW w:type="dxa" w:w="4400"/>
            <w:shd w:fill="DCE6F1" w:color="auto" w:val="clear"/>
            <w:tcMar>
              <w:top w:type="dxa" w:w="70"/>
              <w:left w:type="dxa" w:w="110"/>
              <w:bottom w:type="dxa" w:w="70"/>
              <w:right w:type="dxa" w:w="110"/>
            </w:tcMar>
          </w:tcPr>
          <w:p>
            <w:pPr>
              <w:spacing w:after="0"/>
            </w:pPr>
            <w:r>
              <w:rPr>
                <w:b/>
                <w:bCs/>
              </w:rPr>
              <w:t xml:space="preserve">Set up as</w:t>
            </w:r>
          </w:p>
        </w:tc>
        <w:tc>
          <w:tcPr>
            <w:tcW w:type="dxa" w:w="3446"/>
            <w:shd w:fill="DCE6F1" w:color="auto" w:val="clear"/>
            <w:tcMar>
              <w:top w:type="dxa" w:w="70"/>
              <w:left w:type="dxa" w:w="110"/>
              <w:bottom w:type="dxa" w:w="70"/>
              <w:right w:type="dxa" w:w="110"/>
            </w:tcMar>
          </w:tcPr>
          <w:p>
            <w:pPr>
              <w:spacing w:after="0"/>
            </w:pPr>
            <w:r>
              <w:rPr>
                <w:b/>
                <w:bCs/>
              </w:rPr>
              <w:t xml:space="preserve">What alice gets</w:t>
            </w:r>
          </w:p>
        </w:tc>
      </w:tr>
      <w:tr>
        <w:trPr>
          <w:cantSplit/>
        </w:trPr>
        <w:tc>
          <w:tcPr>
            <w:tcW w:type="dxa" w:w="1900"/>
            <w:tcMar>
              <w:top w:type="dxa" w:w="70"/>
              <w:left w:type="dxa" w:w="110"/>
              <w:bottom w:type="dxa" w:w="70"/>
              <w:right w:type="dxa" w:w="110"/>
            </w:tcMar>
          </w:tcPr>
          <w:p>
            <w:pPr>
              <w:spacing w:after="0"/>
            </w:pPr>
            <w:r>
              <w:t xml:space="preserve">Trace → logs</w:t>
            </w:r>
          </w:p>
        </w:tc>
        <w:tc>
          <w:tcPr>
            <w:tcW w:type="dxa" w:w="4400"/>
            <w:tcMar>
              <w:top w:type="dxa" w:w="70"/>
              <w:left w:type="dxa" w:w="110"/>
              <w:bottom w:type="dxa" w:w="70"/>
              <w:right w:type="dxa" w:w="110"/>
            </w:tcMar>
          </w:tcPr>
          <w:p>
            <w:pPr>
              <w:spacing w:after="0"/>
            </w:pPr>
            <w:r>
              <w:rPr>
                <w:rFonts w:ascii="Consolas" w:cs="Consolas" w:eastAsia="Consolas" w:hAnsi="Consolas"/>
                <w:sz w:val="19"/>
                <w:szCs w:val="19"/>
              </w:rPr>
              <w:t xml:space="preserve">tracesToLogsV2</w:t>
            </w:r>
            <w:r>
              <w:t xml:space="preserve">: Loki, tag </w:t>
            </w:r>
            <w:r>
              <w:rPr>
                <w:rFonts w:ascii="Consolas" w:cs="Consolas" w:eastAsia="Consolas" w:hAnsi="Consolas"/>
                <w:sz w:val="19"/>
                <w:szCs w:val="19"/>
              </w:rPr>
              <w:t xml:space="preserve">service.name</w:t>
            </w:r>
            <w:r>
              <w:t xml:space="preserve"> → label </w:t>
            </w:r>
            <w:r>
              <w:rPr>
                <w:rFonts w:ascii="Consolas" w:cs="Consolas" w:eastAsia="Consolas" w:hAnsi="Consolas"/>
                <w:sz w:val="19"/>
                <w:szCs w:val="19"/>
              </w:rPr>
              <w:t xml:space="preserve">container</w:t>
            </w:r>
            <w:r>
              <w:t xml:space="preserve">, ±5 minutes, filtered by trace ID</w:t>
            </w:r>
          </w:p>
        </w:tc>
        <w:tc>
          <w:tcPr>
            <w:tcW w:type="dxa" w:w="3446"/>
            <w:tcMar>
              <w:top w:type="dxa" w:w="70"/>
              <w:left w:type="dxa" w:w="110"/>
              <w:bottom w:type="dxa" w:w="70"/>
              <w:right w:type="dxa" w:w="110"/>
            </w:tcMar>
          </w:tcPr>
          <w:p>
            <w:pPr>
              <w:spacing w:after="0"/>
            </w:pPr>
            <w:r>
              <w:rPr>
                <w:b/>
                <w:bCs/>
              </w:rPr>
              <w:t xml:space="preserve">Logs for this span</w:t>
            </w:r>
            <w:r>
              <w:t xml:space="preserve">: that container's lines for this trace</w:t>
            </w:r>
          </w:p>
        </w:tc>
      </w:tr>
      <w:tr>
        <w:trPr>
          <w:cantSplit/>
        </w:trPr>
        <w:tc>
          <w:tcPr>
            <w:tcW w:type="dxa" w:w="1900"/>
            <w:tcMar>
              <w:top w:type="dxa" w:w="70"/>
              <w:left w:type="dxa" w:w="110"/>
              <w:bottom w:type="dxa" w:w="70"/>
              <w:right w:type="dxa" w:w="110"/>
            </w:tcMar>
          </w:tcPr>
          <w:p>
            <w:pPr>
              <w:spacing w:after="0"/>
            </w:pPr>
            <w:r>
              <w:t xml:space="preserve">Trace → metrics</w:t>
            </w:r>
          </w:p>
        </w:tc>
        <w:tc>
          <w:tcPr>
            <w:tcW w:type="dxa" w:w="4400"/>
            <w:tcMar>
              <w:top w:type="dxa" w:w="70"/>
              <w:left w:type="dxa" w:w="110"/>
              <w:bottom w:type="dxa" w:w="70"/>
              <w:right w:type="dxa" w:w="110"/>
            </w:tcMar>
          </w:tcPr>
          <w:p>
            <w:pPr>
              <w:spacing w:after="0"/>
            </w:pPr>
            <w:r>
              <w:rPr>
                <w:rFonts w:ascii="Consolas" w:cs="Consolas" w:eastAsia="Consolas" w:hAnsi="Consolas"/>
                <w:sz w:val="19"/>
                <w:szCs w:val="19"/>
              </w:rPr>
              <w:t xml:space="preserve">tracesToMetrics</w:t>
            </w:r>
            <w:r>
              <w:t xml:space="preserve">: Mimir</w:t>
            </w:r>
          </w:p>
        </w:tc>
        <w:tc>
          <w:tcPr>
            <w:tcW w:type="dxa" w:w="3446"/>
            <w:tcMar>
              <w:top w:type="dxa" w:w="70"/>
              <w:left w:type="dxa" w:w="110"/>
              <w:bottom w:type="dxa" w:w="70"/>
              <w:right w:type="dxa" w:w="110"/>
            </w:tcMar>
          </w:tcPr>
          <w:p>
            <w:pPr>
              <w:spacing w:after="0"/>
            </w:pPr>
            <w:r>
              <w:t xml:space="preserve">a jump to that service's metrics</w:t>
            </w:r>
          </w:p>
        </w:tc>
      </w:tr>
      <w:tr>
        <w:trPr>
          <w:cantSplit/>
        </w:trPr>
        <w:tc>
          <w:tcPr>
            <w:tcW w:type="dxa" w:w="1900"/>
            <w:tcMar>
              <w:top w:type="dxa" w:w="70"/>
              <w:left w:type="dxa" w:w="110"/>
              <w:bottom w:type="dxa" w:w="70"/>
              <w:right w:type="dxa" w:w="110"/>
            </w:tcMar>
          </w:tcPr>
          <w:p>
            <w:pPr>
              <w:spacing w:after="0"/>
            </w:pPr>
            <w:r>
              <w:t xml:space="preserve">Trace → profile</w:t>
            </w:r>
          </w:p>
        </w:tc>
        <w:tc>
          <w:tcPr>
            <w:tcW w:type="dxa" w:w="4400"/>
            <w:tcMar>
              <w:top w:type="dxa" w:w="70"/>
              <w:left w:type="dxa" w:w="110"/>
              <w:bottom w:type="dxa" w:w="70"/>
              <w:right w:type="dxa" w:w="110"/>
            </w:tcMar>
          </w:tcPr>
          <w:p>
            <w:pPr>
              <w:spacing w:after="0"/>
            </w:pPr>
            <w:r>
              <w:rPr>
                <w:rFonts w:ascii="Consolas" w:cs="Consolas" w:eastAsia="Consolas" w:hAnsi="Consolas"/>
                <w:sz w:val="19"/>
                <w:szCs w:val="19"/>
              </w:rPr>
              <w:t xml:space="preserve">tracesToProfiles</w:t>
            </w:r>
            <w:r>
              <w:t xml:space="preserve">: Pyroscope, </w:t>
            </w:r>
            <w:r>
              <w:rPr>
                <w:rFonts w:ascii="Consolas" w:cs="Consolas" w:eastAsia="Consolas" w:hAnsi="Consolas"/>
                <w:sz w:val="19"/>
                <w:szCs w:val="19"/>
              </w:rPr>
              <w:t xml:space="preserve">service.name</w:t>
            </w:r>
            <w:r>
              <w:t xml:space="preserve"> → </w:t>
            </w:r>
            <w:r>
              <w:rPr>
                <w:rFonts w:ascii="Consolas" w:cs="Consolas" w:eastAsia="Consolas" w:hAnsi="Consolas"/>
                <w:sz w:val="19"/>
                <w:szCs w:val="19"/>
              </w:rPr>
              <w:t xml:space="preserve">service_name</w:t>
            </w:r>
            <w:r>
              <w:t xml:space="preserve">, CPU</w:t>
            </w:r>
          </w:p>
        </w:tc>
        <w:tc>
          <w:tcPr>
            <w:tcW w:type="dxa" w:w="3446"/>
            <w:tcMar>
              <w:top w:type="dxa" w:w="70"/>
              <w:left w:type="dxa" w:w="110"/>
              <w:bottom w:type="dxa" w:w="70"/>
              <w:right w:type="dxa" w:w="110"/>
            </w:tcMar>
          </w:tcPr>
          <w:p>
            <w:pPr>
              <w:spacing w:after="0"/>
            </w:pPr>
            <w:r>
              <w:t xml:space="preserve">the service's CPU flame graph for the span's time</w:t>
            </w:r>
          </w:p>
        </w:tc>
      </w:tr>
      <w:tr>
        <w:trPr>
          <w:cantSplit/>
        </w:trPr>
        <w:tc>
          <w:tcPr>
            <w:tcW w:type="dxa" w:w="1900"/>
            <w:tcMar>
              <w:top w:type="dxa" w:w="70"/>
              <w:left w:type="dxa" w:w="110"/>
              <w:bottom w:type="dxa" w:w="70"/>
              <w:right w:type="dxa" w:w="110"/>
            </w:tcMar>
          </w:tcPr>
          <w:p>
            <w:pPr>
              <w:spacing w:after="0"/>
            </w:pPr>
            <w:r>
              <w:t xml:space="preserve">Service map</w:t>
            </w:r>
          </w:p>
        </w:tc>
        <w:tc>
          <w:tcPr>
            <w:tcW w:type="dxa" w:w="4400"/>
            <w:tcMar>
              <w:top w:type="dxa" w:w="70"/>
              <w:left w:type="dxa" w:w="110"/>
              <w:bottom w:type="dxa" w:w="70"/>
              <w:right w:type="dxa" w:w="110"/>
            </w:tcMar>
          </w:tcPr>
          <w:p>
            <w:pPr>
              <w:spacing w:after="0"/>
            </w:pPr>
            <w:r>
              <w:rPr>
                <w:rFonts w:ascii="Consolas" w:cs="Consolas" w:eastAsia="Consolas" w:hAnsi="Consolas"/>
                <w:sz w:val="19"/>
                <w:szCs w:val="19"/>
              </w:rPr>
              <w:t xml:space="preserve">serviceMap</w:t>
            </w:r>
            <w:r>
              <w:t xml:space="preserve">: Mimir</w:t>
            </w:r>
          </w:p>
        </w:tc>
        <w:tc>
          <w:tcPr>
            <w:tcW w:type="dxa" w:w="3446"/>
            <w:tcMar>
              <w:top w:type="dxa" w:w="70"/>
              <w:left w:type="dxa" w:w="110"/>
              <w:bottom w:type="dxa" w:w="70"/>
              <w:right w:type="dxa" w:w="110"/>
            </w:tcMar>
          </w:tcPr>
          <w:p>
            <w:pPr>
              <w:spacing w:after="0"/>
            </w:pPr>
            <w:r>
              <w:t xml:space="preserve">frontend → backend, with rates and errors</w:t>
            </w:r>
          </w:p>
        </w:tc>
      </w:tr>
      <w:tr>
        <w:trPr>
          <w:cantSplit/>
        </w:trPr>
        <w:tc>
          <w:tcPr>
            <w:tcW w:type="dxa" w:w="1900"/>
            <w:tcMar>
              <w:top w:type="dxa" w:w="70"/>
              <w:left w:type="dxa" w:w="110"/>
              <w:bottom w:type="dxa" w:w="70"/>
              <w:right w:type="dxa" w:w="110"/>
            </w:tcMar>
          </w:tcPr>
          <w:p>
            <w:pPr>
              <w:spacing w:after="0"/>
            </w:pPr>
            <w:r>
              <w:t xml:space="preserve">Node graph</w:t>
            </w:r>
          </w:p>
        </w:tc>
        <w:tc>
          <w:tcPr>
            <w:tcW w:type="dxa" w:w="4400"/>
            <w:tcMar>
              <w:top w:type="dxa" w:w="70"/>
              <w:left w:type="dxa" w:w="110"/>
              <w:bottom w:type="dxa" w:w="70"/>
              <w:right w:type="dxa" w:w="110"/>
            </w:tcMar>
          </w:tcPr>
          <w:p>
            <w:pPr>
              <w:spacing w:after="0"/>
            </w:pPr>
            <w:r>
              <w:t xml:space="preserve">on</w:t>
            </w:r>
          </w:p>
        </w:tc>
        <w:tc>
          <w:tcPr>
            <w:tcW w:type="dxa" w:w="3446"/>
            <w:tcMar>
              <w:top w:type="dxa" w:w="70"/>
              <w:left w:type="dxa" w:w="110"/>
              <w:bottom w:type="dxa" w:w="70"/>
              <w:right w:type="dxa" w:w="110"/>
            </w:tcMar>
          </w:tcPr>
          <w:p>
            <w:pPr>
              <w:spacing w:after="0"/>
            </w:pPr>
            <w:r>
              <w:t xml:space="preserve">one trace drawn as a graph</w:t>
            </w:r>
          </w:p>
        </w:tc>
      </w:tr>
      <w:tr>
        <w:trPr>
          <w:cantSplit/>
        </w:trPr>
        <w:tc>
          <w:tcPr>
            <w:tcW w:type="dxa" w:w="1900"/>
            <w:tcMar>
              <w:top w:type="dxa" w:w="70"/>
              <w:left w:type="dxa" w:w="110"/>
              <w:bottom w:type="dxa" w:w="70"/>
              <w:right w:type="dxa" w:w="110"/>
            </w:tcMar>
          </w:tcPr>
          <w:p>
            <w:pPr>
              <w:spacing w:after="0"/>
            </w:pPr>
            <w:r>
              <w:t xml:space="preserve">Streaming</w:t>
            </w:r>
          </w:p>
        </w:tc>
        <w:tc>
          <w:tcPr>
            <w:tcW w:type="dxa" w:w="4400"/>
            <w:tcMar>
              <w:top w:type="dxa" w:w="70"/>
              <w:left w:type="dxa" w:w="110"/>
              <w:bottom w:type="dxa" w:w="70"/>
              <w:right w:type="dxa" w:w="110"/>
            </w:tcMar>
          </w:tcPr>
          <w:p>
            <w:pPr>
              <w:spacing w:after="0"/>
            </w:pPr>
            <w:r>
              <w:t xml:space="preserve">off</w:t>
            </w:r>
          </w:p>
        </w:tc>
        <w:tc>
          <w:tcPr>
            <w:tcW w:type="dxa" w:w="3446"/>
            <w:tcMar>
              <w:top w:type="dxa" w:w="70"/>
              <w:left w:type="dxa" w:w="110"/>
              <w:bottom w:type="dxa" w:w="70"/>
              <w:right w:type="dxa" w:w="110"/>
            </w:tcMar>
          </w:tcPr>
          <w:p>
            <w:pPr>
              <w:spacing w:after="0"/>
            </w:pPr>
            <w:r>
              <w:t xml:space="preserve">search uses the plain HTTP API, the only part the gateway forwards</w:t>
            </w:r>
          </w:p>
        </w:tc>
      </w:tr>
    </w:tbl>
    <w:p>
      <w:pPr>
        <w:spacing w:after="160"/>
      </w:pPr>
    </w:p>
    <w:p>
      <w:pPr>
        <w:pBdr>
          <w:left w:val="single" w:color="2E5C8A" w:sz="24" w:space="8"/>
        </w:pBdr>
        <w:shd w:fill="EEF4FB" w:color="auto" w:val="clear"/>
        <w:spacing w:after="220" w:before="120"/>
        <w:ind w:left="180" w:right="120"/>
      </w:pPr>
      <w:r>
        <w:rPr>
          <w:b/>
          <w:bCs/>
          <w:color w:val="2E5C8A"/>
        </w:rPr>
        <w:t xml:space="preserve">Naming rule  </w:t>
      </w:r>
      <w:r>
        <w:t xml:space="preserve">These links only work because names line up: the container name is the OpenTelemetry </w:t>
      </w:r>
      <w:r>
        <w:rPr>
          <w:rFonts w:ascii="Consolas" w:cs="Consolas" w:eastAsia="Consolas" w:hAnsi="Consolas"/>
          <w:sz w:val="19"/>
          <w:szCs w:val="19"/>
        </w:rPr>
        <w:t xml:space="preserve">service.name</w:t>
      </w:r>
      <w:r>
        <w:t xml:space="preserve"> (</w:t>
      </w:r>
      <w:r>
        <w:rPr>
          <w:rFonts w:ascii="Consolas" w:cs="Consolas" w:eastAsia="Consolas" w:hAnsi="Consolas"/>
          <w:sz w:val="19"/>
          <w:szCs w:val="19"/>
        </w:rPr>
        <w:t xml:space="preserve">--otel-service-name=frontend</w:t>
      </w:r>
      <w:r>
        <w:t xml:space="preserve">) and the Pyroscope </w:t>
      </w:r>
      <w:r>
        <w:rPr>
          <w:rFonts w:ascii="Consolas" w:cs="Consolas" w:eastAsia="Consolas" w:hAnsi="Consolas"/>
          <w:sz w:val="19"/>
          <w:szCs w:val="19"/>
        </w:rPr>
        <w:t xml:space="preserve">service_name</w:t>
      </w:r>
      <w:r>
        <w:t xml:space="preserve">. Keep them equal in every app.</w:t>
      </w:r>
    </w:p>
    <w:p>
      <w:pPr>
        <w:pStyle w:val="Heading2"/>
      </w:pPr>
      <w:r>
        <w:t xml:space="preserve">Our configuration</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tempo:</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multitenancyEnabled: true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reportingEnabled: false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metricsGenerator:</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enabled: true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remoteWriteUrl: "http://mimir.observability.svc.cluster.local:8080/api/v1/push"</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overrides: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defaults:                              # every tenant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metrics_generator:</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processors: [service-graphs, span-metrics]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retention: 72h</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persistence: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enabled: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  size: 5Gi</w:t>
      </w:r>
    </w:p>
    <w:p>
      <w:pPr>
        <w:spacing w:after="140"/>
      </w:pPr>
      <w:r>
        <w:t xml:space="preserve">The receivers stay at the chart defaults (OTLP and Jaeger); the chart expects that block. Only OTLP gRPC on 4317 is reachable, and only from the tenant receivers.</w:t>
      </w:r>
    </w:p>
    <w:p>
      <w:pPr>
        <w:pStyle w:val="Heading3"/>
      </w:pPr>
      <w:r>
        <w:t xml:space="preserve">Files in the lab</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4600"/>
        <w:gridCol w:w="5146"/>
      </w:tblGrid>
      <w:tr>
        <w:trPr>
          <w:tblHeader/>
        </w:trPr>
        <w:tc>
          <w:tcPr>
            <w:tcW w:type="dxa" w:w="4600"/>
            <w:shd w:fill="DCE6F1" w:color="auto" w:val="clear"/>
            <w:tcMar>
              <w:top w:type="dxa" w:w="70"/>
              <w:left w:type="dxa" w:w="110"/>
              <w:bottom w:type="dxa" w:w="70"/>
              <w:right w:type="dxa" w:w="110"/>
            </w:tcMar>
          </w:tcPr>
          <w:p>
            <w:pPr>
              <w:spacing w:after="0"/>
            </w:pPr>
            <w:r>
              <w:rPr>
                <w:b/>
                <w:bCs/>
              </w:rPr>
              <w:t xml:space="preserve">File</w:t>
            </w:r>
          </w:p>
        </w:tc>
        <w:tc>
          <w:tcPr>
            <w:tcW w:type="dxa" w:w="5146"/>
            <w:shd w:fill="DCE6F1" w:color="auto" w:val="clear"/>
            <w:tcMar>
              <w:top w:type="dxa" w:w="70"/>
              <w:left w:type="dxa" w:w="110"/>
              <w:bottom w:type="dxa" w:w="70"/>
              <w:right w:type="dxa" w:w="110"/>
            </w:tcMar>
          </w:tcPr>
          <w:p>
            <w:pPr>
              <w:spacing w:after="0"/>
            </w:pPr>
            <w:r>
              <w:rPr>
                <w:b/>
                <w:bCs/>
              </w:rPr>
              <w:t xml:space="preserve">What it holds</w:t>
            </w:r>
          </w:p>
        </w:tc>
      </w:tr>
      <w:tr>
        <w:trPr>
          <w:cantSplit/>
        </w:trPr>
        <w:tc>
          <w:tcPr>
            <w:tcW w:type="dxa" w:w="4600"/>
            <w:tcMar>
              <w:top w:type="dxa" w:w="70"/>
              <w:left w:type="dxa" w:w="110"/>
              <w:bottom w:type="dxa" w:w="70"/>
              <w:right w:type="dxa" w:w="110"/>
            </w:tcMar>
          </w:tcPr>
          <w:p>
            <w:pPr>
              <w:spacing w:after="0"/>
            </w:pPr>
            <w:r>
              <w:rPr>
                <w:rFonts w:ascii="Consolas" w:cs="Consolas" w:eastAsia="Consolas" w:hAnsi="Consolas"/>
                <w:sz w:val="19"/>
                <w:szCs w:val="19"/>
              </w:rPr>
              <w:t xml:space="preserve">06-observability-backends/tempo-values.yaml</w:t>
            </w:r>
          </w:p>
        </w:tc>
        <w:tc>
          <w:tcPr>
            <w:tcW w:type="dxa" w:w="5146"/>
            <w:tcMar>
              <w:top w:type="dxa" w:w="70"/>
              <w:left w:type="dxa" w:w="110"/>
              <w:bottom w:type="dxa" w:w="70"/>
              <w:right w:type="dxa" w:w="110"/>
            </w:tcMar>
          </w:tcPr>
          <w:p>
            <w:pPr>
              <w:spacing w:after="0"/>
            </w:pPr>
            <w:r>
              <w:t xml:space="preserve">Tempo: tenancy, metrics generator, retention</w:t>
            </w:r>
          </w:p>
        </w:tc>
      </w:tr>
      <w:tr>
        <w:trPr>
          <w:cantSplit/>
        </w:trPr>
        <w:tc>
          <w:tcPr>
            <w:tcW w:type="dxa" w:w="4600"/>
            <w:tcMar>
              <w:top w:type="dxa" w:w="70"/>
              <w:left w:type="dxa" w:w="110"/>
              <w:bottom w:type="dxa" w:w="70"/>
              <w:right w:type="dxa" w:w="110"/>
            </w:tcMar>
          </w:tcPr>
          <w:p>
            <w:pPr>
              <w:spacing w:after="0"/>
            </w:pPr>
            <w:r>
              <w:rPr>
                <w:rFonts w:ascii="Consolas" w:cs="Consolas" w:eastAsia="Consolas" w:hAnsi="Consolas"/>
                <w:sz w:val="19"/>
                <w:szCs w:val="19"/>
              </w:rPr>
              <w:t xml:space="preserve">08-collectors/otlp-receivers.yaml</w:t>
            </w:r>
          </w:p>
        </w:tc>
        <w:tc>
          <w:tcPr>
            <w:tcW w:type="dxa" w:w="5146"/>
            <w:tcMar>
              <w:top w:type="dxa" w:w="70"/>
              <w:left w:type="dxa" w:w="110"/>
              <w:bottom w:type="dxa" w:w="70"/>
              <w:right w:type="dxa" w:w="110"/>
            </w:tcMar>
          </w:tcPr>
          <w:p>
            <w:pPr>
              <w:spacing w:after="0"/>
            </w:pPr>
            <w:r>
              <w:t xml:space="preserve">the per-tenant OTLP receivers</w:t>
            </w:r>
          </w:p>
        </w:tc>
      </w:tr>
      <w:tr>
        <w:trPr>
          <w:cantSplit/>
        </w:trPr>
        <w:tc>
          <w:tcPr>
            <w:tcW w:type="dxa" w:w="4600"/>
            <w:tcMar>
              <w:top w:type="dxa" w:w="70"/>
              <w:left w:type="dxa" w:w="110"/>
              <w:bottom w:type="dxa" w:w="70"/>
              <w:right w:type="dxa" w:w="110"/>
            </w:tcMar>
          </w:tcPr>
          <w:p>
            <w:pPr>
              <w:spacing w:after="0"/>
            </w:pPr>
            <w:r>
              <w:rPr>
                <w:rFonts w:ascii="Consolas" w:cs="Consolas" w:eastAsia="Consolas" w:hAnsi="Consolas"/>
                <w:sz w:val="19"/>
                <w:szCs w:val="19"/>
              </w:rPr>
              <w:t xml:space="preserve">03-tenant-isolation/tenant-a.yaml</w:t>
            </w:r>
            <w:r>
              <w:t xml:space="preserve">, </w:t>
            </w:r>
            <w:r>
              <w:rPr>
                <w:rFonts w:ascii="Consolas" w:cs="Consolas" w:eastAsia="Consolas" w:hAnsi="Consolas"/>
                <w:sz w:val="19"/>
                <w:szCs w:val="19"/>
              </w:rPr>
              <w:t xml:space="preserve">tenant-b.yaml</w:t>
            </w:r>
          </w:p>
        </w:tc>
        <w:tc>
          <w:tcPr>
            <w:tcW w:type="dxa" w:w="5146"/>
            <w:tcMar>
              <w:top w:type="dxa" w:w="70"/>
              <w:left w:type="dxa" w:w="110"/>
              <w:bottom w:type="dxa" w:w="70"/>
              <w:right w:type="dxa" w:w="110"/>
            </w:tcMar>
          </w:tcPr>
          <w:p>
            <w:pPr>
              <w:spacing w:after="0"/>
            </w:pPr>
            <w:r>
              <w:t xml:space="preserve">each tenant's DNS and egress rule for its receiver</w:t>
            </w:r>
          </w:p>
        </w:tc>
      </w:tr>
      <w:tr>
        <w:trPr>
          <w:cantSplit/>
        </w:trPr>
        <w:tc>
          <w:tcPr>
            <w:tcW w:type="dxa" w:w="4600"/>
            <w:tcMar>
              <w:top w:type="dxa" w:w="70"/>
              <w:left w:type="dxa" w:w="110"/>
              <w:bottom w:type="dxa" w:w="70"/>
              <w:right w:type="dxa" w:w="110"/>
            </w:tcMar>
          </w:tcPr>
          <w:p>
            <w:pPr>
              <w:spacing w:after="0"/>
            </w:pPr>
            <w:r>
              <w:rPr>
                <w:rFonts w:ascii="Consolas" w:cs="Consolas" w:eastAsia="Consolas" w:hAnsi="Consolas"/>
                <w:sz w:val="19"/>
                <w:szCs w:val="19"/>
              </w:rPr>
              <w:t xml:space="preserve">04-demo-apps/</w:t>
            </w:r>
          </w:p>
        </w:tc>
        <w:tc>
          <w:tcPr>
            <w:tcW w:type="dxa" w:w="5146"/>
            <w:tcMar>
              <w:top w:type="dxa" w:w="70"/>
              <w:left w:type="dxa" w:w="110"/>
              <w:bottom w:type="dxa" w:w="70"/>
              <w:right w:type="dxa" w:w="110"/>
            </w:tcMar>
          </w:tcPr>
          <w:p>
            <w:pPr>
              <w:spacing w:after="0"/>
            </w:pPr>
            <w:r>
              <w:t xml:space="preserve">podinfo with its OTLP settings</w:t>
            </w:r>
          </w:p>
        </w:tc>
      </w:tr>
      <w:tr>
        <w:trPr>
          <w:cantSplit/>
        </w:trPr>
        <w:tc>
          <w:tcPr>
            <w:tcW w:type="dxa" w:w="4600"/>
            <w:tcMar>
              <w:top w:type="dxa" w:w="70"/>
              <w:left w:type="dxa" w:w="110"/>
              <w:bottom w:type="dxa" w:w="70"/>
              <w:right w:type="dxa" w:w="110"/>
            </w:tcMar>
          </w:tcPr>
          <w:p>
            <w:pPr>
              <w:spacing w:after="0"/>
            </w:pPr>
            <w:r>
              <w:rPr>
                <w:rFonts w:ascii="Consolas" w:cs="Consolas" w:eastAsia="Consolas" w:hAnsi="Consolas"/>
                <w:sz w:val="19"/>
                <w:szCs w:val="19"/>
              </w:rPr>
              <w:t xml:space="preserve">07-read-gateway/gateway.yaml</w:t>
            </w:r>
          </w:p>
        </w:tc>
        <w:tc>
          <w:tcPr>
            <w:tcW w:type="dxa" w:w="5146"/>
            <w:tcMar>
              <w:top w:type="dxa" w:w="70"/>
              <w:left w:type="dxa" w:w="110"/>
              <w:bottom w:type="dxa" w:w="70"/>
              <w:right w:type="dxa" w:w="110"/>
            </w:tcMar>
          </w:tcPr>
          <w:p>
            <w:pPr>
              <w:spacing w:after="0"/>
            </w:pPr>
            <w:r>
              <w:t xml:space="preserve">obs-gateway, port 3200</w:t>
            </w:r>
          </w:p>
        </w:tc>
      </w:tr>
      <w:tr>
        <w:trPr>
          <w:cantSplit/>
        </w:trPr>
        <w:tc>
          <w:tcPr>
            <w:tcW w:type="dxa" w:w="4600"/>
            <w:tcMar>
              <w:top w:type="dxa" w:w="70"/>
              <w:left w:type="dxa" w:w="110"/>
              <w:bottom w:type="dxa" w:w="70"/>
              <w:right w:type="dxa" w:w="110"/>
            </w:tcMar>
          </w:tcPr>
          <w:p>
            <w:pPr>
              <w:spacing w:after="0"/>
            </w:pPr>
            <w:r>
              <w:rPr>
                <w:rFonts w:ascii="Consolas" w:cs="Consolas" w:eastAsia="Consolas" w:hAnsi="Consolas"/>
                <w:sz w:val="19"/>
                <w:szCs w:val="19"/>
              </w:rPr>
              <w:t xml:space="preserve">10-observability-lockdown/policies.yaml</w:t>
            </w:r>
          </w:p>
        </w:tc>
        <w:tc>
          <w:tcPr>
            <w:tcW w:type="dxa" w:w="5146"/>
            <w:tcMar>
              <w:top w:type="dxa" w:w="70"/>
              <w:left w:type="dxa" w:w="110"/>
              <w:bottom w:type="dxa" w:w="70"/>
              <w:right w:type="dxa" w:w="110"/>
            </w:tcMar>
          </w:tcPr>
          <w:p>
            <w:pPr>
              <w:spacing w:after="0"/>
            </w:pPr>
            <w:r>
              <w:t xml:space="preserve">the </w:t>
            </w:r>
            <w:r>
              <w:rPr>
                <w:rFonts w:ascii="Consolas" w:cs="Consolas" w:eastAsia="Consolas" w:hAnsi="Consolas"/>
                <w:sz w:val="19"/>
                <w:szCs w:val="19"/>
              </w:rPr>
              <w:t xml:space="preserve">tempo</w:t>
            </w:r>
            <w:r>
              <w:t xml:space="preserve">, </w:t>
            </w:r>
            <w:r>
              <w:rPr>
                <w:rFonts w:ascii="Consolas" w:cs="Consolas" w:eastAsia="Consolas" w:hAnsi="Consolas"/>
                <w:sz w:val="19"/>
                <w:szCs w:val="19"/>
              </w:rPr>
              <w:t xml:space="preserve">otlp-tenant-a</w:t>
            </w:r>
            <w:r>
              <w:t xml:space="preserve"> and </w:t>
            </w:r>
            <w:r>
              <w:rPr>
                <w:rFonts w:ascii="Consolas" w:cs="Consolas" w:eastAsia="Consolas" w:hAnsi="Consolas"/>
                <w:sz w:val="19"/>
                <w:szCs w:val="19"/>
              </w:rPr>
              <w:t xml:space="preserve">otlp-tenant-b</w:t>
            </w:r>
            <w:r>
              <w:t xml:space="preserve"> policies</w:t>
            </w:r>
          </w:p>
        </w:tc>
      </w:tr>
    </w:tbl>
    <w:p>
      <w:pPr>
        <w:spacing w:after="160"/>
      </w:pPr>
    </w:p>
    <w:p>
      <w:pPr>
        <w:pStyle w:val="Heading2"/>
      </w:pPr>
      <w:r>
        <w:t xml:space="preserve">Per-tenant limits</w:t>
      </w:r>
    </w:p>
    <w:p>
      <w:pPr>
        <w:spacing w:after="140"/>
      </w:pPr>
      <w:r>
        <w:rPr>
          <w:rFonts w:ascii="Consolas" w:cs="Consolas" w:eastAsia="Consolas" w:hAnsi="Consolas"/>
          <w:sz w:val="19"/>
          <w:szCs w:val="19"/>
        </w:rPr>
        <w:t xml:space="preserve">overrides.defaults</w:t>
      </w:r>
      <w:r>
        <w:t xml:space="preserve"> applies to every tenant; the lab uses it only to switch on the metrics generator. Per-tenant values go in </w:t>
      </w:r>
      <w:r>
        <w:rPr>
          <w:rFonts w:ascii="Consolas" w:cs="Consolas" w:eastAsia="Consolas" w:hAnsi="Consolas"/>
          <w:sz w:val="19"/>
          <w:szCs w:val="19"/>
        </w:rPr>
        <w:t xml:space="preserve">per_tenant_overrides</w:t>
      </w:r>
      <w:r>
        <w:t xml:space="preserv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tempo:</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per_tenant_overrides: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tenant-b:</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ingestion:</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rate_limit_bytes: 5000000      # 5 MB/s of spans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burst_size_bytes: 10000000</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global:</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max_bytes_per_trace: 2000000   # one huge trace can't use up the budget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compaction:</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        block_retention: 168h          # tenant-b keeps 7 days</w:t>
      </w:r>
    </w:p>
    <w:p>
      <w:pPr>
        <w:spacing w:after="140"/>
      </w:pPr>
      <w:r>
        <w:t xml:space="preserve">The per-tenant receivers are a limit of their own: each has its own CPU and memory limits, so a flood of spans from tenant-a fills tenant-a's receiver, not tenant-b's.</w:t>
      </w:r>
    </w:p>
    <w:p>
      <w:pPr>
        <w:pStyle w:val="Heading2"/>
      </w:pPr>
      <w:r>
        <w:t xml:space="preserve">Network lockdown</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3900"/>
        <w:gridCol w:w="3200"/>
        <w:gridCol w:w="2646"/>
      </w:tblGrid>
      <w:tr>
        <w:trPr>
          <w:tblHeader/>
        </w:trPr>
        <w:tc>
          <w:tcPr>
            <w:tcW w:type="dxa" w:w="3900"/>
            <w:shd w:fill="DCE6F1" w:color="auto" w:val="clear"/>
            <w:tcMar>
              <w:top w:type="dxa" w:w="70"/>
              <w:left w:type="dxa" w:w="110"/>
              <w:bottom w:type="dxa" w:w="70"/>
              <w:right w:type="dxa" w:w="110"/>
            </w:tcMar>
          </w:tcPr>
          <w:p>
            <w:pPr>
              <w:spacing w:after="0"/>
            </w:pPr>
            <w:r>
              <w:rPr>
                <w:b/>
                <w:bCs/>
              </w:rPr>
              <w:t xml:space="preserve">From → to</w:t>
            </w:r>
          </w:p>
        </w:tc>
        <w:tc>
          <w:tcPr>
            <w:tcW w:type="dxa" w:w="3200"/>
            <w:shd w:fill="DCE6F1" w:color="auto" w:val="clear"/>
            <w:tcMar>
              <w:top w:type="dxa" w:w="70"/>
              <w:left w:type="dxa" w:w="110"/>
              <w:bottom w:type="dxa" w:w="70"/>
              <w:right w:type="dxa" w:w="110"/>
            </w:tcMar>
          </w:tcPr>
          <w:p>
            <w:pPr>
              <w:spacing w:after="0"/>
            </w:pPr>
            <w:r>
              <w:rPr>
                <w:b/>
                <w:bCs/>
              </w:rPr>
              <w:t xml:space="preserve">Allowed</w:t>
            </w:r>
          </w:p>
        </w:tc>
        <w:tc>
          <w:tcPr>
            <w:tcW w:type="dxa" w:w="2646"/>
            <w:shd w:fill="DCE6F1" w:color="auto" w:val="clear"/>
            <w:tcMar>
              <w:top w:type="dxa" w:w="70"/>
              <w:left w:type="dxa" w:w="110"/>
              <w:bottom w:type="dxa" w:w="70"/>
              <w:right w:type="dxa" w:w="110"/>
            </w:tcMar>
          </w:tcPr>
          <w:p>
            <w:pPr>
              <w:spacing w:after="0"/>
            </w:pPr>
            <w:r>
              <w:rPr>
                <w:b/>
                <w:bCs/>
              </w:rPr>
              <w:t xml:space="preserve">Policy</w:t>
            </w:r>
          </w:p>
        </w:tc>
      </w:tr>
      <w:tr>
        <w:trPr>
          <w:cantSplit/>
        </w:trPr>
        <w:tc>
          <w:tcPr>
            <w:tcW w:type="dxa" w:w="3900"/>
            <w:tcMar>
              <w:top w:type="dxa" w:w="70"/>
              <w:left w:type="dxa" w:w="110"/>
              <w:bottom w:type="dxa" w:w="70"/>
              <w:right w:type="dxa" w:w="110"/>
            </w:tcMar>
          </w:tcPr>
          <w:p>
            <w:pPr>
              <w:spacing w:after="0"/>
            </w:pPr>
            <w:r>
              <w:t xml:space="preserve">tenant-a pods → </w:t>
            </w:r>
            <w:r>
              <w:rPr>
                <w:rFonts w:ascii="Consolas" w:cs="Consolas" w:eastAsia="Consolas" w:hAnsi="Consolas"/>
                <w:sz w:val="19"/>
                <w:szCs w:val="19"/>
              </w:rPr>
              <w:t xml:space="preserve">otlp-tenant-a</w:t>
            </w:r>
            <w:r>
              <w:t xml:space="preserve">:4317</w:t>
            </w:r>
          </w:p>
        </w:tc>
        <w:tc>
          <w:tcPr>
            <w:tcW w:type="dxa" w:w="3200"/>
            <w:tcMar>
              <w:top w:type="dxa" w:w="70"/>
              <w:left w:type="dxa" w:w="110"/>
              <w:bottom w:type="dxa" w:w="70"/>
              <w:right w:type="dxa" w:w="110"/>
            </w:tcMar>
          </w:tcPr>
          <w:p>
            <w:pPr>
              <w:spacing w:after="0"/>
            </w:pPr>
            <w:r>
              <w:t xml:space="preserve">yes</w:t>
            </w:r>
          </w:p>
        </w:tc>
        <w:tc>
          <w:tcPr>
            <w:tcW w:type="dxa" w:w="2646"/>
            <w:tcMar>
              <w:top w:type="dxa" w:w="70"/>
              <w:left w:type="dxa" w:w="110"/>
              <w:bottom w:type="dxa" w:w="70"/>
              <w:right w:type="dxa" w:w="110"/>
            </w:tcMar>
          </w:tcPr>
          <w:p>
            <w:pPr>
              <w:spacing w:after="0"/>
            </w:pPr>
            <w:r>
              <w:t xml:space="preserve">tenant-a baseline, </w:t>
            </w:r>
            <w:r>
              <w:rPr>
                <w:rFonts w:ascii="Consolas" w:cs="Consolas" w:eastAsia="Consolas" w:hAnsi="Consolas"/>
                <w:sz w:val="19"/>
                <w:szCs w:val="19"/>
              </w:rPr>
              <w:t xml:space="preserve">otlp-tenant-a</w:t>
            </w:r>
          </w:p>
        </w:tc>
      </w:tr>
      <w:tr>
        <w:trPr>
          <w:cantSplit/>
        </w:trPr>
        <w:tc>
          <w:tcPr>
            <w:tcW w:type="dxa" w:w="3900"/>
            <w:tcMar>
              <w:top w:type="dxa" w:w="70"/>
              <w:left w:type="dxa" w:w="110"/>
              <w:bottom w:type="dxa" w:w="70"/>
              <w:right w:type="dxa" w:w="110"/>
            </w:tcMar>
          </w:tcPr>
          <w:p>
            <w:pPr>
              <w:spacing w:after="0"/>
            </w:pPr>
            <w:r>
              <w:t xml:space="preserve">tenant-a pods → </w:t>
            </w:r>
            <w:r>
              <w:rPr>
                <w:rFonts w:ascii="Consolas" w:cs="Consolas" w:eastAsia="Consolas" w:hAnsi="Consolas"/>
                <w:sz w:val="19"/>
                <w:szCs w:val="19"/>
              </w:rPr>
              <w:t xml:space="preserve">otlp-tenant-b</w:t>
            </w:r>
          </w:p>
        </w:tc>
        <w:tc>
          <w:tcPr>
            <w:tcW w:type="dxa" w:w="3200"/>
            <w:tcMar>
              <w:top w:type="dxa" w:w="70"/>
              <w:left w:type="dxa" w:w="110"/>
              <w:bottom w:type="dxa" w:w="70"/>
              <w:right w:type="dxa" w:w="110"/>
            </w:tcMar>
          </w:tcPr>
          <w:p>
            <w:pPr>
              <w:spacing w:after="0"/>
            </w:pPr>
            <w:r>
              <w:t xml:space="preserve">dropped (and the name does not resolve)</w:t>
            </w:r>
          </w:p>
        </w:tc>
        <w:tc>
          <w:tcPr>
            <w:tcW w:type="dxa" w:w="2646"/>
            <w:tcMar>
              <w:top w:type="dxa" w:w="70"/>
              <w:left w:type="dxa" w:w="110"/>
              <w:bottom w:type="dxa" w:w="70"/>
              <w:right w:type="dxa" w:w="110"/>
            </w:tcMar>
          </w:tcPr>
          <w:p>
            <w:pPr>
              <w:spacing w:after="0"/>
            </w:pPr>
            <w:r>
              <w:rPr>
                <w:rFonts w:ascii="Consolas" w:cs="Consolas" w:eastAsia="Consolas" w:hAnsi="Consolas"/>
                <w:sz w:val="19"/>
                <w:szCs w:val="19"/>
              </w:rPr>
              <w:t xml:space="preserve">otlp-tenant-b</w:t>
            </w:r>
            <w:r>
              <w:t xml:space="preserve"> accepts only tenant b</w:t>
            </w:r>
          </w:p>
        </w:tc>
      </w:tr>
      <w:tr>
        <w:trPr>
          <w:cantSplit/>
        </w:trPr>
        <w:tc>
          <w:tcPr>
            <w:tcW w:type="dxa" w:w="3900"/>
            <w:tcMar>
              <w:top w:type="dxa" w:w="70"/>
              <w:left w:type="dxa" w:w="110"/>
              <w:bottom w:type="dxa" w:w="70"/>
              <w:right w:type="dxa" w:w="110"/>
            </w:tcMar>
          </w:tcPr>
          <w:p>
            <w:pPr>
              <w:spacing w:after="0"/>
            </w:pPr>
            <w:r>
              <w:t xml:space="preserve">tenant receivers → Tempo:4317</w:t>
            </w:r>
          </w:p>
        </w:tc>
        <w:tc>
          <w:tcPr>
            <w:tcW w:type="dxa" w:w="3200"/>
            <w:tcMar>
              <w:top w:type="dxa" w:w="70"/>
              <w:left w:type="dxa" w:w="110"/>
              <w:bottom w:type="dxa" w:w="70"/>
              <w:right w:type="dxa" w:w="110"/>
            </w:tcMar>
          </w:tcPr>
          <w:p>
            <w:pPr>
              <w:spacing w:after="0"/>
            </w:pPr>
            <w:r>
              <w:t xml:space="preserve">yes</w:t>
            </w:r>
          </w:p>
        </w:tc>
        <w:tc>
          <w:tcPr>
            <w:tcW w:type="dxa" w:w="2646"/>
            <w:tcMar>
              <w:top w:type="dxa" w:w="70"/>
              <w:left w:type="dxa" w:w="110"/>
              <w:bottom w:type="dxa" w:w="70"/>
              <w:right w:type="dxa" w:w="110"/>
            </w:tcMar>
          </w:tcPr>
          <w:p>
            <w:pPr>
              <w:spacing w:after="0"/>
            </w:pPr>
            <w:r>
              <w:rPr>
                <w:rFonts w:ascii="Consolas" w:cs="Consolas" w:eastAsia="Consolas" w:hAnsi="Consolas"/>
                <w:sz w:val="19"/>
                <w:szCs w:val="19"/>
              </w:rPr>
              <w:t xml:space="preserve">tempo</w:t>
            </w:r>
          </w:p>
        </w:tc>
      </w:tr>
      <w:tr>
        <w:trPr>
          <w:cantSplit/>
        </w:trPr>
        <w:tc>
          <w:tcPr>
            <w:tcW w:type="dxa" w:w="3900"/>
            <w:tcMar>
              <w:top w:type="dxa" w:w="70"/>
              <w:left w:type="dxa" w:w="110"/>
              <w:bottom w:type="dxa" w:w="70"/>
              <w:right w:type="dxa" w:w="110"/>
            </w:tcMar>
          </w:tcPr>
          <w:p>
            <w:pPr>
              <w:spacing w:after="0"/>
            </w:pPr>
            <w:r>
              <w:t xml:space="preserve">obs-gateway → Tempo:3200</w:t>
            </w:r>
          </w:p>
        </w:tc>
        <w:tc>
          <w:tcPr>
            <w:tcW w:type="dxa" w:w="3200"/>
            <w:tcMar>
              <w:top w:type="dxa" w:w="70"/>
              <w:left w:type="dxa" w:w="110"/>
              <w:bottom w:type="dxa" w:w="70"/>
              <w:right w:type="dxa" w:w="110"/>
            </w:tcMar>
          </w:tcPr>
          <w:p>
            <w:pPr>
              <w:spacing w:after="0"/>
            </w:pPr>
            <w:r>
              <w:t xml:space="preserve">yes</w:t>
            </w:r>
          </w:p>
        </w:tc>
        <w:tc>
          <w:tcPr>
            <w:tcW w:type="dxa" w:w="2646"/>
            <w:tcMar>
              <w:top w:type="dxa" w:w="70"/>
              <w:left w:type="dxa" w:w="110"/>
              <w:bottom w:type="dxa" w:w="70"/>
              <w:right w:type="dxa" w:w="110"/>
            </w:tcMar>
          </w:tcPr>
          <w:p>
            <w:pPr>
              <w:spacing w:after="0"/>
            </w:pPr>
            <w:r>
              <w:rPr>
                <w:rFonts w:ascii="Consolas" w:cs="Consolas" w:eastAsia="Consolas" w:hAnsi="Consolas"/>
                <w:sz w:val="19"/>
                <w:szCs w:val="19"/>
              </w:rPr>
              <w:t xml:space="preserve">tempo</w:t>
            </w:r>
          </w:p>
        </w:tc>
      </w:tr>
      <w:tr>
        <w:trPr>
          <w:cantSplit/>
        </w:trPr>
        <w:tc>
          <w:tcPr>
            <w:tcW w:type="dxa" w:w="3900"/>
            <w:tcMar>
              <w:top w:type="dxa" w:w="70"/>
              <w:left w:type="dxa" w:w="110"/>
              <w:bottom w:type="dxa" w:w="70"/>
              <w:right w:type="dxa" w:w="110"/>
            </w:tcMar>
          </w:tcPr>
          <w:p>
            <w:pPr>
              <w:spacing w:after="0"/>
            </w:pPr>
            <w:r>
              <w:t xml:space="preserve">Tempo → Mimir:8080</w:t>
            </w:r>
          </w:p>
        </w:tc>
        <w:tc>
          <w:tcPr>
            <w:tcW w:type="dxa" w:w="3200"/>
            <w:tcMar>
              <w:top w:type="dxa" w:w="70"/>
              <w:left w:type="dxa" w:w="110"/>
              <w:bottom w:type="dxa" w:w="70"/>
              <w:right w:type="dxa" w:w="110"/>
            </w:tcMar>
          </w:tcPr>
          <w:p>
            <w:pPr>
              <w:spacing w:after="0"/>
            </w:pPr>
            <w:r>
              <w:t xml:space="preserve">yes, push only</w:t>
            </w:r>
          </w:p>
        </w:tc>
        <w:tc>
          <w:tcPr>
            <w:tcW w:type="dxa" w:w="2646"/>
            <w:tcMar>
              <w:top w:type="dxa" w:w="70"/>
              <w:left w:type="dxa" w:w="110"/>
              <w:bottom w:type="dxa" w:w="70"/>
              <w:right w:type="dxa" w:w="110"/>
            </w:tcMar>
          </w:tcPr>
          <w:p>
            <w:pPr>
              <w:spacing w:after="0"/>
            </w:pPr>
            <w:r>
              <w:rPr>
                <w:rFonts w:ascii="Consolas" w:cs="Consolas" w:eastAsia="Consolas" w:hAnsi="Consolas"/>
                <w:sz w:val="19"/>
                <w:szCs w:val="19"/>
              </w:rPr>
              <w:t xml:space="preserve">tempo</w:t>
            </w:r>
            <w:r>
              <w:t xml:space="preserve"> egress, </w:t>
            </w:r>
            <w:r>
              <w:rPr>
                <w:rFonts w:ascii="Consolas" w:cs="Consolas" w:eastAsia="Consolas" w:hAnsi="Consolas"/>
                <w:sz w:val="19"/>
                <w:szCs w:val="19"/>
              </w:rPr>
              <w:t xml:space="preserve">mimir</w:t>
            </w:r>
            <w:r>
              <w:t xml:space="preserve"> L7 rule</w:t>
            </w:r>
          </w:p>
        </w:tc>
      </w:tr>
      <w:tr>
        <w:trPr>
          <w:cantSplit/>
        </w:trPr>
        <w:tc>
          <w:tcPr>
            <w:tcW w:type="dxa" w:w="3900"/>
            <w:tcMar>
              <w:top w:type="dxa" w:w="70"/>
              <w:left w:type="dxa" w:w="110"/>
              <w:bottom w:type="dxa" w:w="70"/>
              <w:right w:type="dxa" w:w="110"/>
            </w:tcMar>
          </w:tcPr>
          <w:p>
            <w:pPr>
              <w:spacing w:after="0"/>
            </w:pPr>
            <w:r>
              <w:t xml:space="preserve">tenant pods → Tempo directly</w:t>
            </w:r>
          </w:p>
        </w:tc>
        <w:tc>
          <w:tcPr>
            <w:tcW w:type="dxa" w:w="3200"/>
            <w:tcMar>
              <w:top w:type="dxa" w:w="70"/>
              <w:left w:type="dxa" w:w="110"/>
              <w:bottom w:type="dxa" w:w="70"/>
              <w:right w:type="dxa" w:w="110"/>
            </w:tcMar>
          </w:tcPr>
          <w:p>
            <w:pPr>
              <w:spacing w:after="0"/>
            </w:pPr>
            <w:r>
              <w:t xml:space="preserve">dropped</w:t>
            </w:r>
          </w:p>
        </w:tc>
        <w:tc>
          <w:tcPr>
            <w:tcW w:type="dxa" w:w="2646"/>
            <w:tcMar>
              <w:top w:type="dxa" w:w="70"/>
              <w:left w:type="dxa" w:w="110"/>
              <w:bottom w:type="dxa" w:w="70"/>
              <w:right w:type="dxa" w:w="110"/>
            </w:tcMar>
          </w:tcPr>
          <w:p>
            <w:pPr>
              <w:spacing w:after="0"/>
            </w:pPr>
            <w:r>
              <w:rPr>
                <w:rFonts w:ascii="Consolas" w:cs="Consolas" w:eastAsia="Consolas" w:hAnsi="Consolas"/>
                <w:sz w:val="19"/>
                <w:szCs w:val="19"/>
              </w:rPr>
              <w:t xml:space="preserve">tempo</w:t>
            </w:r>
          </w:p>
        </w:tc>
      </w:tr>
      <w:tr>
        <w:trPr>
          <w:cantSplit/>
        </w:trPr>
        <w:tc>
          <w:tcPr>
            <w:tcW w:type="dxa" w:w="3900"/>
            <w:tcMar>
              <w:top w:type="dxa" w:w="70"/>
              <w:left w:type="dxa" w:w="110"/>
              <w:bottom w:type="dxa" w:w="70"/>
              <w:right w:type="dxa" w:w="110"/>
            </w:tcMar>
          </w:tcPr>
          <w:p>
            <w:pPr>
              <w:spacing w:after="0"/>
            </w:pPr>
            <w:r>
              <w:t xml:space="preserve">anything else, the internet</w:t>
            </w:r>
          </w:p>
        </w:tc>
        <w:tc>
          <w:tcPr>
            <w:tcW w:type="dxa" w:w="3200"/>
            <w:tcMar>
              <w:top w:type="dxa" w:w="70"/>
              <w:left w:type="dxa" w:w="110"/>
              <w:bottom w:type="dxa" w:w="70"/>
              <w:right w:type="dxa" w:w="110"/>
            </w:tcMar>
          </w:tcPr>
          <w:p>
            <w:pPr>
              <w:spacing w:after="0"/>
            </w:pPr>
            <w:r>
              <w:t xml:space="preserve">dropped</w:t>
            </w:r>
          </w:p>
        </w:tc>
        <w:tc>
          <w:tcPr>
            <w:tcW w:type="dxa" w:w="2646"/>
            <w:tcMar>
              <w:top w:type="dxa" w:w="70"/>
              <w:left w:type="dxa" w:w="110"/>
              <w:bottom w:type="dxa" w:w="70"/>
              <w:right w:type="dxa" w:w="110"/>
            </w:tcMar>
          </w:tcPr>
          <w:p>
            <w:pPr>
              <w:spacing w:after="0"/>
            </w:pPr>
            <w:r>
              <w:t xml:space="preserve">default deny</w:t>
            </w:r>
          </w:p>
        </w:tc>
      </w:tr>
    </w:tbl>
    <w:p>
      <w:pPr>
        <w:spacing w:after="160"/>
      </w:pP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 otlp-tenant-a: accepts only tenant a, forwards only to Tempo</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ingress: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fromEndpoints: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matchLabels: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k8s:io.cilium.k8s.namespace.labels.tenant: 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toPorts: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ports: [{port: "4317", protocol: TCP}]</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egress: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toEndpoints: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matchLabels: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k8s:io.kubernetes.pod.namespace: observability</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app.kubernetes.io/name: tempo</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      - ports: [{port: "4317", protocol: TCP}]</w:t>
      </w:r>
    </w:p>
    <w:p>
      <w:pPr>
        <w:spacing w:after="140"/>
      </w:pPr>
      <w:r>
        <w:t xml:space="preserve">This policy selects the </w:t>
      </w:r>
      <w:r>
        <w:rPr>
          <w:b/>
          <w:bCs/>
        </w:rPr>
        <w:t xml:space="preserve">namespace label</w:t>
      </w:r>
      <w:r>
        <w:t xml:space="preserve"> </w:t>
      </w:r>
      <w:r>
        <w:rPr>
          <w:rFonts w:ascii="Consolas" w:cs="Consolas" w:eastAsia="Consolas" w:hAnsi="Consolas"/>
          <w:sz w:val="19"/>
          <w:szCs w:val="19"/>
        </w:rPr>
        <w:t xml:space="preserve">tenant</w:t>
      </w:r>
      <w:r>
        <w:t xml:space="preserve">, so a new namespace like </w:t>
      </w:r>
      <w:r>
        <w:rPr>
          <w:rFonts w:ascii="Consolas" w:cs="Consolas" w:eastAsia="Consolas" w:hAnsi="Consolas"/>
          <w:sz w:val="19"/>
          <w:szCs w:val="19"/>
        </w:rPr>
        <w:t xml:space="preserve">tenant-a-dev</w:t>
      </w:r>
      <w:r>
        <w:t xml:space="preserve"> can use tenant a's receiver right away.</w:t>
      </w:r>
    </w:p>
    <w:p>
      <w:pPr>
        <w:pStyle w:val="Heading2"/>
      </w:pPr>
      <w:r>
        <w:t xml:space="preserve">Using Tempo as a tenant</w:t>
      </w:r>
    </w:p>
    <w:p>
      <w:pPr>
        <w:spacing w:after="140"/>
      </w:pPr>
      <w:r>
        <w:t xml:space="preserve">In Grafana, open </w:t>
      </w:r>
      <w:r>
        <w:rPr>
          <w:b/>
          <w:bCs/>
        </w:rPr>
        <w:t xml:space="preserve">Explore</w:t>
      </w:r>
      <w:r>
        <w:t xml:space="preserve">, pick </w:t>
      </w:r>
      <w:r>
        <w:rPr>
          <w:b/>
          <w:bCs/>
        </w:rPr>
        <w:t xml:space="preserve">Tempo</w:t>
      </w:r>
      <w:r>
        <w:t xml:space="preserve">, and use </w:t>
      </w:r>
      <w:r>
        <w:rPr>
          <w:b/>
          <w:bCs/>
        </w:rPr>
        <w:t xml:space="preserve">Search</w:t>
      </w:r>
      <w:r>
        <w:t xml:space="preserve"> or type TraceQL:</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3600"/>
        <w:gridCol w:w="6146"/>
      </w:tblGrid>
      <w:tr>
        <w:trPr>
          <w:tblHeader/>
        </w:trPr>
        <w:tc>
          <w:tcPr>
            <w:tcW w:type="dxa" w:w="3600"/>
            <w:shd w:fill="DCE6F1" w:color="auto" w:val="clear"/>
            <w:tcMar>
              <w:top w:type="dxa" w:w="70"/>
              <w:left w:type="dxa" w:w="110"/>
              <w:bottom w:type="dxa" w:w="70"/>
              <w:right w:type="dxa" w:w="110"/>
            </w:tcMar>
          </w:tcPr>
          <w:p>
            <w:pPr>
              <w:spacing w:after="0"/>
            </w:pPr>
            <w:r>
              <w:rPr>
                <w:b/>
                <w:bCs/>
              </w:rPr>
              <w:t xml:space="preserve">What you want</w:t>
            </w:r>
          </w:p>
        </w:tc>
        <w:tc>
          <w:tcPr>
            <w:tcW w:type="dxa" w:w="6146"/>
            <w:shd w:fill="DCE6F1" w:color="auto" w:val="clear"/>
            <w:tcMar>
              <w:top w:type="dxa" w:w="70"/>
              <w:left w:type="dxa" w:w="110"/>
              <w:bottom w:type="dxa" w:w="70"/>
              <w:right w:type="dxa" w:w="110"/>
            </w:tcMar>
          </w:tcPr>
          <w:p>
            <w:pPr>
              <w:spacing w:after="0"/>
            </w:pPr>
            <w:r>
              <w:rPr>
                <w:b/>
                <w:bCs/>
              </w:rPr>
              <w:t xml:space="preserve">TraceQL</w:t>
            </w:r>
          </w:p>
        </w:tc>
      </w:tr>
      <w:tr>
        <w:trPr>
          <w:cantSplit/>
        </w:trPr>
        <w:tc>
          <w:tcPr>
            <w:tcW w:type="dxa" w:w="3600"/>
            <w:tcMar>
              <w:top w:type="dxa" w:w="70"/>
              <w:left w:type="dxa" w:w="110"/>
              <w:bottom w:type="dxa" w:w="70"/>
              <w:right w:type="dxa" w:w="110"/>
            </w:tcMar>
          </w:tcPr>
          <w:p>
            <w:pPr>
              <w:spacing w:after="0"/>
            </w:pPr>
            <w:r>
              <w:t xml:space="preserve">All frontend traces</w:t>
            </w:r>
          </w:p>
        </w:tc>
        <w:tc>
          <w:tcPr>
            <w:tcW w:type="dxa" w:w="6146"/>
            <w:tcMar>
              <w:top w:type="dxa" w:w="70"/>
              <w:left w:type="dxa" w:w="110"/>
              <w:bottom w:type="dxa" w:w="70"/>
              <w:right w:type="dxa" w:w="110"/>
            </w:tcMar>
          </w:tcPr>
          <w:p>
            <w:pPr>
              <w:spacing w:after="0"/>
            </w:pPr>
            <w:r>
              <w:rPr>
                <w:rFonts w:ascii="Consolas" w:cs="Consolas" w:eastAsia="Consolas" w:hAnsi="Consolas"/>
                <w:sz w:val="19"/>
                <w:szCs w:val="19"/>
              </w:rPr>
              <w:t xml:space="preserve">{ resource.service.name = "frontend" }</w:t>
            </w:r>
          </w:p>
        </w:tc>
      </w:tr>
      <w:tr>
        <w:trPr>
          <w:cantSplit/>
        </w:trPr>
        <w:tc>
          <w:tcPr>
            <w:tcW w:type="dxa" w:w="3600"/>
            <w:tcMar>
              <w:top w:type="dxa" w:w="70"/>
              <w:left w:type="dxa" w:w="110"/>
              <w:bottom w:type="dxa" w:w="70"/>
              <w:right w:type="dxa" w:w="110"/>
            </w:tcMar>
          </w:tcPr>
          <w:p>
            <w:pPr>
              <w:spacing w:after="0"/>
            </w:pPr>
            <w:r>
              <w:t xml:space="preserve">Failed requests</w:t>
            </w:r>
          </w:p>
        </w:tc>
        <w:tc>
          <w:tcPr>
            <w:tcW w:type="dxa" w:w="6146"/>
            <w:tcMar>
              <w:top w:type="dxa" w:w="70"/>
              <w:left w:type="dxa" w:w="110"/>
              <w:bottom w:type="dxa" w:w="70"/>
              <w:right w:type="dxa" w:w="110"/>
            </w:tcMar>
          </w:tcPr>
          <w:p>
            <w:pPr>
              <w:spacing w:after="0"/>
            </w:pPr>
            <w:r>
              <w:rPr>
                <w:rFonts w:ascii="Consolas" w:cs="Consolas" w:eastAsia="Consolas" w:hAnsi="Consolas"/>
                <w:sz w:val="19"/>
                <w:szCs w:val="19"/>
              </w:rPr>
              <w:t xml:space="preserve">{ status = error }</w:t>
            </w:r>
          </w:p>
        </w:tc>
      </w:tr>
      <w:tr>
        <w:trPr>
          <w:cantSplit/>
        </w:trPr>
        <w:tc>
          <w:tcPr>
            <w:tcW w:type="dxa" w:w="3600"/>
            <w:tcMar>
              <w:top w:type="dxa" w:w="70"/>
              <w:left w:type="dxa" w:w="110"/>
              <w:bottom w:type="dxa" w:w="70"/>
              <w:right w:type="dxa" w:w="110"/>
            </w:tcMar>
          </w:tcPr>
          <w:p>
            <w:pPr>
              <w:spacing w:after="0"/>
            </w:pPr>
            <w:r>
              <w:t xml:space="preserve">Slow requests (the </w:t>
            </w:r>
            <w:r>
              <w:rPr>
                <w:rFonts w:ascii="Consolas" w:cs="Consolas" w:eastAsia="Consolas" w:hAnsi="Consolas"/>
                <w:sz w:val="19"/>
                <w:szCs w:val="19"/>
              </w:rPr>
              <w:t xml:space="preserve">/delay/1</w:t>
            </w:r>
            <w:r>
              <w:t xml:space="preserve"> calls)</w:t>
            </w:r>
          </w:p>
        </w:tc>
        <w:tc>
          <w:tcPr>
            <w:tcW w:type="dxa" w:w="6146"/>
            <w:tcMar>
              <w:top w:type="dxa" w:w="70"/>
              <w:left w:type="dxa" w:w="110"/>
              <w:bottom w:type="dxa" w:w="70"/>
              <w:right w:type="dxa" w:w="110"/>
            </w:tcMar>
          </w:tcPr>
          <w:p>
            <w:pPr>
              <w:spacing w:after="0"/>
            </w:pPr>
            <w:r>
              <w:rPr>
                <w:rFonts w:ascii="Consolas" w:cs="Consolas" w:eastAsia="Consolas" w:hAnsi="Consolas"/>
                <w:sz w:val="19"/>
                <w:szCs w:val="19"/>
              </w:rPr>
              <w:t xml:space="preserve">{ duration &gt; 900ms }</w:t>
            </w:r>
          </w:p>
        </w:tc>
      </w:tr>
      <w:tr>
        <w:trPr>
          <w:cantSplit/>
        </w:trPr>
        <w:tc>
          <w:tcPr>
            <w:tcW w:type="dxa" w:w="3600"/>
            <w:tcMar>
              <w:top w:type="dxa" w:w="70"/>
              <w:left w:type="dxa" w:w="110"/>
              <w:bottom w:type="dxa" w:w="70"/>
              <w:right w:type="dxa" w:w="110"/>
            </w:tcMar>
          </w:tcPr>
          <w:p>
            <w:pPr>
              <w:spacing w:after="0"/>
            </w:pPr>
            <w:r>
              <w:t xml:space="preserve">Frontend requests that reached the backend</w:t>
            </w:r>
          </w:p>
        </w:tc>
        <w:tc>
          <w:tcPr>
            <w:tcW w:type="dxa" w:w="6146"/>
            <w:tcMar>
              <w:top w:type="dxa" w:w="70"/>
              <w:left w:type="dxa" w:w="110"/>
              <w:bottom w:type="dxa" w:w="70"/>
              <w:right w:type="dxa" w:w="110"/>
            </w:tcMar>
          </w:tcPr>
          <w:p>
            <w:pPr>
              <w:spacing w:after="0"/>
            </w:pPr>
            <w:r>
              <w:rPr>
                <w:rFonts w:ascii="Consolas" w:cs="Consolas" w:eastAsia="Consolas" w:hAnsi="Consolas"/>
                <w:sz w:val="19"/>
                <w:szCs w:val="19"/>
              </w:rPr>
              <w:t xml:space="preserve">{ resource.service.name = "frontend" } &gt;&gt; { resource.service.name = "backend" }</w:t>
            </w:r>
          </w:p>
        </w:tc>
      </w:tr>
      <w:tr>
        <w:trPr>
          <w:cantSplit/>
        </w:trPr>
        <w:tc>
          <w:tcPr>
            <w:tcW w:type="dxa" w:w="3600"/>
            <w:tcMar>
              <w:top w:type="dxa" w:w="70"/>
              <w:left w:type="dxa" w:w="110"/>
              <w:bottom w:type="dxa" w:w="70"/>
              <w:right w:type="dxa" w:w="110"/>
            </w:tcMar>
          </w:tcPr>
          <w:p>
            <w:pPr>
              <w:spacing w:after="0"/>
            </w:pPr>
            <w:r>
              <w:t xml:space="preserve">Slow backend spans</w:t>
            </w:r>
          </w:p>
        </w:tc>
        <w:tc>
          <w:tcPr>
            <w:tcW w:type="dxa" w:w="6146"/>
            <w:tcMar>
              <w:top w:type="dxa" w:w="70"/>
              <w:left w:type="dxa" w:w="110"/>
              <w:bottom w:type="dxa" w:w="70"/>
              <w:right w:type="dxa" w:w="110"/>
            </w:tcMar>
          </w:tcPr>
          <w:p>
            <w:pPr>
              <w:spacing w:after="0"/>
            </w:pPr>
            <w:r>
              <w:rPr>
                <w:rFonts w:ascii="Consolas" w:cs="Consolas" w:eastAsia="Consolas" w:hAnsi="Consolas"/>
                <w:sz w:val="19"/>
                <w:szCs w:val="19"/>
              </w:rPr>
              <w:t xml:space="preserve">{ resource.service.name = "backend" &amp;&amp; duration &gt; 100ms }</w:t>
            </w:r>
          </w:p>
        </w:tc>
      </w:tr>
    </w:tbl>
    <w:p>
      <w:pPr>
        <w:spacing w:after="160"/>
      </w:pPr>
    </w:p>
    <w:p>
      <w:pPr>
        <w:spacing w:after="140"/>
      </w:pPr>
      <w:r>
        <w:t xml:space="preserve">Open a trace and click a span: </w:t>
      </w:r>
      <w:r>
        <w:rPr>
          <w:b/>
          <w:bCs/>
        </w:rPr>
        <w:t xml:space="preserve">Logs for this span</w:t>
      </w:r>
      <w:r>
        <w:t xml:space="preserve"> opens Loki, </w:t>
      </w:r>
      <w:r>
        <w:rPr>
          <w:b/>
          <w:bCs/>
        </w:rPr>
        <w:t xml:space="preserve">Profiles</w:t>
      </w:r>
      <w:r>
        <w:t xml:space="preserve"> opens the service's CPU flame graph. The </w:t>
      </w:r>
      <w:r>
        <w:rPr>
          <w:b/>
          <w:bCs/>
        </w:rPr>
        <w:t xml:space="preserve">Service graph</w:t>
      </w:r>
      <w:r>
        <w:t xml:space="preserve"> tab shows frontend → backend with request rates and errors. A trace ID from a log line opens directly.</w:t>
      </w:r>
    </w:p>
    <w:p>
      <w:pPr>
        <w:pStyle w:val="Heading2"/>
      </w:pPr>
      <w:r>
        <w:t xml:space="preserve">How we verify it</w:t>
      </w:r>
    </w:p>
    <w:p>
      <w:pPr>
        <w:spacing w:after="140"/>
      </w:pPr>
      <w:r>
        <w:rPr>
          <w:rFonts w:ascii="Consolas" w:cs="Consolas" w:eastAsia="Consolas" w:hAnsi="Consolas"/>
          <w:sz w:val="19"/>
          <w:szCs w:val="19"/>
        </w:rPr>
        <w:t xml:space="preserve">11-verify-observability.sh</w:t>
      </w:r>
      <w:r>
        <w:t xml:space="preserve"> runs these checks after every change. The Tempo part:</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6200"/>
        <w:gridCol w:w="3546"/>
      </w:tblGrid>
      <w:tr>
        <w:trPr>
          <w:tblHeader/>
        </w:trPr>
        <w:tc>
          <w:tcPr>
            <w:tcW w:type="dxa" w:w="6200"/>
            <w:shd w:fill="DCE6F1" w:color="auto" w:val="clear"/>
            <w:tcMar>
              <w:top w:type="dxa" w:w="70"/>
              <w:left w:type="dxa" w:w="110"/>
              <w:bottom w:type="dxa" w:w="70"/>
              <w:right w:type="dxa" w:w="110"/>
            </w:tcMar>
          </w:tcPr>
          <w:p>
            <w:pPr>
              <w:spacing w:after="0"/>
            </w:pPr>
            <w:r>
              <w:rPr>
                <w:b/>
                <w:bCs/>
              </w:rPr>
              <w:t xml:space="preserve">Check</w:t>
            </w:r>
          </w:p>
        </w:tc>
        <w:tc>
          <w:tcPr>
            <w:tcW w:type="dxa" w:w="3546"/>
            <w:shd w:fill="DCE6F1" w:color="auto" w:val="clear"/>
            <w:tcMar>
              <w:top w:type="dxa" w:w="70"/>
              <w:left w:type="dxa" w:w="110"/>
              <w:bottom w:type="dxa" w:w="70"/>
              <w:right w:type="dxa" w:w="110"/>
            </w:tcMar>
          </w:tcPr>
          <w:p>
            <w:pPr>
              <w:spacing w:after="0"/>
            </w:pPr>
            <w:r>
              <w:rPr>
                <w:b/>
                <w:bCs/>
              </w:rPr>
              <w:t xml:space="preserve">Expected</w:t>
            </w:r>
          </w:p>
        </w:tc>
      </w:tr>
      <w:tr>
        <w:trPr>
          <w:cantSplit/>
        </w:trPr>
        <w:tc>
          <w:tcPr>
            <w:tcW w:type="dxa" w:w="6200"/>
            <w:tcMar>
              <w:top w:type="dxa" w:w="70"/>
              <w:left w:type="dxa" w:w="110"/>
              <w:bottom w:type="dxa" w:w="70"/>
              <w:right w:type="dxa" w:w="110"/>
            </w:tcMar>
          </w:tcPr>
          <w:p>
            <w:pPr>
              <w:spacing w:after="0"/>
            </w:pPr>
            <w:r>
              <w:t xml:space="preserve">tenant-a opens one of its own traces</w:t>
            </w:r>
          </w:p>
        </w:tc>
        <w:tc>
          <w:tcPr>
            <w:tcW w:type="dxa" w:w="3546"/>
            <w:tcMar>
              <w:top w:type="dxa" w:w="70"/>
              <w:left w:type="dxa" w:w="110"/>
              <w:bottom w:type="dxa" w:w="70"/>
              <w:right w:type="dxa" w:w="110"/>
            </w:tcMar>
          </w:tcPr>
          <w:p>
            <w:pPr>
              <w:spacing w:after="0"/>
            </w:pPr>
            <w:r>
              <w:t xml:space="preserve">spans returned</w:t>
            </w:r>
          </w:p>
        </w:tc>
      </w:tr>
      <w:tr>
        <w:trPr>
          <w:cantSplit/>
        </w:trPr>
        <w:tc>
          <w:tcPr>
            <w:tcW w:type="dxa" w:w="6200"/>
            <w:tcMar>
              <w:top w:type="dxa" w:w="70"/>
              <w:left w:type="dxa" w:w="110"/>
              <w:bottom w:type="dxa" w:w="70"/>
              <w:right w:type="dxa" w:w="110"/>
            </w:tcMar>
          </w:tcPr>
          <w:p>
            <w:pPr>
              <w:spacing w:after="0"/>
            </w:pPr>
            <w:r>
              <w:t xml:space="preserve">tenant-b opens that same trace ID</w:t>
            </w:r>
          </w:p>
        </w:tc>
        <w:tc>
          <w:tcPr>
            <w:tcW w:type="dxa" w:w="3546"/>
            <w:tcMar>
              <w:top w:type="dxa" w:w="70"/>
              <w:left w:type="dxa" w:w="110"/>
              <w:bottom w:type="dxa" w:w="70"/>
              <w:right w:type="dxa" w:w="110"/>
            </w:tcMar>
          </w:tcPr>
          <w:p>
            <w:pPr>
              <w:spacing w:after="0"/>
            </w:pPr>
            <w:r>
              <w:t xml:space="preserve">empty</w:t>
            </w:r>
          </w:p>
        </w:tc>
      </w:tr>
      <w:tr>
        <w:trPr>
          <w:cantSplit/>
        </w:trPr>
        <w:tc>
          <w:tcPr>
            <w:tcW w:type="dxa" w:w="6200"/>
            <w:tcMar>
              <w:top w:type="dxa" w:w="70"/>
              <w:left w:type="dxa" w:w="110"/>
              <w:bottom w:type="dxa" w:w="70"/>
              <w:right w:type="dxa" w:w="110"/>
            </w:tcMar>
          </w:tcPr>
          <w:p>
            <w:pPr>
              <w:spacing w:after="0"/>
            </w:pPr>
            <w:r>
              <w:t xml:space="preserve">tenant-a opens one of tenant-b's trace IDs</w:t>
            </w:r>
          </w:p>
        </w:tc>
        <w:tc>
          <w:tcPr>
            <w:tcW w:type="dxa" w:w="3546"/>
            <w:tcMar>
              <w:top w:type="dxa" w:w="70"/>
              <w:left w:type="dxa" w:w="110"/>
              <w:bottom w:type="dxa" w:w="70"/>
              <w:right w:type="dxa" w:w="110"/>
            </w:tcMar>
          </w:tcPr>
          <w:p>
            <w:pPr>
              <w:spacing w:after="0"/>
            </w:pPr>
            <w:r>
              <w:t xml:space="preserve">empty</w:t>
            </w:r>
          </w:p>
        </w:tc>
      </w:tr>
      <w:tr>
        <w:trPr>
          <w:cantSplit/>
        </w:trPr>
        <w:tc>
          <w:tcPr>
            <w:tcW w:type="dxa" w:w="6200"/>
            <w:tcMar>
              <w:top w:type="dxa" w:w="70"/>
              <w:left w:type="dxa" w:w="110"/>
              <w:bottom w:type="dxa" w:w="70"/>
              <w:right w:type="dxa" w:w="110"/>
            </w:tcMar>
          </w:tcPr>
          <w:p>
            <w:pPr>
              <w:spacing w:after="0"/>
            </w:pPr>
            <w:r>
              <w:t xml:space="preserve">tenant-a's key plus </w:t>
            </w:r>
            <w:r>
              <w:rPr>
                <w:rFonts w:ascii="Consolas" w:cs="Consolas" w:eastAsia="Consolas" w:hAnsi="Consolas"/>
                <w:sz w:val="19"/>
                <w:szCs w:val="19"/>
              </w:rPr>
              <w:t xml:space="preserve">X-Scope-OrgID: tenant-b</w:t>
            </w:r>
          </w:p>
        </w:tc>
        <w:tc>
          <w:tcPr>
            <w:tcW w:type="dxa" w:w="3546"/>
            <w:tcMar>
              <w:top w:type="dxa" w:w="70"/>
              <w:left w:type="dxa" w:w="110"/>
              <w:bottom w:type="dxa" w:w="70"/>
              <w:right w:type="dxa" w:w="110"/>
            </w:tcMar>
          </w:tcPr>
          <w:p>
            <w:pPr>
              <w:spacing w:after="0"/>
            </w:pPr>
            <w:r>
              <w:t xml:space="preserve">still tenant-a only</w:t>
            </w:r>
          </w:p>
        </w:tc>
      </w:tr>
      <w:tr>
        <w:trPr>
          <w:cantSplit/>
        </w:trPr>
        <w:tc>
          <w:tcPr>
            <w:tcW w:type="dxa" w:w="6200"/>
            <w:tcMar>
              <w:top w:type="dxa" w:w="70"/>
              <w:left w:type="dxa" w:w="110"/>
              <w:bottom w:type="dxa" w:w="70"/>
              <w:right w:type="dxa" w:w="110"/>
            </w:tcMar>
          </w:tcPr>
          <w:p>
            <w:pPr>
              <w:spacing w:after="0"/>
            </w:pPr>
            <w:r>
              <w:t xml:space="preserve">no key, or an unknown key</w:t>
            </w:r>
          </w:p>
        </w:tc>
        <w:tc>
          <w:tcPr>
            <w:tcW w:type="dxa" w:w="3546"/>
            <w:tcMar>
              <w:top w:type="dxa" w:w="70"/>
              <w:left w:type="dxa" w:w="110"/>
              <w:bottom w:type="dxa" w:w="70"/>
              <w:right w:type="dxa" w:w="110"/>
            </w:tcMar>
          </w:tcPr>
          <w:p>
            <w:pPr>
              <w:spacing w:after="0"/>
            </w:pPr>
            <w:r>
              <w:t xml:space="preserve">refused (401)</w:t>
            </w:r>
          </w:p>
        </w:tc>
      </w:tr>
      <w:tr>
        <w:trPr>
          <w:cantSplit/>
        </w:trPr>
        <w:tc>
          <w:tcPr>
            <w:tcW w:type="dxa" w:w="6200"/>
            <w:tcMar>
              <w:top w:type="dxa" w:w="70"/>
              <w:left w:type="dxa" w:w="110"/>
              <w:bottom w:type="dxa" w:w="70"/>
              <w:right w:type="dxa" w:w="110"/>
            </w:tcMar>
          </w:tcPr>
          <w:p>
            <w:pPr>
              <w:spacing w:after="0"/>
            </w:pPr>
            <w:r>
              <w:t xml:space="preserve">the overrides API through the gateway</w:t>
            </w:r>
          </w:p>
        </w:tc>
        <w:tc>
          <w:tcPr>
            <w:tcW w:type="dxa" w:w="3546"/>
            <w:tcMar>
              <w:top w:type="dxa" w:w="70"/>
              <w:left w:type="dxa" w:w="110"/>
              <w:bottom w:type="dxa" w:w="70"/>
              <w:right w:type="dxa" w:w="110"/>
            </w:tcMar>
          </w:tcPr>
          <w:p>
            <w:pPr>
              <w:spacing w:after="0"/>
            </w:pPr>
            <w:r>
              <w:t xml:space="preserve">refused (403)</w:t>
            </w:r>
          </w:p>
        </w:tc>
      </w:tr>
      <w:tr>
        <w:trPr>
          <w:cantSplit/>
        </w:trPr>
        <w:tc>
          <w:tcPr>
            <w:tcW w:type="dxa" w:w="6200"/>
            <w:tcMar>
              <w:top w:type="dxa" w:w="70"/>
              <w:left w:type="dxa" w:w="110"/>
              <w:bottom w:type="dxa" w:w="70"/>
              <w:right w:type="dxa" w:w="110"/>
            </w:tcMar>
          </w:tcPr>
          <w:p>
            <w:pPr>
              <w:spacing w:after="0"/>
            </w:pPr>
            <w:r>
              <w:t xml:space="preserve">a tenant-a log line's trace_id</w:t>
            </w:r>
          </w:p>
        </w:tc>
        <w:tc>
          <w:tcPr>
            <w:tcW w:type="dxa" w:w="3546"/>
            <w:tcMar>
              <w:top w:type="dxa" w:w="70"/>
              <w:left w:type="dxa" w:w="110"/>
              <w:bottom w:type="dxa" w:w="70"/>
              <w:right w:type="dxa" w:w="110"/>
            </w:tcMar>
          </w:tcPr>
          <w:p>
            <w:pPr>
              <w:spacing w:after="0"/>
            </w:pPr>
            <w:r>
              <w:t xml:space="preserve">opens for tenant-a, empty for tenant-b</w:t>
            </w:r>
          </w:p>
        </w:tc>
      </w:tr>
      <w:tr>
        <w:trPr>
          <w:cantSplit/>
        </w:trPr>
        <w:tc>
          <w:tcPr>
            <w:tcW w:type="dxa" w:w="6200"/>
            <w:tcMar>
              <w:top w:type="dxa" w:w="70"/>
              <w:left w:type="dxa" w:w="110"/>
              <w:bottom w:type="dxa" w:w="70"/>
              <w:right w:type="dxa" w:w="110"/>
            </w:tcMar>
          </w:tcPr>
          <w:p>
            <w:pPr>
              <w:spacing w:after="0"/>
            </w:pPr>
            <w:r>
              <w:t xml:space="preserve">service graph frontend → backend, as tenant-a</w:t>
            </w:r>
          </w:p>
        </w:tc>
        <w:tc>
          <w:tcPr>
            <w:tcW w:type="dxa" w:w="3546"/>
            <w:tcMar>
              <w:top w:type="dxa" w:w="70"/>
              <w:left w:type="dxa" w:w="110"/>
              <w:bottom w:type="dxa" w:w="70"/>
              <w:right w:type="dxa" w:w="110"/>
            </w:tcMar>
          </w:tcPr>
          <w:p>
            <w:pPr>
              <w:spacing w:after="0"/>
            </w:pPr>
            <w:r>
              <w:t xml:space="preserve">present in Mimir</w:t>
            </w:r>
          </w:p>
        </w:tc>
      </w:tr>
      <w:tr>
        <w:trPr>
          <w:cantSplit/>
        </w:trPr>
        <w:tc>
          <w:tcPr>
            <w:tcW w:type="dxa" w:w="6200"/>
            <w:tcMar>
              <w:top w:type="dxa" w:w="70"/>
              <w:left w:type="dxa" w:w="110"/>
              <w:bottom w:type="dxa" w:w="70"/>
              <w:right w:type="dxa" w:w="110"/>
            </w:tcMar>
          </w:tcPr>
          <w:p>
            <w:pPr>
              <w:spacing w:after="0"/>
            </w:pPr>
            <w:r>
              <w:t xml:space="preserve">tenant-a pod → its own receiver / tenant-b's receiver</w:t>
            </w:r>
          </w:p>
        </w:tc>
        <w:tc>
          <w:tcPr>
            <w:tcW w:type="dxa" w:w="3546"/>
            <w:tcMar>
              <w:top w:type="dxa" w:w="70"/>
              <w:left w:type="dxa" w:w="110"/>
              <w:bottom w:type="dxa" w:w="70"/>
              <w:right w:type="dxa" w:w="110"/>
            </w:tcMar>
          </w:tcPr>
          <w:p>
            <w:pPr>
              <w:spacing w:after="0"/>
            </w:pPr>
            <w:r>
              <w:t xml:space="preserve">connects / dropped</w:t>
            </w:r>
          </w:p>
        </w:tc>
      </w:tr>
      <w:tr>
        <w:trPr>
          <w:cantSplit/>
        </w:trPr>
        <w:tc>
          <w:tcPr>
            <w:tcW w:type="dxa" w:w="6200"/>
            <w:tcMar>
              <w:top w:type="dxa" w:w="70"/>
              <w:left w:type="dxa" w:w="110"/>
              <w:bottom w:type="dxa" w:w="70"/>
              <w:right w:type="dxa" w:w="110"/>
            </w:tcMar>
          </w:tcPr>
          <w:p>
            <w:pPr>
              <w:spacing w:after="0"/>
            </w:pPr>
            <w:r>
              <w:t xml:space="preserve">tenant-a pod → Tempo directly</w:t>
            </w:r>
          </w:p>
        </w:tc>
        <w:tc>
          <w:tcPr>
            <w:tcW w:type="dxa" w:w="3546"/>
            <w:tcMar>
              <w:top w:type="dxa" w:w="70"/>
              <w:left w:type="dxa" w:w="110"/>
              <w:bottom w:type="dxa" w:w="70"/>
              <w:right w:type="dxa" w:w="110"/>
            </w:tcMar>
          </w:tcPr>
          <w:p>
            <w:pPr>
              <w:spacing w:after="0"/>
            </w:pPr>
            <w:r>
              <w:t xml:space="preserve">dropped</w:t>
            </w:r>
          </w:p>
        </w:tc>
      </w:tr>
      <w:tr>
        <w:trPr>
          <w:cantSplit/>
        </w:trPr>
        <w:tc>
          <w:tcPr>
            <w:tcW w:type="dxa" w:w="6200"/>
            <w:tcMar>
              <w:top w:type="dxa" w:w="70"/>
              <w:left w:type="dxa" w:w="110"/>
              <w:bottom w:type="dxa" w:w="70"/>
              <w:right w:type="dxa" w:w="110"/>
            </w:tcMar>
          </w:tcPr>
          <w:p>
            <w:pPr>
              <w:spacing w:after="0"/>
            </w:pPr>
            <w:r>
              <w:t xml:space="preserve">pod in </w:t>
            </w:r>
            <w:r>
              <w:rPr>
                <w:rFonts w:ascii="Consolas" w:cs="Consolas" w:eastAsia="Consolas" w:hAnsi="Consolas"/>
                <w:sz w:val="19"/>
                <w:szCs w:val="19"/>
              </w:rPr>
              <w:t xml:space="preserve">default</w:t>
            </w:r>
            <w:r>
              <w:t xml:space="preserve"> → Tempo, or → a receiver</w:t>
            </w:r>
          </w:p>
        </w:tc>
        <w:tc>
          <w:tcPr>
            <w:tcW w:type="dxa" w:w="3546"/>
            <w:tcMar>
              <w:top w:type="dxa" w:w="70"/>
              <w:left w:type="dxa" w:w="110"/>
              <w:bottom w:type="dxa" w:w="70"/>
              <w:right w:type="dxa" w:w="110"/>
            </w:tcMar>
          </w:tcPr>
          <w:p>
            <w:pPr>
              <w:spacing w:after="0"/>
            </w:pPr>
            <w:r>
              <w:t xml:space="preserve">dropped</w:t>
            </w:r>
          </w:p>
        </w:tc>
      </w:tr>
    </w:tbl>
    <w:p>
      <w:pPr>
        <w:spacing w:after="160"/>
      </w:pPr>
    </w:p>
    <w:p>
      <w:pPr>
        <w:spacing w:after="140"/>
      </w:pPr>
      <w:r>
        <w:t xml:space="preserve">By hand, from the repository root: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kubectl -n observability port-forward svc/obs-gateway 3200:3200 &amp;</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source .state/soft-tenancy/credentials.env</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KA="X-Api-Key: ${OBS_KEY_TENANT_A}"; KB="X-Api-Key: ${OBS_KEY_TENANT_B}"</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ID=$(curl -s -H "$KA" 'http://127.0.0.1:3200/api/search?limit=1' | jq -r '.traces[0].traceID')</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curl -s -H "$KA" "http://127.0.0.1:3200/api/v2/traces/${ID}"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jq '[.trace.resourceSpans[]?] | length'     # more than 0</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curl -s -H "$KB" "http://127.0.0.1:3200/api/v2/traces/${ID}"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  | jq '[.trace.resourceSpans[]?] | length'     # 0: not in tenant-b</w:t>
      </w:r>
    </w:p>
    <w:p>
      <w:pPr>
        <w:pStyle w:val="Heading2"/>
      </w:pPr>
      <w:r>
        <w:t xml:space="preserve">Troubleshooting</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2700"/>
        <w:gridCol w:w="3700"/>
        <w:gridCol w:w="3346"/>
      </w:tblGrid>
      <w:tr>
        <w:trPr>
          <w:tblHeader/>
        </w:trPr>
        <w:tc>
          <w:tcPr>
            <w:tcW w:type="dxa" w:w="2700"/>
            <w:shd w:fill="DCE6F1" w:color="auto" w:val="clear"/>
            <w:tcMar>
              <w:top w:type="dxa" w:w="70"/>
              <w:left w:type="dxa" w:w="110"/>
              <w:bottom w:type="dxa" w:w="70"/>
              <w:right w:type="dxa" w:w="110"/>
            </w:tcMar>
          </w:tcPr>
          <w:p>
            <w:pPr>
              <w:spacing w:after="0"/>
            </w:pPr>
            <w:r>
              <w:rPr>
                <w:b/>
                <w:bCs/>
              </w:rPr>
              <w:t xml:space="preserve">Symptom</w:t>
            </w:r>
          </w:p>
        </w:tc>
        <w:tc>
          <w:tcPr>
            <w:tcW w:type="dxa" w:w="3700"/>
            <w:shd w:fill="DCE6F1" w:color="auto" w:val="clear"/>
            <w:tcMar>
              <w:top w:type="dxa" w:w="70"/>
              <w:left w:type="dxa" w:w="110"/>
              <w:bottom w:type="dxa" w:w="70"/>
              <w:right w:type="dxa" w:w="110"/>
            </w:tcMar>
          </w:tcPr>
          <w:p>
            <w:pPr>
              <w:spacing w:after="0"/>
            </w:pPr>
            <w:r>
              <w:rPr>
                <w:b/>
                <w:bCs/>
              </w:rPr>
              <w:t xml:space="preserve">Likely cause</w:t>
            </w:r>
          </w:p>
        </w:tc>
        <w:tc>
          <w:tcPr>
            <w:tcW w:type="dxa" w:w="3346"/>
            <w:shd w:fill="DCE6F1" w:color="auto" w:val="clear"/>
            <w:tcMar>
              <w:top w:type="dxa" w:w="70"/>
              <w:left w:type="dxa" w:w="110"/>
              <w:bottom w:type="dxa" w:w="70"/>
              <w:right w:type="dxa" w:w="110"/>
            </w:tcMar>
          </w:tcPr>
          <w:p>
            <w:pPr>
              <w:spacing w:after="0"/>
            </w:pPr>
            <w:r>
              <w:rPr>
                <w:b/>
                <w:bCs/>
              </w:rPr>
              <w:t xml:space="preserve">What to do</w:t>
            </w:r>
          </w:p>
        </w:tc>
      </w:tr>
      <w:tr>
        <w:trPr>
          <w:cantSplit/>
        </w:trPr>
        <w:tc>
          <w:tcPr>
            <w:tcW w:type="dxa" w:w="2700"/>
            <w:tcMar>
              <w:top w:type="dxa" w:w="70"/>
              <w:left w:type="dxa" w:w="110"/>
              <w:bottom w:type="dxa" w:w="70"/>
              <w:right w:type="dxa" w:w="110"/>
            </w:tcMar>
          </w:tcPr>
          <w:p>
            <w:pPr>
              <w:spacing w:after="0"/>
            </w:pPr>
            <w:r>
              <w:t xml:space="preserve">No traces from an app</w:t>
            </w:r>
          </w:p>
        </w:tc>
        <w:tc>
          <w:tcPr>
            <w:tcW w:type="dxa" w:w="3700"/>
            <w:tcMar>
              <w:top w:type="dxa" w:w="70"/>
              <w:left w:type="dxa" w:w="110"/>
              <w:bottom w:type="dxa" w:w="70"/>
              <w:right w:type="dxa" w:w="110"/>
            </w:tcMar>
          </w:tcPr>
          <w:p>
            <w:pPr>
              <w:spacing w:after="0"/>
            </w:pPr>
            <w:r>
              <w:t xml:space="preserve">The OTLP endpoint is not set, or the app is not instrumented.</w:t>
            </w:r>
          </w:p>
        </w:tc>
        <w:tc>
          <w:tcPr>
            <w:tcW w:type="dxa" w:w="3346"/>
            <w:tcMar>
              <w:top w:type="dxa" w:w="70"/>
              <w:left w:type="dxa" w:w="110"/>
              <w:bottom w:type="dxa" w:w="70"/>
              <w:right w:type="dxa" w:w="110"/>
            </w:tcMar>
          </w:tcPr>
          <w:p>
            <w:pPr>
              <w:spacing w:after="0"/>
            </w:pPr>
            <w:r>
              <w:t xml:space="preserve">Check the env variables. Read the receiver's logs: </w:t>
            </w:r>
            <w:r>
              <w:rPr>
                <w:rFonts w:ascii="Consolas" w:cs="Consolas" w:eastAsia="Consolas" w:hAnsi="Consolas"/>
                <w:sz w:val="19"/>
                <w:szCs w:val="19"/>
              </w:rPr>
              <w:t xml:space="preserve">kubectl -n observability logs deploy/otlp-tenant-a</w:t>
            </w:r>
            <w:r>
              <w:t xml:space="preserve">.</w:t>
            </w:r>
          </w:p>
        </w:tc>
      </w:tr>
      <w:tr>
        <w:trPr>
          <w:cantSplit/>
        </w:trPr>
        <w:tc>
          <w:tcPr>
            <w:tcW w:type="dxa" w:w="2700"/>
            <w:tcMar>
              <w:top w:type="dxa" w:w="70"/>
              <w:left w:type="dxa" w:w="110"/>
              <w:bottom w:type="dxa" w:w="70"/>
              <w:right w:type="dxa" w:w="110"/>
            </w:tcMar>
          </w:tcPr>
          <w:p>
            <w:pPr>
              <w:spacing w:after="0"/>
            </w:pPr>
            <w:r>
              <w:t xml:space="preserve">The app cannot connect to the receiver</w:t>
            </w:r>
          </w:p>
        </w:tc>
        <w:tc>
          <w:tcPr>
            <w:tcW w:type="dxa" w:w="3700"/>
            <w:tcMar>
              <w:top w:type="dxa" w:w="70"/>
              <w:left w:type="dxa" w:w="110"/>
              <w:bottom w:type="dxa" w:w="70"/>
              <w:right w:type="dxa" w:w="110"/>
            </w:tcMar>
          </w:tcPr>
          <w:p>
            <w:pPr>
              <w:spacing w:after="0"/>
            </w:pPr>
            <w:r>
              <w:t xml:space="preserve">Wrong tenant's receiver, or its name is not in the tenant's DNS rule.</w:t>
            </w:r>
          </w:p>
        </w:tc>
        <w:tc>
          <w:tcPr>
            <w:tcW w:type="dxa" w:w="3346"/>
            <w:tcMar>
              <w:top w:type="dxa" w:w="70"/>
              <w:left w:type="dxa" w:w="110"/>
              <w:bottom w:type="dxa" w:w="70"/>
              <w:right w:type="dxa" w:w="110"/>
            </w:tcMar>
          </w:tcPr>
          <w:p>
            <w:pPr>
              <w:spacing w:after="0"/>
            </w:pPr>
            <w:r>
              <w:t xml:space="preserve">Use </w:t>
            </w:r>
            <w:r>
              <w:rPr>
                <w:rFonts w:ascii="Consolas" w:cs="Consolas" w:eastAsia="Consolas" w:hAnsi="Consolas"/>
                <w:sz w:val="19"/>
                <w:szCs w:val="19"/>
              </w:rPr>
              <w:t xml:space="preserve">otlp-&lt;own tenant&gt;</w:t>
            </w:r>
            <w:r>
              <w:t xml:space="preserve">. </w:t>
            </w:r>
            <w:r>
              <w:rPr>
                <w:rFonts w:ascii="Consolas" w:cs="Consolas" w:eastAsia="Consolas" w:hAnsi="Consolas"/>
                <w:sz w:val="19"/>
                <w:szCs w:val="19"/>
              </w:rPr>
              <w:t xml:space="preserve">hubble observe --from-namespace tenant-a --verdict DROPPED</w:t>
            </w:r>
          </w:p>
        </w:tc>
      </w:tr>
      <w:tr>
        <w:trPr>
          <w:cantSplit/>
        </w:trPr>
        <w:tc>
          <w:tcPr>
            <w:tcW w:type="dxa" w:w="2700"/>
            <w:tcMar>
              <w:top w:type="dxa" w:w="70"/>
              <w:left w:type="dxa" w:w="110"/>
              <w:bottom w:type="dxa" w:w="70"/>
              <w:right w:type="dxa" w:w="110"/>
            </w:tcMar>
          </w:tcPr>
          <w:p>
            <w:pPr>
              <w:spacing w:after="0"/>
            </w:pPr>
            <w:r>
              <w:t xml:space="preserve">A trace ID from a log shows nothing</w:t>
            </w:r>
          </w:p>
        </w:tc>
        <w:tc>
          <w:tcPr>
            <w:tcW w:type="dxa" w:w="3700"/>
            <w:tcMar>
              <w:top w:type="dxa" w:w="70"/>
              <w:left w:type="dxa" w:w="110"/>
              <w:bottom w:type="dxa" w:w="70"/>
              <w:right w:type="dxa" w:w="110"/>
            </w:tcMar>
          </w:tcPr>
          <w:p>
            <w:pPr>
              <w:spacing w:after="0"/>
            </w:pPr>
            <w:r>
              <w:t xml:space="preserve">It is not flushed yet, or you are in another tenant's org.</w:t>
            </w:r>
          </w:p>
        </w:tc>
        <w:tc>
          <w:tcPr>
            <w:tcW w:type="dxa" w:w="3346"/>
            <w:tcMar>
              <w:top w:type="dxa" w:w="70"/>
              <w:left w:type="dxa" w:w="110"/>
              <w:bottom w:type="dxa" w:w="70"/>
              <w:right w:type="dxa" w:w="110"/>
            </w:tcMar>
          </w:tcPr>
          <w:p>
            <w:pPr>
              <w:spacing w:after="0"/>
            </w:pPr>
            <w:r>
              <w:t xml:space="preserve">Wait a few seconds; check the org.</w:t>
            </w:r>
          </w:p>
        </w:tc>
      </w:tr>
      <w:tr>
        <w:trPr>
          <w:cantSplit/>
        </w:trPr>
        <w:tc>
          <w:tcPr>
            <w:tcW w:type="dxa" w:w="2700"/>
            <w:tcMar>
              <w:top w:type="dxa" w:w="70"/>
              <w:left w:type="dxa" w:w="110"/>
              <w:bottom w:type="dxa" w:w="70"/>
              <w:right w:type="dxa" w:w="110"/>
            </w:tcMar>
          </w:tcPr>
          <w:p>
            <w:pPr>
              <w:spacing w:after="0"/>
            </w:pPr>
            <w:r>
              <w:t xml:space="preserve">Service graph is empty</w:t>
            </w:r>
          </w:p>
        </w:tc>
        <w:tc>
          <w:tcPr>
            <w:tcW w:type="dxa" w:w="3700"/>
            <w:tcMar>
              <w:top w:type="dxa" w:w="70"/>
              <w:left w:type="dxa" w:w="110"/>
              <w:bottom w:type="dxa" w:w="70"/>
              <w:right w:type="dxa" w:w="110"/>
            </w:tcMar>
          </w:tcPr>
          <w:p>
            <w:pPr>
              <w:spacing w:after="0"/>
            </w:pPr>
            <w:r>
              <w:t xml:space="preserve">Needs both sides of a call in one trace, a few minutes, and Tempo → Mimir allowed.</w:t>
            </w:r>
          </w:p>
        </w:tc>
        <w:tc>
          <w:tcPr>
            <w:tcW w:type="dxa" w:w="3346"/>
            <w:tcMar>
              <w:top w:type="dxa" w:w="70"/>
              <w:left w:type="dxa" w:w="110"/>
              <w:bottom w:type="dxa" w:w="70"/>
              <w:right w:type="dxa" w:w="110"/>
            </w:tcMar>
          </w:tcPr>
          <w:p>
            <w:pPr>
              <w:spacing w:after="0"/>
            </w:pPr>
            <w:r>
              <w:t xml:space="preserve">Check Tempo's logs for remote-write errors.</w:t>
            </w:r>
          </w:p>
        </w:tc>
      </w:tr>
      <w:tr>
        <w:trPr>
          <w:cantSplit/>
        </w:trPr>
        <w:tc>
          <w:tcPr>
            <w:tcW w:type="dxa" w:w="2700"/>
            <w:tcMar>
              <w:top w:type="dxa" w:w="70"/>
              <w:left w:type="dxa" w:w="110"/>
              <w:bottom w:type="dxa" w:w="70"/>
              <w:right w:type="dxa" w:w="110"/>
            </w:tcMar>
          </w:tcPr>
          <w:p>
            <w:pPr>
              <w:spacing w:after="0"/>
            </w:pPr>
            <w:r>
              <w:rPr>
                <w:b/>
                <w:bCs/>
              </w:rPr>
              <w:t xml:space="preserve">Logs for this span</w:t>
            </w:r>
            <w:r>
              <w:t xml:space="preserve"> is empty</w:t>
            </w:r>
          </w:p>
        </w:tc>
        <w:tc>
          <w:tcPr>
            <w:tcW w:type="dxa" w:w="3700"/>
            <w:tcMar>
              <w:top w:type="dxa" w:w="70"/>
              <w:left w:type="dxa" w:w="110"/>
              <w:bottom w:type="dxa" w:w="70"/>
              <w:right w:type="dxa" w:w="110"/>
            </w:tcMar>
          </w:tcPr>
          <w:p>
            <w:pPr>
              <w:spacing w:after="0"/>
            </w:pPr>
            <w:r>
              <w:rPr>
                <w:rFonts w:ascii="Consolas" w:cs="Consolas" w:eastAsia="Consolas" w:hAnsi="Consolas"/>
                <w:sz w:val="19"/>
                <w:szCs w:val="19"/>
              </w:rPr>
              <w:t xml:space="preserve">service.name</w:t>
            </w:r>
            <w:r>
              <w:t xml:space="preserve"> differs from the container name, or the lines carry no trace ID.</w:t>
            </w:r>
          </w:p>
        </w:tc>
        <w:tc>
          <w:tcPr>
            <w:tcW w:type="dxa" w:w="3346"/>
            <w:tcMar>
              <w:top w:type="dxa" w:w="70"/>
              <w:left w:type="dxa" w:w="110"/>
              <w:bottom w:type="dxa" w:w="70"/>
              <w:right w:type="dxa" w:w="110"/>
            </w:tcMar>
          </w:tcPr>
          <w:p>
            <w:pPr>
              <w:spacing w:after="0"/>
            </w:pPr>
            <w:r>
              <w:t xml:space="preserve">Follow the naming rule.</w:t>
            </w:r>
          </w:p>
        </w:tc>
      </w:tr>
      <w:tr>
        <w:trPr>
          <w:cantSplit/>
        </w:trPr>
        <w:tc>
          <w:tcPr>
            <w:tcW w:type="dxa" w:w="2700"/>
            <w:tcMar>
              <w:top w:type="dxa" w:w="70"/>
              <w:left w:type="dxa" w:w="110"/>
              <w:bottom w:type="dxa" w:w="70"/>
              <w:right w:type="dxa" w:w="110"/>
            </w:tcMar>
          </w:tcPr>
          <w:p>
            <w:pPr>
              <w:spacing w:after="0"/>
            </w:pPr>
            <w:r>
              <w:rPr>
                <w:b/>
                <w:bCs/>
              </w:rPr>
              <w:t xml:space="preserve">Profiles</w:t>
            </w:r>
            <w:r>
              <w:t xml:space="preserve"> link is empty</w:t>
            </w:r>
          </w:p>
        </w:tc>
        <w:tc>
          <w:tcPr>
            <w:tcW w:type="dxa" w:w="3700"/>
            <w:tcMar>
              <w:top w:type="dxa" w:w="70"/>
              <w:left w:type="dxa" w:w="110"/>
              <w:bottom w:type="dxa" w:w="70"/>
              <w:right w:type="dxa" w:w="110"/>
            </w:tcMar>
          </w:tcPr>
          <w:p>
            <w:pPr>
              <w:spacing w:after="0"/>
            </w:pPr>
            <w:r>
              <w:t xml:space="preserve">Pyroscope's </w:t>
            </w:r>
            <w:r>
              <w:rPr>
                <w:rFonts w:ascii="Consolas" w:cs="Consolas" w:eastAsia="Consolas" w:hAnsi="Consolas"/>
                <w:sz w:val="19"/>
                <w:szCs w:val="19"/>
              </w:rPr>
              <w:t xml:space="preserve">service_name</w:t>
            </w:r>
            <w:r>
              <w:t xml:space="preserve"> differs from </w:t>
            </w:r>
            <w:r>
              <w:rPr>
                <w:rFonts w:ascii="Consolas" w:cs="Consolas" w:eastAsia="Consolas" w:hAnsi="Consolas"/>
                <w:sz w:val="19"/>
                <w:szCs w:val="19"/>
              </w:rPr>
              <w:t xml:space="preserve">service.name</w:t>
            </w:r>
            <w:r>
              <w:t xml:space="preserve">, or the span is too short to have CPU samples.</w:t>
            </w:r>
          </w:p>
        </w:tc>
        <w:tc>
          <w:tcPr>
            <w:tcW w:type="dxa" w:w="3346"/>
            <w:tcMar>
              <w:top w:type="dxa" w:w="70"/>
              <w:left w:type="dxa" w:w="110"/>
              <w:bottom w:type="dxa" w:w="70"/>
              <w:right w:type="dxa" w:w="110"/>
            </w:tcMar>
          </w:tcPr>
          <w:p>
            <w:pPr>
              <w:spacing w:after="0"/>
            </w:pPr>
            <w:r>
              <w:t xml:space="preserve">Follow the naming rule; widen the time range.</w:t>
            </w:r>
          </w:p>
        </w:tc>
      </w:tr>
      <w:tr>
        <w:trPr>
          <w:cantSplit/>
        </w:trPr>
        <w:tc>
          <w:tcPr>
            <w:tcW w:type="dxa" w:w="2700"/>
            <w:tcMar>
              <w:top w:type="dxa" w:w="70"/>
              <w:left w:type="dxa" w:w="110"/>
              <w:bottom w:type="dxa" w:w="70"/>
              <w:right w:type="dxa" w:w="110"/>
            </w:tcMar>
          </w:tcPr>
          <w:p>
            <w:pPr>
              <w:spacing w:after="0"/>
            </w:pPr>
            <w:r>
              <w:rPr>
                <w:rFonts w:ascii="Consolas" w:cs="Consolas" w:eastAsia="Consolas" w:hAnsi="Consolas"/>
                <w:sz w:val="19"/>
                <w:szCs w:val="19"/>
              </w:rPr>
              <w:t xml:space="preserve">RATE_LIMITED</w:t>
            </w:r>
            <w:r>
              <w:t xml:space="preserve"> in the receiver's logs</w:t>
            </w:r>
          </w:p>
        </w:tc>
        <w:tc>
          <w:tcPr>
            <w:tcW w:type="dxa" w:w="3700"/>
            <w:tcMar>
              <w:top w:type="dxa" w:w="70"/>
              <w:left w:type="dxa" w:w="110"/>
              <w:bottom w:type="dxa" w:w="70"/>
              <w:right w:type="dxa" w:w="110"/>
            </w:tcMar>
          </w:tcPr>
          <w:p>
            <w:pPr>
              <w:spacing w:after="0"/>
            </w:pPr>
            <w:r>
              <w:t xml:space="preserve">The tenant is over its ingestion limit.</w:t>
            </w:r>
          </w:p>
        </w:tc>
        <w:tc>
          <w:tcPr>
            <w:tcW w:type="dxa" w:w="3346"/>
            <w:tcMar>
              <w:top w:type="dxa" w:w="70"/>
              <w:left w:type="dxa" w:w="110"/>
              <w:bottom w:type="dxa" w:w="70"/>
              <w:right w:type="dxa" w:w="110"/>
            </w:tcMar>
          </w:tcPr>
          <w:p>
            <w:pPr>
              <w:spacing w:after="0"/>
            </w:pPr>
            <w:r>
              <w:t xml:space="preserve">Raise it in </w:t>
            </w:r>
            <w:r>
              <w:rPr>
                <w:rFonts w:ascii="Consolas" w:cs="Consolas" w:eastAsia="Consolas" w:hAnsi="Consolas"/>
                <w:sz w:val="19"/>
                <w:szCs w:val="19"/>
              </w:rPr>
              <w:t xml:space="preserve">per_tenant_overrides</w:t>
            </w:r>
            <w:r>
              <w:t xml:space="preserve"> if justified.</w:t>
            </w:r>
          </w:p>
        </w:tc>
      </w:tr>
    </w:tbl>
    <w:p>
      <w:pPr>
        <w:spacing w:after="160"/>
      </w:pPr>
    </w:p>
    <w:p>
      <w:pPr>
        <w:pStyle w:val="Heading2"/>
      </w:pPr>
      <w:r>
        <w:t xml:space="preserve">Going to production</w:t>
      </w:r>
    </w:p>
    <w:p>
      <w:pPr>
        <w:pStyle w:val="ListParagraph"/>
        <w:numPr>
          <w:ilvl w:val="0"/>
          <w:numId w:val="2"/>
        </w:numPr>
        <w:spacing w:after="70"/>
      </w:pPr>
      <w:r>
        <w:rPr>
          <w:b/>
          <w:bCs/>
        </w:rPr>
        <w:t xml:space="preserve">The distributed chart,</w:t>
      </w:r>
      <w:r>
        <w:t xml:space="preserve"> with object storage. Each tenant's blocks sit under its own prefix in the bucket.</w:t>
      </w:r>
    </w:p>
    <w:p>
      <w:pPr>
        <w:pStyle w:val="ListParagraph"/>
        <w:numPr>
          <w:ilvl w:val="0"/>
          <w:numId w:val="2"/>
        </w:numPr>
        <w:spacing w:after="70"/>
      </w:pPr>
      <w:r>
        <w:rPr>
          <w:b/>
          <w:bCs/>
        </w:rPr>
        <w:t xml:space="preserve">Receivers:</w:t>
      </w:r>
      <w:r>
        <w:t xml:space="preserve"> scale each tenant's receiver on its own (HPA), and use TLS from app to receiver to Tempo.</w:t>
      </w:r>
    </w:p>
    <w:p>
      <w:pPr>
        <w:pStyle w:val="ListParagraph"/>
        <w:numPr>
          <w:ilvl w:val="0"/>
          <w:numId w:val="2"/>
        </w:numPr>
        <w:spacing w:after="70"/>
      </w:pPr>
      <w:r>
        <w:rPr>
          <w:b/>
          <w:bCs/>
        </w:rPr>
        <w:t xml:space="preserve">Sampling per tenant:</w:t>
      </w:r>
      <w:r>
        <w:t xml:space="preserve"> the per-tenant receiver is the natural place for a tenant's own tail-sampling rules.</w:t>
      </w:r>
    </w:p>
    <w:p>
      <w:pPr>
        <w:pStyle w:val="ListParagraph"/>
        <w:numPr>
          <w:ilvl w:val="0"/>
          <w:numId w:val="2"/>
        </w:numPr>
        <w:spacing w:after="70"/>
      </w:pPr>
      <w:r>
        <w:rPr>
          <w:b/>
          <w:bCs/>
        </w:rPr>
        <w:t xml:space="preserve">Retention and limits per tenant,</w:t>
      </w:r>
      <w:r>
        <w:t xml:space="preserve"> in </w:t>
      </w:r>
      <w:r>
        <w:rPr>
          <w:rFonts w:ascii="Consolas" w:cs="Consolas" w:eastAsia="Consolas" w:hAnsi="Consolas"/>
          <w:sz w:val="19"/>
          <w:szCs w:val="19"/>
        </w:rPr>
        <w:t xml:space="preserve">per_tenant_overrides</w:t>
      </w:r>
      <w:r>
        <w:t xml:space="preserve">, sized from real usage.</w:t>
      </w:r>
    </w:p>
    <w:p>
      <w:pPr>
        <w:pStyle w:val="ListParagraph"/>
        <w:numPr>
          <w:ilvl w:val="0"/>
          <w:numId w:val="2"/>
        </w:numPr>
        <w:spacing w:after="70"/>
      </w:pPr>
      <w:r>
        <w:rPr>
          <w:b/>
          <w:bCs/>
        </w:rPr>
        <w:t xml:space="preserve">The overrides API</w:t>
      </w:r>
      <w:r>
        <w:t xml:space="preserve"> stays closed to tenants.</w:t>
      </w:r>
    </w:p>
    <w:p>
      <w:pPr>
        <w:pStyle w:val="Heading2"/>
      </w:pPr>
      <w:r>
        <w:t xml:space="preserve">FAQ</w:t>
      </w:r>
    </w:p>
    <w:p>
      <w:pPr>
        <w:spacing w:after="140"/>
      </w:pPr>
      <w:r>
        <w:rPr>
          <w:b/>
          <w:bCs/>
        </w:rPr>
        <w:t xml:space="preserve">Can tenant-a send spans as tenant-b by setting </w:t>
      </w:r>
      <w:r>
        <w:rPr>
          <w:rFonts w:ascii="Consolas" w:cs="Consolas" w:eastAsia="Consolas" w:hAnsi="Consolas"/>
          <w:b/>
          <w:bCs/>
          <w:sz w:val="19"/>
          <w:szCs w:val="19"/>
        </w:rPr>
        <w:t xml:space="preserve">X-Scope-OrgID</w:t>
      </w:r>
      <w:r>
        <w:rPr>
          <w:b/>
          <w:bCs/>
        </w:rPr>
        <w:t xml:space="preserve">?</w:t>
      </w:r>
      <w:r>
        <w:t xml:space="preserve"> No. The receiver does not forward the app's headers; it sets its own.</w:t>
      </w:r>
    </w:p>
    <w:p>
      <w:pPr>
        <w:spacing w:after="140"/>
      </w:pPr>
      <w:r>
        <w:rPr>
          <w:b/>
          <w:bCs/>
        </w:rPr>
        <w:t xml:space="preserve">Can tenant-a send to tenant-b's receiver?</w:t>
      </w:r>
      <w:r>
        <w:t xml:space="preserve"> No. The name does not resolve for tenant-a, and Cilium drops the connection anyway.</w:t>
      </w:r>
    </w:p>
    <w:p>
      <w:pPr>
        <w:spacing w:after="140"/>
      </w:pPr>
      <w:r>
        <w:rPr>
          <w:b/>
          <w:bCs/>
        </w:rPr>
        <w:t xml:space="preserve">What about a call from tenant-a to tenant-b?</w:t>
      </w:r>
      <w:r>
        <w:t xml:space="preserve"> The network forbids it. If a shared service is ever allowed, each tenant would see only its own half of such a trace.</w:t>
      </w:r>
    </w:p>
    <w:p>
      <w:pPr>
        <w:spacing w:after="140"/>
      </w:pPr>
      <w:r>
        <w:rPr>
          <w:b/>
          <w:bCs/>
        </w:rPr>
        <w:t xml:space="preserve">Can apps use Jaeger or Zipkin?</w:t>
      </w:r>
      <w:r>
        <w:t xml:space="preserve"> Not as set up: the receivers only accept OTLP gRPC. Adding another protocol means a change to the receiver configuration, done by the platform.</w:t>
      </w:r>
    </w:p>
    <w:p>
      <w:pPr>
        <w:spacing w:after="140"/>
      </w:pPr>
      <w:r>
        <w:rPr>
          <w:b/>
          <w:bCs/>
        </w:rPr>
        <w:t xml:space="preserve">Why can't tenant pods reach the gateway?</w:t>
      </w:r>
      <w:r>
        <w:t xml:space="preserve"> The read path is for Grafana. Tenants query through their org.</w:t>
      </w:r>
    </w:p>
    <w:p>
      <w:pPr>
        <w:pStyle w:val="Heading2"/>
      </w:pPr>
      <w:r>
        <w:t xml:space="preserve">Related</w:t>
      </w:r>
    </w:p>
    <w:p>
      <w:pPr>
        <w:pStyle w:val="ListParagraph"/>
        <w:numPr>
          <w:ilvl w:val="0"/>
          <w:numId w:val="2"/>
        </w:numPr>
        <w:spacing w:after="70"/>
      </w:pPr>
      <w:r>
        <w:rPr>
          <w:b/>
          <w:bCs/>
        </w:rPr>
        <w:t xml:space="preserve">Per-tenant observability: the basics</w:t>
      </w:r>
      <w:r>
        <w:t xml:space="preserve"> (the whole stack on one page).</w:t>
      </w:r>
    </w:p>
    <w:p>
      <w:pPr>
        <w:pStyle w:val="ListParagraph"/>
        <w:numPr>
          <w:ilvl w:val="0"/>
          <w:numId w:val="2"/>
        </w:numPr>
        <w:spacing w:after="70"/>
      </w:pPr>
      <w:r>
        <w:t xml:space="preserve">The other component pages: </w:t>
      </w:r>
      <w:r>
        <w:rPr>
          <w:b/>
          <w:bCs/>
        </w:rPr>
        <w:t xml:space="preserve">Loki</w:t>
      </w:r>
      <w:r>
        <w:t xml:space="preserve">, </w:t>
      </w:r>
      <w:r>
        <w:rPr>
          <w:b/>
          <w:bCs/>
        </w:rPr>
        <w:t xml:space="preserve">Mimir</w:t>
      </w:r>
      <w:r>
        <w:t xml:space="preserve">, </w:t>
      </w:r>
      <w:r>
        <w:rPr>
          <w:b/>
          <w:bCs/>
        </w:rPr>
        <w:t xml:space="preserve">Pyroscope</w:t>
      </w:r>
      <w:r>
        <w:t xml:space="preserve">.</w:t>
      </w:r>
    </w:p>
    <w:p>
      <w:pPr>
        <w:pStyle w:val="ListParagraph"/>
        <w:numPr>
          <w:ilvl w:val="0"/>
          <w:numId w:val="2"/>
        </w:numPr>
        <w:spacing w:after="70"/>
      </w:pPr>
      <w:r>
        <w:rPr>
          <w:b/>
          <w:bCs/>
        </w:rPr>
        <w:t xml:space="preserve">Soft tenancy with Cilium: the basics</w:t>
      </w:r>
      <w:r>
        <w:t xml:space="preserve"> (how tenants are kept apart on the network).</w:t>
      </w:r>
    </w:p>
    <w:p>
      <w:pPr>
        <w:pStyle w:val="ListParagraph"/>
        <w:numPr>
          <w:ilvl w:val="0"/>
          <w:numId w:val="2"/>
        </w:numPr>
        <w:spacing w:after="70"/>
      </w:pPr>
      <w:r>
        <w:t xml:space="preserve">The lab: </w:t>
      </w:r>
      <w:r>
        <w:rPr>
          <w:rFonts w:ascii="Consolas" w:cs="Consolas" w:eastAsia="Consolas" w:hAnsi="Consolas"/>
          <w:sz w:val="19"/>
          <w:szCs w:val="19"/>
        </w:rPr>
        <w:t xml:space="preserve">soft-tenancy/</w:t>
      </w:r>
      <w:r>
        <w:t xml:space="preserve"> in the instant-rke2-lab repository, steps 06 to 11.</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outlineLvl w:val="0"/>
    </w:pPr>
    <w:rPr>
      <w:rFonts w:ascii="Calibri" w:cs="Calibri" w:eastAsia="Calibri" w:hAnsi="Calibri"/>
      <w:b/>
      <w:bCs/>
      <w:color w:val="1F3864"/>
      <w:sz w:val="40"/>
      <w:szCs w:val="40"/>
    </w:rPr>
  </w:style>
  <w:style w:type="paragraph" w:styleId="Heading2">
    <w:name w:val="Heading 2"/>
    <w:basedOn w:val="Normal"/>
    <w:next w:val="Normal"/>
    <w:qFormat/>
    <w:pPr>
      <w:keepNext/>
      <w:spacing w:after="120" w:before="360"/>
      <w:outlineLvl w:val="1"/>
    </w:pPr>
    <w:rPr>
      <w:rFonts w:ascii="Calibri" w:cs="Calibri" w:eastAsia="Calibri" w:hAnsi="Calibri"/>
      <w:b/>
      <w:bCs/>
      <w:color w:val="2E5C8A"/>
      <w:sz w:val="30"/>
      <w:szCs w:val="30"/>
    </w:rPr>
  </w:style>
  <w:style w:type="paragraph" w:styleId="Heading3">
    <w:name w:val="Heading 3"/>
    <w:basedOn w:val="Normal"/>
    <w:next w:val="Normal"/>
    <w:qFormat/>
    <w:pPr>
      <w:keepNext/>
      <w:spacing w:after="100" w:before="24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1708b4862c217209fb31d609612064a0abe0ef.svg"/><Relationship Id="rId8" Type="http://schemas.openxmlformats.org/officeDocument/2006/relationships/image" Target="media/eed95835dfb72b7e8fd57e131e468fd79913215d.png"/><Relationship Id="rId9" Type="http://schemas.openxmlformats.org/officeDocument/2006/relationships/image" Target="media/5fe8e965640ec580cdf6222cdc8daf4c5061fc38.svg"/><Relationship Id="rId10" Type="http://schemas.openxmlformats.org/officeDocument/2006/relationships/image" Target="media/b0bee835b4a37bf95cd0444d0662a7e05c3e1ef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 per-tenant traces</dc:title>
  <dc:creator>Platform team</dc:creator>
  <cp:lastModifiedBy>Un-named</cp:lastModifiedBy>
  <cp:revision>1</cp:revision>
  <dcterms:created xsi:type="dcterms:W3CDTF">2026-09-22T14:30:31.168Z</dcterms:created>
  <dcterms:modified xsi:type="dcterms:W3CDTF">2026-09-22T14:30:31.168Z</dcterms:modified>
</cp:coreProperties>
</file>

<file path=docProps/custom.xml><?xml version="1.0" encoding="utf-8"?>
<Properties xmlns="http://schemas.openxmlformats.org/officeDocument/2006/custom-properties" xmlns:vt="http://schemas.openxmlformats.org/officeDocument/2006/docPropsVTypes"/>
</file>