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Confluence pages: soft tenancy</w:t>
      </w:r>
    </w:p>
    <w:p>
      <w:pPr>
        <w:spacing w:after="140"/>
      </w:pPr>
      <w:r>
        <w:t xml:space="preserve">Six team-facing pages with architecture diagrams as images. Pages 1 and 2 explain the basics; pages 3 to 6 go deeper, one per observability backend. The full step-by-step implementation is in </w:t>
      </w:r>
      <w:r>
        <w:rPr>
          <w:rFonts w:ascii="Consolas" w:cs="Consolas" w:eastAsia="Consolas" w:hAnsi="Consolas"/>
          <w:sz w:val="19"/>
          <w:szCs w:val="19"/>
        </w:rPr>
        <w:t xml:space="preserve">../soft-multi-tenancy-guide.docx</w:t>
      </w:r>
      <w:r>
        <w:t xml:space="preserve">.</w:t>
      </w:r>
    </w:p>
    <w:tbl>
      <w:tblPr>
        <w:tblW w:type="dxa" w:w="9746"/>
        <w:tblBorders>
          <w:top w:val="single" w:color="BFC8D4" w:sz="4"/>
          <w:left w:val="single" w:color="BFC8D4" w:sz="4"/>
          <w:bottom w:val="single" w:color="BFC8D4" w:sz="4"/>
          <w:right w:val="single" w:color="BFC8D4" w:sz="4"/>
          <w:insideH w:val="single" w:color="BFC8D4" w:sz="4"/>
          <w:insideV w:val="single" w:color="BFC8D4" w:sz="4"/>
        </w:tblBorders>
      </w:tblPr>
      <w:tblGrid>
        <w:gridCol w:w="5357"/>
        <w:gridCol w:w="4389"/>
      </w:tblGrid>
      <w:tr>
        <w:trPr>
          <w:cantSplit/>
          <w:tblHeader/>
        </w:trPr>
        <w:tc>
          <w:tcPr>
            <w:tcW w:type="dxa" w:w="535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4389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Confluence page</w:t>
            </w:r>
          </w:p>
        </w:tc>
      </w:tr>
      <w:tr>
        <w:trPr>
          <w:cantSplit/>
          <w:tblHeader w:val="false"/>
        </w:trPr>
        <w:tc>
          <w:tcPr>
            <w:tcW w:type="dxa" w:w="53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01-soft-tenancy-with-cilium.docx</w:t>
            </w:r>
          </w:p>
        </w:tc>
        <w:tc>
          <w:tcPr>
            <w:tcW w:type="dxa" w:w="43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Soft tenancy with Cilium: the basics</w:t>
            </w:r>
            <w:r>
              <w:t xml:space="preserve">: isolation, identities, deny rules, DNS filtering, guardrail layers, ingress with kgateway</w:t>
            </w:r>
          </w:p>
        </w:tc>
      </w:tr>
      <w:tr>
        <w:trPr>
          <w:cantSplit/>
          <w:tblHeader w:val="false"/>
        </w:trPr>
        <w:tc>
          <w:tcPr>
            <w:tcW w:type="dxa" w:w="53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02-per-tenant-observability.docx</w:t>
            </w:r>
          </w:p>
        </w:tc>
        <w:tc>
          <w:tcPr>
            <w:tcW w:type="dxa" w:w="43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Per-tenant observability: the basics</w:t>
            </w:r>
            <w:r>
              <w:t xml:space="preserve">: the whole Grafana stack on one page, the read gateway, pulled signals, per-tenant trace receivers, Grafana orgs, the podinfo workload, lockdown</w:t>
            </w:r>
          </w:p>
        </w:tc>
      </w:tr>
      <w:tr>
        <w:trPr>
          <w:cantSplit/>
          <w:tblHeader w:val="false"/>
        </w:trPr>
        <w:tc>
          <w:tcPr>
            <w:tcW w:type="dxa" w:w="53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03-loki.docx</w:t>
            </w:r>
          </w:p>
        </w:tc>
        <w:tc>
          <w:tcPr>
            <w:tcW w:type="dxa" w:w="43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Loki: per-tenant logs</w:t>
            </w:r>
          </w:p>
        </w:tc>
      </w:tr>
      <w:tr>
        <w:trPr>
          <w:cantSplit/>
          <w:tblHeader w:val="false"/>
        </w:trPr>
        <w:tc>
          <w:tcPr>
            <w:tcW w:type="dxa" w:w="53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04-mimir.docx</w:t>
            </w:r>
          </w:p>
        </w:tc>
        <w:tc>
          <w:tcPr>
            <w:tcW w:type="dxa" w:w="43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Mimir: per-tenant metrics</w:t>
            </w:r>
          </w:p>
        </w:tc>
      </w:tr>
      <w:tr>
        <w:trPr>
          <w:cantSplit/>
          <w:tblHeader w:val="false"/>
        </w:trPr>
        <w:tc>
          <w:tcPr>
            <w:tcW w:type="dxa" w:w="53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05-tempo.docx</w:t>
            </w:r>
          </w:p>
        </w:tc>
        <w:tc>
          <w:tcPr>
            <w:tcW w:type="dxa" w:w="43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Tempo: per-tenant traces</w:t>
            </w:r>
          </w:p>
        </w:tc>
      </w:tr>
      <w:tr>
        <w:trPr>
          <w:cantSplit/>
          <w:tblHeader w:val="false"/>
        </w:trPr>
        <w:tc>
          <w:tcPr>
            <w:tcW w:type="dxa" w:w="53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06-pyroscope.docx</w:t>
            </w:r>
          </w:p>
        </w:tc>
        <w:tc>
          <w:tcPr>
            <w:tcW w:type="dxa" w:w="43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Pyroscope: per-tenant profiles</w:t>
            </w:r>
          </w:p>
        </w:tc>
      </w:tr>
      <w:tr>
        <w:trPr>
          <w:cantSplit/>
          <w:tblHeader w:val="false"/>
        </w:trPr>
        <w:tc>
          <w:tcPr>
            <w:tcW w:type="dxa" w:w="53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images/*.svg</w:t>
            </w:r>
            <w:r>
              <w:t xml:space="preserve"> and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images/*.png</w:t>
            </w:r>
          </w:p>
        </w:tc>
        <w:tc>
          <w:tcPr>
            <w:tcW w:type="dxa" w:w="43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The 20 diagrams, one file each, as SVG and as PNG (100%, 960 px wide)</w:t>
            </w:r>
          </w:p>
        </w:tc>
      </w:tr>
    </w:tbl>
    <w:p>
      <w:pPr>
        <w:spacing w:after="140"/>
      </w:pPr>
    </w:p>
    <w:p>
      <w:pPr>
        <w:spacing w:after="140"/>
      </w:pPr>
      <w:r>
        <w:t xml:space="preserve">Pages 3 to 6 share the same topics, in the same order, so the team can compare the backends: what it does here, where it sits, how tenants are kept apart, write path, read path, our configuration, per-tenant limits, network lockdown, using it as a tenant, how we verify it, troubleshooting, going to production, FAQ. A good Confluence layout is a parent page "Per-tenant observability" (page 2) with pages 3 to 6 as its children.</w:t>
      </w:r>
    </w:p>
    <w:p>
      <w:pPr>
        <w:pStyle w:val="Heading2"/>
      </w:pPr>
      <w:r>
        <w:t xml:space="preserve">Getting them into Confluence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Create the page and use the first heading of the Word file as the page title.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Copy everything below that heading from Word and paste it into the page.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Check the diagrams. Each image in the Word file has a caption under it, for example </w:t>
      </w:r>
      <w:r>
        <w:rPr>
          <w:rFonts w:ascii="Consolas" w:cs="Consolas" w:eastAsia="Consolas" w:hAnsi="Consolas"/>
          <w:sz w:val="19"/>
          <w:szCs w:val="19"/>
        </w:rPr>
        <w:t xml:space="preserve">Diagram: images/loki-flow.svg (or .png)</w:t>
      </w:r>
      <w:r>
        <w:t xml:space="preserve">. If an image didn't come through the paste, drag that SVG or PNG file from </w:t>
      </w:r>
      <w:r>
        <w:rPr>
          <w:rFonts w:ascii="Consolas" w:cs="Consolas" w:eastAsia="Consolas" w:hAnsi="Consolas"/>
          <w:sz w:val="19"/>
          <w:szCs w:val="19"/>
        </w:rPr>
        <w:t xml:space="preserve">images/</w:t>
      </w:r>
      <w:r>
        <w:t xml:space="preserve"> onto the same spot and delete the caption. Use the PNG if your Confluence doesn't render SVG attachments.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Code snippets paste as plain text. Select each one and turn it into a code block (type </w:t>
      </w:r>
      <w:r>
        <w:rPr>
          <w:rFonts w:ascii="Consolas" w:cs="Consolas" w:eastAsia="Consolas" w:hAnsi="Consolas"/>
          <w:sz w:val="19"/>
          <w:szCs w:val="19"/>
        </w:rPr>
        <w:t xml:space="preserve">/code</w:t>
      </w:r>
      <w:r>
        <w:t xml:space="preserve">, or use the toolbar).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Pages 3 to 6: replace the "On this page" list with a Table of Contents macro (type </w:t>
      </w:r>
      <w:r>
        <w:rPr>
          <w:rFonts w:ascii="Consolas" w:cs="Consolas" w:eastAsia="Consolas" w:hAnsi="Consolas"/>
          <w:sz w:val="19"/>
          <w:szCs w:val="19"/>
        </w:rPr>
        <w:t xml:space="preserve">/toc</w:t>
      </w:r>
      <w:r>
        <w:t xml:space="preserve">). It builds the same list from the headings, with links.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 the "Next" / "Related" sections, turn the bold page names into links.</w:t>
      </w:r>
    </w:p>
    <w:p>
      <w:pPr>
        <w:spacing w:after="140"/>
      </w:pPr>
      <w:r>
        <w:t xml:space="preserve">The diagrams have a white background, so they stay readable in Confluence's dark theme. The SVGs contain no scripts or external fonts.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28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0"/>
      <w:outlineLvl w:val="0"/>
    </w:pPr>
    <w:rPr>
      <w:rFonts w:ascii="Calibri" w:cs="Calibri" w:eastAsia="Calibri" w:hAnsi="Calibri"/>
      <w:b/>
      <w:bCs/>
      <w:color w:val="1F3864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120" w:before="360"/>
      <w:outlineLvl w:val="1"/>
    </w:pPr>
    <w:rPr>
      <w:rFonts w:ascii="Calibri" w:cs="Calibri" w:eastAsia="Calibri" w:hAnsi="Calibri"/>
      <w:b/>
      <w:bCs/>
      <w:color w:val="2E5C8A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spacing w:after="100" w:before="280"/>
      <w:outlineLvl w:val="2"/>
    </w:pPr>
    <w:rPr>
      <w:rFonts w:ascii="Calibri" w:cs="Calibri" w:eastAsia="Calibri" w:hAnsi="Calibri"/>
      <w:b/>
      <w:bCs/>
      <w:color w:val="1F3864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paste into Confluence</dc:title>
  <dc:creator>Platform team</dc:creator>
  <cp:lastModifiedBy>Un-named</cp:lastModifiedBy>
  <cp:revision>1</cp:revision>
  <dcterms:created xsi:type="dcterms:W3CDTF">2026-09-22T14:34:55.875Z</dcterms:created>
  <dcterms:modified xsi:type="dcterms:W3CDTF">2026-09-22T14:34:55.876Z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