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F9" w:rsidRDefault="006B495B" w:rsidP="004240D0">
      <w:pPr>
        <w:spacing w:line="480" w:lineRule="auto"/>
        <w:rPr>
          <w:rFonts w:ascii="Times New Roman" w:hAnsi="Times New Roman"/>
        </w:rPr>
      </w:pPr>
      <w:r>
        <w:rPr>
          <w:rFonts w:ascii="Times New Roman" w:hAnsi="Times New Roman"/>
        </w:rPr>
        <w:tab/>
      </w:r>
      <w:r w:rsidR="00D74DC6">
        <w:rPr>
          <w:rFonts w:ascii="Times New Roman" w:hAnsi="Times New Roman"/>
        </w:rPr>
        <w:t>While use of the Internet has increased dramatically in the past few years as a medium for crisis communication techniques, the use of it can vary depending on the organiz</w:t>
      </w:r>
      <w:r w:rsidR="005C32BB">
        <w:rPr>
          <w:rFonts w:ascii="Times New Roman" w:hAnsi="Times New Roman"/>
        </w:rPr>
        <w:t xml:space="preserve">ation.  </w:t>
      </w:r>
      <w:r w:rsidR="003B605F">
        <w:rPr>
          <w:rFonts w:ascii="Times New Roman" w:hAnsi="Times New Roman"/>
        </w:rPr>
        <w:t>Perry, Taylor, &amp; Doerfel</w:t>
      </w:r>
      <w:r w:rsidR="00D74DC6">
        <w:rPr>
          <w:rFonts w:ascii="Times New Roman" w:hAnsi="Times New Roman"/>
        </w:rPr>
        <w:t xml:space="preserve"> (2003) found that organizations of all kinds are taking advantage of the “real time” nature of the medium to quickly convey news to their key publics.  As one might expect, this has implications beyond a single industry and seemingly is not limited by the type of crisis that a company is experiencing.  </w:t>
      </w:r>
      <w:r w:rsidR="00B900D7">
        <w:rPr>
          <w:rFonts w:ascii="Times New Roman" w:hAnsi="Times New Roman"/>
        </w:rPr>
        <w:t>In some cases, traditional public relations tools are adapted to match the public’s expectation for news on the Internet, even if those traditional methods are still useful for certain audiences.  Still, it is important to remember that using the Internet as a means of crisis res</w:t>
      </w:r>
      <w:r w:rsidR="00FB7B2E">
        <w:rPr>
          <w:rFonts w:ascii="Times New Roman" w:hAnsi="Times New Roman"/>
        </w:rPr>
        <w:t xml:space="preserve">ponse is not appropriate for every company or situation and the specific nature of the crisis should be carefully considered to determine if the Internet provides the proper medium for the organization’s response.  </w:t>
      </w:r>
    </w:p>
    <w:p w:rsidR="00FA7116" w:rsidRDefault="00D637F9" w:rsidP="004240D0">
      <w:pPr>
        <w:spacing w:line="480" w:lineRule="auto"/>
        <w:rPr>
          <w:rFonts w:ascii="Times New Roman" w:hAnsi="Times New Roman"/>
        </w:rPr>
      </w:pPr>
      <w:r>
        <w:rPr>
          <w:rFonts w:ascii="Times New Roman" w:hAnsi="Times New Roman"/>
        </w:rPr>
        <w:tab/>
      </w:r>
      <w:r w:rsidR="005B2903">
        <w:rPr>
          <w:rFonts w:ascii="Times New Roman" w:hAnsi="Times New Roman"/>
        </w:rPr>
        <w:t xml:space="preserve">A number of recent crises </w:t>
      </w:r>
      <w:r w:rsidR="00A95BD5">
        <w:rPr>
          <w:rFonts w:ascii="Times New Roman" w:hAnsi="Times New Roman"/>
        </w:rPr>
        <w:t>illustrate</w:t>
      </w:r>
      <w:r w:rsidR="005B2903">
        <w:rPr>
          <w:rFonts w:ascii="Times New Roman" w:hAnsi="Times New Roman"/>
        </w:rPr>
        <w:t xml:space="preserve"> just how organizations are using the Internet to communicate with key stakeholders and no two are exactly alike.  In particular, the crisis communication strategies employed by BP after the </w:t>
      </w:r>
      <w:r w:rsidR="009C16D9">
        <w:rPr>
          <w:rFonts w:ascii="Times New Roman" w:hAnsi="Times New Roman"/>
        </w:rPr>
        <w:t xml:space="preserve">2010 </w:t>
      </w:r>
      <w:r w:rsidR="005B2903">
        <w:rPr>
          <w:rFonts w:ascii="Times New Roman" w:hAnsi="Times New Roman"/>
        </w:rPr>
        <w:t xml:space="preserve">Gulf oil spill and Dell’s response </w:t>
      </w:r>
      <w:r w:rsidR="009C16D9">
        <w:rPr>
          <w:rFonts w:ascii="Times New Roman" w:hAnsi="Times New Roman"/>
        </w:rPr>
        <w:t xml:space="preserve">in 2006 </w:t>
      </w:r>
      <w:r w:rsidR="005B2903">
        <w:rPr>
          <w:rFonts w:ascii="Times New Roman" w:hAnsi="Times New Roman"/>
        </w:rPr>
        <w:t>to a potential fire hazard involving the batteries in its po</w:t>
      </w:r>
      <w:r w:rsidR="005C32BB">
        <w:rPr>
          <w:rFonts w:ascii="Times New Roman" w:hAnsi="Times New Roman"/>
        </w:rPr>
        <w:t xml:space="preserve">rtable computers demonstrate that </w:t>
      </w:r>
      <w:r w:rsidR="003F0BD5">
        <w:rPr>
          <w:rFonts w:ascii="Times New Roman" w:hAnsi="Times New Roman"/>
        </w:rPr>
        <w:t xml:space="preserve">any business can use the Internet as part of a broader crisis response plan.  </w:t>
      </w:r>
      <w:r w:rsidR="00742C98">
        <w:rPr>
          <w:rFonts w:ascii="Times New Roman" w:hAnsi="Times New Roman"/>
        </w:rPr>
        <w:t>Through these crises, t</w:t>
      </w:r>
      <w:r w:rsidR="00FA7116">
        <w:rPr>
          <w:rFonts w:ascii="Times New Roman" w:hAnsi="Times New Roman"/>
        </w:rPr>
        <w:t xml:space="preserve">he organizations needed to identify how to respond and quickly determine the severity of the crisis they faced.  In addition, each firm serves as an example to their respective industries about what constitutes an appropriate </w:t>
      </w:r>
      <w:r w:rsidR="00A86C14">
        <w:rPr>
          <w:rFonts w:ascii="Times New Roman" w:hAnsi="Times New Roman"/>
        </w:rPr>
        <w:t xml:space="preserve">or inappropriate </w:t>
      </w:r>
      <w:r w:rsidR="00FA7116">
        <w:rPr>
          <w:rFonts w:ascii="Times New Roman" w:hAnsi="Times New Roman"/>
        </w:rPr>
        <w:t xml:space="preserve">response during a crisis.  </w:t>
      </w:r>
    </w:p>
    <w:p w:rsidR="00AD1776" w:rsidRDefault="003F0BD5" w:rsidP="004240D0">
      <w:pPr>
        <w:spacing w:line="480" w:lineRule="auto"/>
        <w:rPr>
          <w:rFonts w:ascii="Times New Roman" w:hAnsi="Times New Roman"/>
        </w:rPr>
      </w:pPr>
      <w:r>
        <w:rPr>
          <w:rFonts w:ascii="Times New Roman" w:hAnsi="Times New Roman"/>
        </w:rPr>
        <w:tab/>
        <w:t>While BP was vilified on television and in newspapers for how company officials responded to the oil spill, its efforts involving social media w</w:t>
      </w:r>
      <w:r w:rsidR="006930FB">
        <w:rPr>
          <w:rFonts w:ascii="Times New Roman" w:hAnsi="Times New Roman"/>
        </w:rPr>
        <w:t xml:space="preserve">ere more successful and gave the public a better understanding of the events that transpired.  Communicating in this way allowed the organization to respond quickly to criticism, ensure that company officials were sending the right message, and correct errors when they occurred.  </w:t>
      </w:r>
      <w:r w:rsidR="00A86EE2">
        <w:rPr>
          <w:rFonts w:ascii="Times New Roman" w:hAnsi="Times New Roman"/>
        </w:rPr>
        <w:t xml:space="preserve">They were able to create a narrative on their own terms, without worrying too much about the media misinterpreting statements made by the company during the crisis.  </w:t>
      </w:r>
    </w:p>
    <w:p w:rsidR="006930FB" w:rsidRPr="00E145C7" w:rsidRDefault="006930FB" w:rsidP="000742E2">
      <w:pPr>
        <w:spacing w:line="480" w:lineRule="auto"/>
        <w:jc w:val="both"/>
        <w:rPr>
          <w:rFonts w:ascii="Times New Roman" w:hAnsi="Times New Roman"/>
        </w:rPr>
      </w:pPr>
    </w:p>
    <w:p w:rsidR="006930FB" w:rsidRPr="00E145C7" w:rsidRDefault="006930FB" w:rsidP="008E0825">
      <w:pPr>
        <w:ind w:left="720"/>
        <w:jc w:val="both"/>
        <w:rPr>
          <w:rFonts w:ascii="Times New Roman" w:eastAsiaTheme="minorHAnsi" w:hAnsi="Times New Roman" w:cs="Verdana"/>
        </w:rPr>
      </w:pPr>
      <w:r w:rsidRPr="00E145C7">
        <w:rPr>
          <w:rFonts w:ascii="Times New Roman" w:eastAsiaTheme="minorHAnsi" w:hAnsi="Times New Roman" w:cs="Verdana"/>
        </w:rPr>
        <w:t>When it comes to social media and the Web, though, communications experts give BP high marks. BP created a section of its Web site dedicated to the spill, complete with photos, video, and maps that track the cleanup…The company also posts constant updates to its Twitter feed. (Beam, 2010)</w:t>
      </w:r>
    </w:p>
    <w:p w:rsidR="006930FB" w:rsidRDefault="006930FB" w:rsidP="000742E2">
      <w:pPr>
        <w:spacing w:line="480" w:lineRule="auto"/>
        <w:jc w:val="both"/>
        <w:rPr>
          <w:rFonts w:ascii="Times New Roman" w:eastAsiaTheme="minorHAnsi" w:hAnsi="Times New Roman" w:cs="Verdana"/>
        </w:rPr>
      </w:pPr>
    </w:p>
    <w:p w:rsidR="00E933E4" w:rsidRDefault="006930FB" w:rsidP="006930FB">
      <w:pPr>
        <w:spacing w:line="480" w:lineRule="auto"/>
        <w:jc w:val="both"/>
        <w:rPr>
          <w:rFonts w:ascii="Times New Roman" w:eastAsiaTheme="minorHAnsi" w:hAnsi="Times New Roman" w:cs="Verdana"/>
        </w:rPr>
      </w:pPr>
      <w:r>
        <w:rPr>
          <w:rFonts w:ascii="Times New Roman" w:eastAsiaTheme="minorHAnsi" w:hAnsi="Times New Roman" w:cs="Verdana"/>
        </w:rPr>
        <w:tab/>
      </w:r>
      <w:r w:rsidR="00DC31B1">
        <w:rPr>
          <w:rFonts w:ascii="Times New Roman" w:eastAsiaTheme="minorHAnsi" w:hAnsi="Times New Roman" w:cs="Verdana"/>
        </w:rPr>
        <w:t>Through these efforts, BP create</w:t>
      </w:r>
      <w:r w:rsidR="009C16D9">
        <w:rPr>
          <w:rFonts w:ascii="Times New Roman" w:eastAsiaTheme="minorHAnsi" w:hAnsi="Times New Roman" w:cs="Verdana"/>
        </w:rPr>
        <w:t>d a narrative structure that served as</w:t>
      </w:r>
      <w:r w:rsidR="00DC31B1">
        <w:rPr>
          <w:rFonts w:ascii="Times New Roman" w:eastAsiaTheme="minorHAnsi" w:hAnsi="Times New Roman" w:cs="Verdana"/>
        </w:rPr>
        <w:t xml:space="preserve"> “a way of ordering the events of the world which would otherwise seem unpredictable or incoherent</w:t>
      </w:r>
      <w:r w:rsidR="00286760">
        <w:rPr>
          <w:rFonts w:ascii="Times New Roman" w:eastAsiaTheme="minorHAnsi" w:hAnsi="Times New Roman" w:cs="Verdana"/>
        </w:rPr>
        <w:t xml:space="preserve">” (Heath 2003).  </w:t>
      </w:r>
      <w:r w:rsidR="0029318C">
        <w:rPr>
          <w:rFonts w:ascii="Times New Roman" w:eastAsiaTheme="minorHAnsi" w:hAnsi="Times New Roman" w:cs="Verdana"/>
        </w:rPr>
        <w:t xml:space="preserve">In addition, </w:t>
      </w:r>
      <w:r w:rsidR="00286760">
        <w:rPr>
          <w:rFonts w:ascii="Times New Roman" w:eastAsiaTheme="minorHAnsi" w:hAnsi="Times New Roman" w:cs="Verdana"/>
        </w:rPr>
        <w:t>Heath posits that all crisis communication (at least that which is successful)</w:t>
      </w:r>
      <w:r w:rsidR="0029318C">
        <w:rPr>
          <w:rFonts w:ascii="Times New Roman" w:eastAsiaTheme="minorHAnsi" w:hAnsi="Times New Roman" w:cs="Verdana"/>
        </w:rPr>
        <w:t xml:space="preserve"> is done in a narrative form.  This appears to be the case with BP, as most of the negative response to their crisis strategy was related to communication initiatives that were manifested through traditional media.  </w:t>
      </w:r>
      <w:r w:rsidR="00C15D69">
        <w:rPr>
          <w:rFonts w:ascii="Times New Roman" w:eastAsiaTheme="minorHAnsi" w:hAnsi="Times New Roman" w:cs="Verdana"/>
        </w:rPr>
        <w:t>Even with this distinction</w:t>
      </w:r>
      <w:r w:rsidR="00D67976">
        <w:rPr>
          <w:rFonts w:ascii="Times New Roman" w:eastAsiaTheme="minorHAnsi" w:hAnsi="Times New Roman" w:cs="Verdana"/>
        </w:rPr>
        <w:t>, a common response to BP’s use of the Internet in the aftermath of the oil spill</w:t>
      </w:r>
      <w:r w:rsidR="00C15D69">
        <w:rPr>
          <w:rFonts w:ascii="Times New Roman" w:eastAsiaTheme="minorHAnsi" w:hAnsi="Times New Roman" w:cs="Verdana"/>
        </w:rPr>
        <w:t xml:space="preserve"> is that it was what people expected them to do.  From this perspective, the social media campaign appears less ambitious and no different than what another organization would do if they were confronted with the same situation.  </w:t>
      </w:r>
    </w:p>
    <w:p w:rsidR="00FF0632" w:rsidRDefault="0092605D" w:rsidP="006930FB">
      <w:pPr>
        <w:spacing w:line="480" w:lineRule="auto"/>
        <w:jc w:val="both"/>
        <w:rPr>
          <w:rFonts w:ascii="Times New Roman" w:eastAsiaTheme="minorHAnsi" w:hAnsi="Times New Roman" w:cs="Verdana"/>
        </w:rPr>
      </w:pPr>
      <w:r>
        <w:rPr>
          <w:rFonts w:ascii="Times New Roman" w:eastAsiaTheme="minorHAnsi" w:hAnsi="Times New Roman" w:cs="Verdana"/>
        </w:rPr>
        <w:tab/>
      </w:r>
      <w:r w:rsidR="00A86C14">
        <w:rPr>
          <w:rFonts w:ascii="Times New Roman" w:eastAsiaTheme="minorHAnsi" w:hAnsi="Times New Roman" w:cs="Verdana"/>
        </w:rPr>
        <w:t xml:space="preserve">As the researchers </w:t>
      </w:r>
      <w:r w:rsidR="00C00B7A">
        <w:rPr>
          <w:rFonts w:ascii="Times New Roman" w:eastAsiaTheme="minorHAnsi" w:hAnsi="Times New Roman" w:cs="Verdana"/>
        </w:rPr>
        <w:t>indicate</w:t>
      </w:r>
      <w:r w:rsidR="005A3778">
        <w:rPr>
          <w:rFonts w:ascii="Times New Roman" w:eastAsiaTheme="minorHAnsi" w:hAnsi="Times New Roman" w:cs="Verdana"/>
        </w:rPr>
        <w:t>, organization type does not appear to play as significant a role in whether or not organizations use the Internet in order to communicate with key publics.  If anything, BP and Dell can both be characterized as ‘high profile’ organizations.  The difference between the two lies in the additional risk inherent to BP’s business.  As such they may be described as a high reliability organization, or HRO.  Miller and Horsley (2009) expressed similar views in their observations of the coal mining industry</w:t>
      </w:r>
      <w:r w:rsidR="00E53C43">
        <w:rPr>
          <w:rFonts w:ascii="Times New Roman" w:eastAsiaTheme="minorHAnsi" w:hAnsi="Times New Roman" w:cs="Verdana"/>
        </w:rPr>
        <w:t xml:space="preserve"> and the two industries do share some of the same concerns when it comes to dealing with a crisis</w:t>
      </w:r>
      <w:r w:rsidR="005A3778">
        <w:rPr>
          <w:rFonts w:ascii="Times New Roman" w:eastAsiaTheme="minorHAnsi" w:hAnsi="Times New Roman" w:cs="Verdana"/>
        </w:rPr>
        <w:t xml:space="preserve">.  </w:t>
      </w:r>
    </w:p>
    <w:p w:rsidR="009F1BAB" w:rsidRDefault="0013298E" w:rsidP="009B7D69">
      <w:pPr>
        <w:spacing w:line="480" w:lineRule="auto"/>
        <w:ind w:firstLine="720"/>
        <w:jc w:val="both"/>
        <w:rPr>
          <w:rFonts w:ascii="Times New Roman" w:eastAsiaTheme="minorHAnsi" w:hAnsi="Times New Roman" w:cs="Verdana"/>
        </w:rPr>
      </w:pPr>
      <w:r>
        <w:rPr>
          <w:rFonts w:ascii="Times New Roman" w:eastAsiaTheme="minorHAnsi" w:hAnsi="Times New Roman" w:cs="Verdana"/>
        </w:rPr>
        <w:t>Mistakes made in the time leading up to the Gulf oil spill parallel many of the communication problems</w:t>
      </w:r>
      <w:r w:rsidR="005F7C5B">
        <w:rPr>
          <w:rFonts w:ascii="Times New Roman" w:eastAsiaTheme="minorHAnsi" w:hAnsi="Times New Roman" w:cs="Verdana"/>
        </w:rPr>
        <w:t xml:space="preserve"> which caused inaccurate reports to be made in connection with the Sag</w:t>
      </w:r>
      <w:r w:rsidR="001B5F22">
        <w:rPr>
          <w:rFonts w:ascii="Times New Roman" w:eastAsiaTheme="minorHAnsi" w:hAnsi="Times New Roman" w:cs="Verdana"/>
        </w:rPr>
        <w:t>o mine disaster.  As it relates to BP, the organization</w:t>
      </w:r>
      <w:r w:rsidR="005F7C5B">
        <w:rPr>
          <w:rFonts w:ascii="Times New Roman" w:eastAsiaTheme="minorHAnsi" w:hAnsi="Times New Roman" w:cs="Verdana"/>
        </w:rPr>
        <w:t xml:space="preserve"> chose not to make use of the flexibility afforded to</w:t>
      </w:r>
      <w:r w:rsidR="001B5F22">
        <w:rPr>
          <w:rFonts w:ascii="Times New Roman" w:eastAsiaTheme="minorHAnsi" w:hAnsi="Times New Roman" w:cs="Verdana"/>
        </w:rPr>
        <w:t xml:space="preserve"> them by the Internet and elected for </w:t>
      </w:r>
      <w:r w:rsidR="005F7C5B">
        <w:rPr>
          <w:rFonts w:ascii="Times New Roman" w:eastAsiaTheme="minorHAnsi" w:hAnsi="Times New Roman" w:cs="Verdana"/>
        </w:rPr>
        <w:t xml:space="preserve">other means of communication in an attempt to put a face on the crisis.  Ultimately however, this did not work out as they intended.  </w:t>
      </w:r>
      <w:r w:rsidR="001B5F22">
        <w:rPr>
          <w:rFonts w:ascii="Times New Roman" w:eastAsiaTheme="minorHAnsi" w:hAnsi="Times New Roman" w:cs="Verdana"/>
        </w:rPr>
        <w:t xml:space="preserve">Given the time that has passed since the spill, one could argue that the television commercials that the company shot during the cleanup effort were one way to emphasize the people involved, </w:t>
      </w:r>
      <w:r w:rsidR="000B74F4">
        <w:rPr>
          <w:rFonts w:ascii="Times New Roman" w:eastAsiaTheme="minorHAnsi" w:hAnsi="Times New Roman" w:cs="Verdana"/>
        </w:rPr>
        <w:t>something that</w:t>
      </w:r>
      <w:r w:rsidR="001B5F22">
        <w:rPr>
          <w:rFonts w:ascii="Times New Roman" w:eastAsiaTheme="minorHAnsi" w:hAnsi="Times New Roman" w:cs="Verdana"/>
        </w:rPr>
        <w:t xml:space="preserve"> can not easily be conveyed in material posted online.  </w:t>
      </w:r>
      <w:r w:rsidR="009F1BAB">
        <w:rPr>
          <w:rFonts w:ascii="Times New Roman" w:eastAsiaTheme="minorHAnsi" w:hAnsi="Times New Roman" w:cs="Verdana"/>
        </w:rPr>
        <w:t>The researchers here also introduce the concept</w:t>
      </w:r>
      <w:r w:rsidR="00262DC8">
        <w:rPr>
          <w:rFonts w:ascii="Times New Roman" w:eastAsiaTheme="minorHAnsi" w:hAnsi="Times New Roman" w:cs="Verdana"/>
        </w:rPr>
        <w:t xml:space="preserve"> of sensemaking, a process that</w:t>
      </w:r>
      <w:r w:rsidR="009F1BAB">
        <w:rPr>
          <w:rFonts w:ascii="Times New Roman" w:eastAsiaTheme="minorHAnsi" w:hAnsi="Times New Roman" w:cs="Verdana"/>
        </w:rPr>
        <w:t xml:space="preserve"> was absent from any internal communication between employees leading up to the spill.  </w:t>
      </w:r>
    </w:p>
    <w:p w:rsidR="009F1BAB" w:rsidRDefault="009F1BAB" w:rsidP="009B7D69">
      <w:pPr>
        <w:spacing w:line="480" w:lineRule="auto"/>
        <w:ind w:firstLine="720"/>
        <w:jc w:val="both"/>
        <w:rPr>
          <w:rFonts w:ascii="Times New Roman" w:eastAsiaTheme="minorHAnsi" w:hAnsi="Times New Roman" w:cs="Verdana"/>
        </w:rPr>
      </w:pPr>
      <w:r>
        <w:rPr>
          <w:rFonts w:ascii="Times New Roman" w:eastAsiaTheme="minorHAnsi" w:hAnsi="Times New Roman" w:cs="Verdana"/>
        </w:rPr>
        <w:t>As we’ve learned</w:t>
      </w:r>
      <w:r w:rsidR="00A00363">
        <w:rPr>
          <w:rFonts w:ascii="Times New Roman" w:eastAsiaTheme="minorHAnsi" w:hAnsi="Times New Roman" w:cs="Verdana"/>
        </w:rPr>
        <w:t xml:space="preserve"> in the time since the accident</w:t>
      </w:r>
      <w:r>
        <w:rPr>
          <w:rFonts w:ascii="Times New Roman" w:eastAsiaTheme="minorHAnsi" w:hAnsi="Times New Roman" w:cs="Verdana"/>
        </w:rPr>
        <w:t>, emails exchanged between BP employees and the owners of the Deepwater Horizon rig contained numerous discussion</w:t>
      </w:r>
      <w:r w:rsidR="00A00363">
        <w:rPr>
          <w:rFonts w:ascii="Times New Roman" w:eastAsiaTheme="minorHAnsi" w:hAnsi="Times New Roman" w:cs="Verdana"/>
        </w:rPr>
        <w:t>s</w:t>
      </w:r>
      <w:r>
        <w:rPr>
          <w:rFonts w:ascii="Times New Roman" w:eastAsiaTheme="minorHAnsi" w:hAnsi="Times New Roman" w:cs="Verdana"/>
        </w:rPr>
        <w:t xml:space="preserve"> about potential safety issues, many of which were ignored.  This is just one example of how information posted online is only useful if people decide to act on it.  As the researchers indicate, this process allows organizations to continuously improve by learning from their past experiences; BP’s actions suggest that they were not able to connect the dots and see that a problem was in fact imminent.  </w:t>
      </w:r>
    </w:p>
    <w:p w:rsidR="009F1BAB" w:rsidRDefault="009F1BAB" w:rsidP="00A00363">
      <w:pPr>
        <w:spacing w:line="480" w:lineRule="auto"/>
        <w:rPr>
          <w:rFonts w:ascii="Times New Roman" w:eastAsiaTheme="minorHAnsi" w:hAnsi="Times New Roman" w:cs="Verdana"/>
        </w:rPr>
      </w:pPr>
    </w:p>
    <w:p w:rsidR="00A00363" w:rsidRDefault="009F1BAB" w:rsidP="00A00363">
      <w:pPr>
        <w:ind w:left="720"/>
        <w:jc w:val="both"/>
        <w:rPr>
          <w:rFonts w:ascii="Times New Roman" w:eastAsiaTheme="minorHAnsi" w:hAnsi="Times New Roman" w:cs="Verdana"/>
        </w:rPr>
      </w:pPr>
      <w:r>
        <w:rPr>
          <w:rFonts w:ascii="Times New Roman" w:eastAsiaTheme="minorHAnsi" w:hAnsi="Times New Roman" w:cs="Verdana"/>
        </w:rPr>
        <w:t>Organizational members learn by studying their accomplishments and mistakes, planning for crises, and practicing responses to crises</w:t>
      </w:r>
      <w:r w:rsidR="00A00363">
        <w:rPr>
          <w:rFonts w:ascii="Times New Roman" w:eastAsiaTheme="minorHAnsi" w:hAnsi="Times New Roman" w:cs="Verdana"/>
        </w:rPr>
        <w:t>. This learning enables them to better recognize future danger cues and respond more effectively to crises that arise. (Miller &amp; Horsley, 2009)</w:t>
      </w:r>
    </w:p>
    <w:p w:rsidR="009B7D69" w:rsidRDefault="009B7D69" w:rsidP="00A00363">
      <w:pPr>
        <w:spacing w:line="480" w:lineRule="auto"/>
        <w:rPr>
          <w:rFonts w:ascii="Times New Roman" w:eastAsiaTheme="minorHAnsi" w:hAnsi="Times New Roman" w:cs="Verdana"/>
        </w:rPr>
      </w:pPr>
    </w:p>
    <w:p w:rsidR="008E0825" w:rsidRDefault="009B7D69" w:rsidP="008E0825">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This lack of communication and the actions of company officials (in particular then-CEO Tony Hayward) in the days and weeks after the spill show that the company did not </w:t>
      </w:r>
      <w:r w:rsidR="008E0825">
        <w:rPr>
          <w:rFonts w:ascii="Times New Roman" w:eastAsiaTheme="minorHAnsi" w:hAnsi="Times New Roman" w:cs="Verdana"/>
        </w:rPr>
        <w:t xml:space="preserve">accurately </w:t>
      </w:r>
      <w:r>
        <w:rPr>
          <w:rFonts w:ascii="Times New Roman" w:eastAsiaTheme="minorHAnsi" w:hAnsi="Times New Roman" w:cs="Verdana"/>
        </w:rPr>
        <w:t xml:space="preserve">predict the </w:t>
      </w:r>
      <w:r w:rsidR="008E0825">
        <w:rPr>
          <w:rFonts w:ascii="Times New Roman" w:eastAsiaTheme="minorHAnsi" w:hAnsi="Times New Roman" w:cs="Verdana"/>
        </w:rPr>
        <w:t xml:space="preserve">scope of the crisis and the </w:t>
      </w:r>
      <w:r>
        <w:rPr>
          <w:rFonts w:ascii="Times New Roman" w:eastAsiaTheme="minorHAnsi" w:hAnsi="Times New Roman" w:cs="Verdana"/>
        </w:rPr>
        <w:t xml:space="preserve">negative reaction that accompanied it.  </w:t>
      </w:r>
      <w:r w:rsidR="008E0825">
        <w:rPr>
          <w:rFonts w:ascii="Times New Roman" w:eastAsiaTheme="minorHAnsi" w:hAnsi="Times New Roman" w:cs="Verdana"/>
        </w:rPr>
        <w:t xml:space="preserve">Viewed through the Situation Theory of Publics, it is clear that the company did not believe that the reaction to the disaster would be as strong as it was.  As noted above, BP’s efforts to communicate via the Internet were more successful than their use of traditional media, but did not anticipate or address the variety of reactions to the spill and the company’s efforts to contain the damage.  Major’s suggestion of targeting the most vulnerable of publics is worth considering here, as it would have allowed BP to tailor its message to groups (primarily those who worked in affected industries) that needed the most guidance about what they should be doing to protect their </w:t>
      </w:r>
      <w:r w:rsidR="000101F3">
        <w:rPr>
          <w:rFonts w:ascii="Times New Roman" w:eastAsiaTheme="minorHAnsi" w:hAnsi="Times New Roman" w:cs="Verdana"/>
        </w:rPr>
        <w:t>livelihood</w:t>
      </w:r>
      <w:r w:rsidR="008E0825">
        <w:rPr>
          <w:rFonts w:ascii="Times New Roman" w:eastAsiaTheme="minorHAnsi" w:hAnsi="Times New Roman" w:cs="Verdana"/>
        </w:rPr>
        <w:t xml:space="preserve"> and how to get involved in the cleanup effort.  </w:t>
      </w:r>
    </w:p>
    <w:p w:rsidR="008E0825" w:rsidRDefault="008E0825" w:rsidP="000742E2">
      <w:pPr>
        <w:spacing w:line="480" w:lineRule="auto"/>
        <w:rPr>
          <w:rFonts w:ascii="Times New Roman" w:hAnsi="Times New Roman"/>
        </w:rPr>
      </w:pPr>
    </w:p>
    <w:p w:rsidR="008E0825" w:rsidRDefault="008E0825" w:rsidP="008E0825">
      <w:pPr>
        <w:ind w:left="720"/>
        <w:jc w:val="both"/>
        <w:rPr>
          <w:rFonts w:ascii="Times New Roman" w:hAnsi="Times New Roman"/>
        </w:rPr>
      </w:pPr>
      <w:r>
        <w:rPr>
          <w:rFonts w:ascii="Times New Roman" w:hAnsi="Times New Roman"/>
        </w:rPr>
        <w:t>…less emphasis may need to be directed at the problem facers and routines, who appeared to have a better understanding of earthquake preparedness than did the constrained and fatals. Messages directed at the constrained and fatal publics need to emphasize actions that they can take that will reduce their perceived constraints and personalized risk. (Major, 1998)</w:t>
      </w:r>
    </w:p>
    <w:p w:rsidR="000101F3" w:rsidRDefault="000101F3" w:rsidP="00E4400B">
      <w:pPr>
        <w:spacing w:line="480" w:lineRule="auto"/>
        <w:rPr>
          <w:rFonts w:ascii="Times New Roman" w:eastAsiaTheme="minorHAnsi" w:hAnsi="Times New Roman" w:cs="Verdana"/>
        </w:rPr>
      </w:pPr>
    </w:p>
    <w:p w:rsidR="001B07D1" w:rsidRDefault="000101F3" w:rsidP="0010274D">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Although the researcher specifically mentions this approach with regard to earthquakes, it is clear that in any crisis, certain publics will require more information in order to make the best possible decision for them.  In this case, the individuals who worked in the Gulf region needed to have this information readily available (which it would have been if posted online).  Instead, the choice to go into the affected communities sends a different message, which in hindsight might have been a better fit for this audience.  However, the fact remains that BP did not realize the seriousness of the situation or act quickly enough to inform the public about steps they could take to minimize the spill’s impact on them.  </w:t>
      </w:r>
    </w:p>
    <w:p w:rsidR="009C6AF6" w:rsidRDefault="00E53C43" w:rsidP="009C6AF6">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A closer examination of the incident shows that </w:t>
      </w:r>
      <w:r w:rsidR="001B07D1">
        <w:rPr>
          <w:rFonts w:ascii="Times New Roman" w:eastAsiaTheme="minorHAnsi" w:hAnsi="Times New Roman" w:cs="Verdana"/>
        </w:rPr>
        <w:t xml:space="preserve">BP faced a crisis from the very beginning.  In the case of Dell, it may be more accurate to think of it as a problem that eventually became a crisis simply due to the scope of the </w:t>
      </w:r>
      <w:r w:rsidR="007E04E7">
        <w:rPr>
          <w:rFonts w:ascii="Times New Roman" w:eastAsiaTheme="minorHAnsi" w:hAnsi="Times New Roman" w:cs="Verdana"/>
        </w:rPr>
        <w:t>problem.  Several</w:t>
      </w:r>
      <w:r w:rsidR="001B07D1">
        <w:rPr>
          <w:rFonts w:ascii="Times New Roman" w:eastAsiaTheme="minorHAnsi" w:hAnsi="Times New Roman" w:cs="Verdana"/>
        </w:rPr>
        <w:t xml:space="preserve"> of Coombs’</w:t>
      </w:r>
      <w:r w:rsidR="007E04E7">
        <w:rPr>
          <w:rFonts w:ascii="Times New Roman" w:eastAsiaTheme="minorHAnsi" w:hAnsi="Times New Roman" w:cs="Verdana"/>
        </w:rPr>
        <w:t xml:space="preserve"> (2002)</w:t>
      </w:r>
      <w:r w:rsidR="001B07D1">
        <w:rPr>
          <w:rFonts w:ascii="Times New Roman" w:eastAsiaTheme="minorHAnsi" w:hAnsi="Times New Roman" w:cs="Verdana"/>
        </w:rPr>
        <w:t xml:space="preserve"> crisis definitions are present: it had the ability to disrupt t</w:t>
      </w:r>
      <w:r w:rsidR="009C6AF6">
        <w:rPr>
          <w:rFonts w:ascii="Times New Roman" w:eastAsiaTheme="minorHAnsi" w:hAnsi="Times New Roman" w:cs="Verdana"/>
        </w:rPr>
        <w:t>he organization and that potentially have a negative e</w:t>
      </w:r>
      <w:r w:rsidR="001B07D1">
        <w:rPr>
          <w:rFonts w:ascii="Times New Roman" w:eastAsiaTheme="minorHAnsi" w:hAnsi="Times New Roman" w:cs="Verdana"/>
        </w:rPr>
        <w:t xml:space="preserve">ffect </w:t>
      </w:r>
      <w:r w:rsidR="009C6AF6">
        <w:rPr>
          <w:rFonts w:ascii="Times New Roman" w:eastAsiaTheme="minorHAnsi" w:hAnsi="Times New Roman" w:cs="Verdana"/>
        </w:rPr>
        <w:t xml:space="preserve">on </w:t>
      </w:r>
      <w:r w:rsidR="001B07D1">
        <w:rPr>
          <w:rFonts w:ascii="Times New Roman" w:eastAsiaTheme="minorHAnsi" w:hAnsi="Times New Roman" w:cs="Verdana"/>
        </w:rPr>
        <w:t xml:space="preserve">stakeholder perceptions.  However, the crisis is </w:t>
      </w:r>
      <w:r w:rsidR="001A72A9">
        <w:rPr>
          <w:rFonts w:ascii="Times New Roman" w:eastAsiaTheme="minorHAnsi" w:hAnsi="Times New Roman" w:cs="Verdana"/>
        </w:rPr>
        <w:t xml:space="preserve">perceived as being less serious overall as the number of affected machines was relatively small.  This is in contrast to the large numbers of wildlife harmed by the effects of the oil spill.  </w:t>
      </w:r>
    </w:p>
    <w:p w:rsidR="00230F09" w:rsidRDefault="009C6AF6" w:rsidP="009C6AF6">
      <w:pPr>
        <w:spacing w:line="480" w:lineRule="auto"/>
        <w:ind w:firstLine="720"/>
        <w:jc w:val="both"/>
        <w:rPr>
          <w:rFonts w:ascii="Times New Roman" w:eastAsiaTheme="minorHAnsi" w:hAnsi="Times New Roman" w:cs="Verdana"/>
        </w:rPr>
      </w:pPr>
      <w:r>
        <w:rPr>
          <w:rFonts w:ascii="Times New Roman" w:eastAsiaTheme="minorHAnsi" w:hAnsi="Times New Roman" w:cs="Verdana"/>
        </w:rPr>
        <w:t>Among other reasons, the Dell crisis is interesting because it challenged them to prove one of their core competencies.  As a technology company, we expect Dell (and those whom they compete with) to understand the benefits of using the Internet to communicate with stakeholders</w:t>
      </w:r>
      <w:r w:rsidR="00E71C6D">
        <w:rPr>
          <w:rFonts w:ascii="Times New Roman" w:eastAsiaTheme="minorHAnsi" w:hAnsi="Times New Roman" w:cs="Verdana"/>
        </w:rPr>
        <w:t xml:space="preserve">.  In addition, </w:t>
      </w:r>
      <w:r w:rsidR="00EC6E1B">
        <w:rPr>
          <w:rFonts w:ascii="Times New Roman" w:eastAsiaTheme="minorHAnsi" w:hAnsi="Times New Roman" w:cs="Verdana"/>
        </w:rPr>
        <w:t xml:space="preserve">I was </w:t>
      </w:r>
      <w:r w:rsidR="00E53C43">
        <w:rPr>
          <w:rFonts w:ascii="Times New Roman" w:eastAsiaTheme="minorHAnsi" w:hAnsi="Times New Roman" w:cs="Verdana"/>
        </w:rPr>
        <w:t xml:space="preserve">personally </w:t>
      </w:r>
      <w:r w:rsidR="00EC6E1B">
        <w:rPr>
          <w:rFonts w:ascii="Times New Roman" w:eastAsiaTheme="minorHAnsi" w:hAnsi="Times New Roman" w:cs="Verdana"/>
        </w:rPr>
        <w:t xml:space="preserve">impacted by the crisis and can appreciate the steps that the company took to restore confidence in its brand.  </w:t>
      </w:r>
      <w:r w:rsidR="00230F09">
        <w:rPr>
          <w:rFonts w:ascii="Times New Roman" w:eastAsiaTheme="minorHAnsi" w:hAnsi="Times New Roman" w:cs="Verdana"/>
        </w:rPr>
        <w:t xml:space="preserve">As one might expect, consumers were quick to place blame with Dell for the incidents, as most of the reporting on the issue by the media centered on the company.  </w:t>
      </w:r>
    </w:p>
    <w:p w:rsidR="00230F09" w:rsidRPr="00230F09" w:rsidRDefault="00230F09" w:rsidP="00D62B1E">
      <w:pPr>
        <w:spacing w:line="480" w:lineRule="auto"/>
        <w:jc w:val="both"/>
        <w:rPr>
          <w:rFonts w:ascii="Times New Roman" w:eastAsiaTheme="minorHAnsi" w:hAnsi="Times New Roman" w:cs="Verdana"/>
        </w:rPr>
      </w:pPr>
    </w:p>
    <w:p w:rsidR="00230F09" w:rsidRPr="00230F09" w:rsidRDefault="00230F09" w:rsidP="008E0825">
      <w:pPr>
        <w:ind w:left="720"/>
        <w:jc w:val="both"/>
        <w:rPr>
          <w:rFonts w:ascii="Times New Roman" w:eastAsiaTheme="minorHAnsi" w:hAnsi="Times New Roman" w:cs="Verdana"/>
        </w:rPr>
      </w:pPr>
      <w:r w:rsidRPr="00230F09">
        <w:rPr>
          <w:rFonts w:ascii="Times New Roman" w:eastAsiaTheme="minorHAnsi" w:hAnsi="Times New Roman" w:cs="Georgia"/>
          <w:szCs w:val="30"/>
        </w:rPr>
        <w:t>Dell has been bedeviled by reports of burning laptops in recent months. In June, a Dell notebook burst into flames during a conference in a hotel in Osaka, Japan. In that case, an analysis showed the fire was probably caused by microscopic metal particles produced during the manufacturing process. (Darlin, 2006)</w:t>
      </w:r>
    </w:p>
    <w:p w:rsidR="00230F09" w:rsidRPr="00230F09" w:rsidRDefault="00230F09" w:rsidP="00D62B1E">
      <w:pPr>
        <w:spacing w:line="480" w:lineRule="auto"/>
        <w:jc w:val="both"/>
        <w:rPr>
          <w:rFonts w:ascii="Times New Roman" w:eastAsiaTheme="minorHAnsi" w:hAnsi="Times New Roman" w:cs="Verdana"/>
        </w:rPr>
      </w:pPr>
    </w:p>
    <w:p w:rsidR="00A9377A" w:rsidRDefault="00AC0373" w:rsidP="007F5044">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Initially, Dell insisted that only a few incidents had been reported and that </w:t>
      </w:r>
      <w:r w:rsidR="00D107F5">
        <w:rPr>
          <w:rFonts w:ascii="Times New Roman" w:eastAsiaTheme="minorHAnsi" w:hAnsi="Times New Roman" w:cs="Verdana"/>
        </w:rPr>
        <w:t xml:space="preserve">by issuing a recall company officials were “…getting ahead of the issue” (Darlin, 2006).  As such, they believed that there was no crisis and described it as a preemptive measure to </w:t>
      </w:r>
      <w:r w:rsidR="00862FBA">
        <w:rPr>
          <w:rFonts w:ascii="Times New Roman" w:eastAsiaTheme="minorHAnsi" w:hAnsi="Times New Roman" w:cs="Verdana"/>
        </w:rPr>
        <w:t xml:space="preserve">reassure the public and other stakeholders that the situation was being taken care of.  </w:t>
      </w:r>
      <w:r w:rsidR="00EC6E1B">
        <w:rPr>
          <w:rFonts w:ascii="Times New Roman" w:eastAsiaTheme="minorHAnsi" w:hAnsi="Times New Roman" w:cs="Verdana"/>
        </w:rPr>
        <w:t xml:space="preserve">The organization’s actions during this time </w:t>
      </w:r>
      <w:r w:rsidR="00B62FEA">
        <w:rPr>
          <w:rFonts w:ascii="Times New Roman" w:eastAsiaTheme="minorHAnsi" w:hAnsi="Times New Roman" w:cs="Verdana"/>
        </w:rPr>
        <w:t xml:space="preserve">appear to </w:t>
      </w:r>
      <w:r w:rsidR="00EC6E1B">
        <w:rPr>
          <w:rFonts w:ascii="Times New Roman" w:eastAsiaTheme="minorHAnsi" w:hAnsi="Times New Roman" w:cs="Verdana"/>
        </w:rPr>
        <w:t>correlate with Coombs and Holladay’s work on attribution theory and a symbolic approach to crisis management.  As the crisis unfolded, it became clear that the problem was the result of a defect in</w:t>
      </w:r>
      <w:r w:rsidR="00230F09">
        <w:rPr>
          <w:rFonts w:ascii="Times New Roman" w:eastAsiaTheme="minorHAnsi" w:hAnsi="Times New Roman" w:cs="Verdana"/>
        </w:rPr>
        <w:t xml:space="preserve"> Sony batteries </w:t>
      </w:r>
      <w:r w:rsidR="00E96B6F">
        <w:rPr>
          <w:rFonts w:ascii="Times New Roman" w:eastAsiaTheme="minorHAnsi" w:hAnsi="Times New Roman" w:cs="Verdana"/>
        </w:rPr>
        <w:t xml:space="preserve">and previous reports were inaccurate.  By “attempt[ing] to place distance between the organization and responsibility for the crisis event” (Coombs &amp; Holladay, 1996), the company avoided significant reputational damage regarding the reliability of its products.  </w:t>
      </w:r>
    </w:p>
    <w:p w:rsidR="007878F8" w:rsidRDefault="00E96B6F" w:rsidP="009C6AF6">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It should be noted however, that </w:t>
      </w:r>
      <w:r w:rsidR="00A9377A">
        <w:rPr>
          <w:rFonts w:ascii="Times New Roman" w:eastAsiaTheme="minorHAnsi" w:hAnsi="Times New Roman" w:cs="Verdana"/>
        </w:rPr>
        <w:t xml:space="preserve">once a problem was identified, Dell took the </w:t>
      </w:r>
      <w:r w:rsidR="00034B15">
        <w:rPr>
          <w:rFonts w:ascii="Times New Roman" w:eastAsiaTheme="minorHAnsi" w:hAnsi="Times New Roman" w:cs="Verdana"/>
        </w:rPr>
        <w:t>appropriate</w:t>
      </w:r>
      <w:r w:rsidR="00A9377A">
        <w:rPr>
          <w:rFonts w:ascii="Times New Roman" w:eastAsiaTheme="minorHAnsi" w:hAnsi="Times New Roman" w:cs="Verdana"/>
        </w:rPr>
        <w:t xml:space="preserve"> steps to resolve the crisis.  Taking advantage of the distribution provided by the Internet, the company set up a webpage</w:t>
      </w:r>
      <w:r w:rsidR="00862FBA">
        <w:rPr>
          <w:rFonts w:ascii="Times New Roman" w:eastAsiaTheme="minorHAnsi" w:hAnsi="Times New Roman" w:cs="Verdana"/>
        </w:rPr>
        <w:t xml:space="preserve"> (</w:t>
      </w:r>
      <w:r w:rsidR="00862FBA" w:rsidRPr="00862FBA">
        <w:rPr>
          <w:rFonts w:ascii="Times New Roman" w:eastAsiaTheme="minorHAnsi" w:hAnsi="Times New Roman" w:cs="Verdana"/>
        </w:rPr>
        <w:t>http://www.dellbatteryprogram.com/</w:t>
      </w:r>
      <w:r w:rsidR="00862FBA">
        <w:rPr>
          <w:rFonts w:ascii="Times New Roman" w:eastAsiaTheme="minorHAnsi" w:hAnsi="Times New Roman" w:cs="Verdana"/>
        </w:rPr>
        <w:t>)</w:t>
      </w:r>
      <w:r w:rsidR="00A9377A">
        <w:rPr>
          <w:rFonts w:ascii="Times New Roman" w:eastAsiaTheme="minorHAnsi" w:hAnsi="Times New Roman" w:cs="Verdana"/>
        </w:rPr>
        <w:t xml:space="preserve"> where customers could </w:t>
      </w:r>
      <w:r w:rsidR="00862FBA">
        <w:rPr>
          <w:rFonts w:ascii="Times New Roman" w:eastAsiaTheme="minorHAnsi" w:hAnsi="Times New Roman" w:cs="Verdana"/>
        </w:rPr>
        <w:t xml:space="preserve">get up to date information and </w:t>
      </w:r>
      <w:r w:rsidR="00A9377A">
        <w:rPr>
          <w:rFonts w:ascii="Times New Roman" w:eastAsiaTheme="minorHAnsi" w:hAnsi="Times New Roman" w:cs="Verdana"/>
        </w:rPr>
        <w:t>enter their serial number to find out if their machine was included in the recall.  Speaking from experience, the process w</w:t>
      </w:r>
      <w:r w:rsidR="00E53C43">
        <w:rPr>
          <w:rFonts w:ascii="Times New Roman" w:eastAsiaTheme="minorHAnsi" w:hAnsi="Times New Roman" w:cs="Verdana"/>
        </w:rPr>
        <w:t xml:space="preserve">as quick and provided the </w:t>
      </w:r>
      <w:r w:rsidR="00A9377A">
        <w:rPr>
          <w:rFonts w:ascii="Times New Roman" w:eastAsiaTheme="minorHAnsi" w:hAnsi="Times New Roman" w:cs="Verdana"/>
        </w:rPr>
        <w:t xml:space="preserve">information I needed to know and how long it would take to replace the affected parts.  </w:t>
      </w:r>
      <w:r w:rsidR="00862FBA">
        <w:rPr>
          <w:rFonts w:ascii="Times New Roman" w:eastAsiaTheme="minorHAnsi" w:hAnsi="Times New Roman" w:cs="Verdana"/>
        </w:rPr>
        <w:t xml:space="preserve">Subsequent recalls have taken advantage of this site, resulting in less customer confusion because people already know where to look when a problem arises.  </w:t>
      </w:r>
    </w:p>
    <w:p w:rsidR="007E3460" w:rsidRDefault="002F7D21" w:rsidP="009C6AF6">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Organizations such as BP and Dell both appear to have an understanding of how the Internet can aid their crisis communication efforts.  However, during crises, execution is never easy.  As BP discovered, its work using social media was more well received than any interview given by company officials, but mixed messages </w:t>
      </w:r>
      <w:r w:rsidR="007E3460">
        <w:rPr>
          <w:rFonts w:ascii="Times New Roman" w:eastAsiaTheme="minorHAnsi" w:hAnsi="Times New Roman" w:cs="Verdana"/>
        </w:rPr>
        <w:t xml:space="preserve">and a lack of preparation contributed to the attitude that the company did a poor job of trying to contain the crisis.  Despite many attempts, it was simply too late to contain the damage done to the company’s reputation.  </w:t>
      </w:r>
      <w:r w:rsidR="003841BE">
        <w:rPr>
          <w:rFonts w:ascii="Times New Roman" w:eastAsiaTheme="minorHAnsi" w:hAnsi="Times New Roman" w:cs="Verdana"/>
        </w:rPr>
        <w:t xml:space="preserve">It is possible that they would have been more successful if they had made greater use of the Internet, but given the information at hand, it is difficult to determine whether or not this is the case.  </w:t>
      </w:r>
    </w:p>
    <w:p w:rsidR="001A72A9" w:rsidRDefault="007E3460" w:rsidP="009C6AF6">
      <w:pPr>
        <w:spacing w:line="480" w:lineRule="auto"/>
        <w:ind w:firstLine="720"/>
        <w:jc w:val="both"/>
        <w:rPr>
          <w:rFonts w:ascii="Times New Roman" w:eastAsiaTheme="minorHAnsi" w:hAnsi="Times New Roman" w:cs="Verdana"/>
        </w:rPr>
      </w:pPr>
      <w:r>
        <w:rPr>
          <w:rFonts w:ascii="Times New Roman" w:eastAsiaTheme="minorHAnsi" w:hAnsi="Times New Roman" w:cs="Verdana"/>
        </w:rPr>
        <w:t xml:space="preserve">By comparison, Dell fared much better when dealing with its crisis, even if they did not realize the scope of the problem that they were dealing with.  As a technology company, the public’s expectations of them are significantly higher when it comes to using the Internet to communicate and it is can reasonably be said that once the problem was identified, the company took the right steps in order to resolve the issue.  From the work of Coombs (2002), it is clear that this was a problem that eventually became a crisis as more information became available.  These incidents should serve as a reminder to all organizations about proper and improper use of the Internet during times of crisis.  </w:t>
      </w:r>
      <w:r w:rsidR="00865BCB">
        <w:rPr>
          <w:rFonts w:ascii="Times New Roman" w:eastAsiaTheme="minorHAnsi" w:hAnsi="Times New Roman" w:cs="Verdana"/>
        </w:rPr>
        <w:t xml:space="preserve">Dell’s response, although </w:t>
      </w:r>
      <w:r w:rsidR="00624C5B">
        <w:rPr>
          <w:rFonts w:ascii="Times New Roman" w:eastAsiaTheme="minorHAnsi" w:hAnsi="Times New Roman" w:cs="Verdana"/>
        </w:rPr>
        <w:t xml:space="preserve">less timely than ideal, utilized the Internet as an effective channel of communication and gave the public information that they needed to know.  As the two industries described here are very different, it comes as no </w:t>
      </w:r>
      <w:r w:rsidR="000771DD">
        <w:rPr>
          <w:rFonts w:ascii="Times New Roman" w:eastAsiaTheme="minorHAnsi" w:hAnsi="Times New Roman" w:cs="Verdana"/>
        </w:rPr>
        <w:t>surprise</w:t>
      </w:r>
      <w:r w:rsidR="00624C5B">
        <w:rPr>
          <w:rFonts w:ascii="Times New Roman" w:eastAsiaTheme="minorHAnsi" w:hAnsi="Times New Roman" w:cs="Verdana"/>
        </w:rPr>
        <w:t xml:space="preserve"> that their Internet usage falls at opposite ends of the spectrum. </w:t>
      </w:r>
      <w:r>
        <w:rPr>
          <w:rFonts w:ascii="Times New Roman" w:eastAsiaTheme="minorHAnsi" w:hAnsi="Times New Roman" w:cs="Verdana"/>
        </w:rPr>
        <w:t xml:space="preserve">How they choose to </w:t>
      </w:r>
      <w:r w:rsidR="00624C5B">
        <w:rPr>
          <w:rFonts w:ascii="Times New Roman" w:eastAsiaTheme="minorHAnsi" w:hAnsi="Times New Roman" w:cs="Verdana"/>
        </w:rPr>
        <w:t xml:space="preserve">make </w:t>
      </w:r>
      <w:r>
        <w:rPr>
          <w:rFonts w:ascii="Times New Roman" w:eastAsiaTheme="minorHAnsi" w:hAnsi="Times New Roman" w:cs="Verdana"/>
        </w:rPr>
        <w:t xml:space="preserve">use it will depend largely upon their audience and the type of message they seek to deliver, but it undoubtedly has a role to play in how communications professionals develop their crisis response strategies.  </w:t>
      </w:r>
    </w:p>
    <w:p w:rsidR="00E13330" w:rsidRDefault="00E13330" w:rsidP="004240D0">
      <w:pPr>
        <w:tabs>
          <w:tab w:val="left" w:pos="9090"/>
        </w:tabs>
        <w:spacing w:line="480" w:lineRule="auto"/>
        <w:jc w:val="center"/>
        <w:rPr>
          <w:rFonts w:ascii="Times New Roman" w:hAnsi="Times New Roman"/>
        </w:rPr>
      </w:pPr>
      <w:r>
        <w:rPr>
          <w:rFonts w:ascii="Times New Roman" w:hAnsi="Times New Roman"/>
        </w:rPr>
        <w:br w:type="page"/>
      </w:r>
      <w:r w:rsidR="00D210F7">
        <w:rPr>
          <w:rFonts w:ascii="Times New Roman" w:hAnsi="Times New Roman"/>
        </w:rPr>
        <w:t>References</w:t>
      </w:r>
    </w:p>
    <w:p w:rsidR="00E13330" w:rsidRPr="004240D0" w:rsidRDefault="00E13330" w:rsidP="004240D0">
      <w:pPr>
        <w:spacing w:line="480" w:lineRule="auto"/>
        <w:jc w:val="center"/>
        <w:rPr>
          <w:rFonts w:ascii="Times New Roman" w:hAnsi="Times New Roman"/>
        </w:rPr>
      </w:pPr>
    </w:p>
    <w:p w:rsidR="0070124D" w:rsidRPr="00174DC1" w:rsidRDefault="0070124D" w:rsidP="004240D0">
      <w:pPr>
        <w:spacing w:line="480" w:lineRule="auto"/>
        <w:rPr>
          <w:rFonts w:ascii="Times New Roman" w:eastAsiaTheme="minorHAnsi" w:hAnsi="Times New Roman"/>
          <w:szCs w:val="32"/>
        </w:rPr>
      </w:pPr>
      <w:r w:rsidRPr="00174DC1">
        <w:rPr>
          <w:rFonts w:ascii="Times New Roman" w:eastAsiaTheme="minorHAnsi" w:hAnsi="Times New Roman"/>
          <w:szCs w:val="32"/>
        </w:rPr>
        <w:t xml:space="preserve">Beam, C. (2010, May 05). Oil slick. </w:t>
      </w:r>
      <w:r w:rsidRPr="00174DC1">
        <w:rPr>
          <w:rFonts w:ascii="Times New Roman" w:eastAsiaTheme="minorHAnsi" w:hAnsi="Times New Roman"/>
          <w:i/>
          <w:iCs/>
          <w:szCs w:val="32"/>
        </w:rPr>
        <w:t>Slate</w:t>
      </w:r>
      <w:r w:rsidRPr="00174DC1">
        <w:rPr>
          <w:rFonts w:ascii="Times New Roman" w:eastAsiaTheme="minorHAnsi" w:hAnsi="Times New Roman"/>
          <w:szCs w:val="32"/>
        </w:rPr>
        <w:t>, Retrieved from http://www.slate.com/articles/news_and_politics/politics/2010/05/oil_slick.single.html</w:t>
      </w:r>
    </w:p>
    <w:p w:rsidR="000E0519" w:rsidRDefault="000E0519" w:rsidP="004240D0">
      <w:pPr>
        <w:spacing w:line="480" w:lineRule="auto"/>
        <w:rPr>
          <w:rFonts w:ascii="Times New Roman" w:eastAsiaTheme="minorHAnsi" w:hAnsi="Times New Roman"/>
          <w:szCs w:val="32"/>
        </w:rPr>
      </w:pPr>
    </w:p>
    <w:p w:rsidR="000E0519" w:rsidRPr="000E0519" w:rsidRDefault="000E0519" w:rsidP="004240D0">
      <w:pPr>
        <w:spacing w:line="480" w:lineRule="auto"/>
        <w:rPr>
          <w:rFonts w:ascii="Times New Roman" w:eastAsiaTheme="minorHAnsi" w:hAnsi="Times New Roman"/>
          <w:szCs w:val="32"/>
        </w:rPr>
      </w:pPr>
      <w:r>
        <w:rPr>
          <w:rFonts w:ascii="Times New Roman" w:eastAsiaTheme="minorHAnsi" w:hAnsi="Times New Roman"/>
          <w:szCs w:val="32"/>
        </w:rPr>
        <w:t xml:space="preserve">Coombs, W.T. (2002). Deep and surface threats: Conceptual and practical implications for “crisis vs. problem”. </w:t>
      </w:r>
      <w:r>
        <w:rPr>
          <w:rFonts w:ascii="Times New Roman" w:eastAsiaTheme="minorHAnsi" w:hAnsi="Times New Roman"/>
          <w:i/>
          <w:szCs w:val="32"/>
        </w:rPr>
        <w:t>Public Relations Review, 28</w:t>
      </w:r>
      <w:r>
        <w:rPr>
          <w:rFonts w:ascii="Times New Roman" w:eastAsiaTheme="minorHAnsi" w:hAnsi="Times New Roman"/>
          <w:szCs w:val="32"/>
        </w:rPr>
        <w:t>, 339-345.</w:t>
      </w:r>
    </w:p>
    <w:p w:rsidR="001D4B8A" w:rsidRDefault="001D4B8A" w:rsidP="004240D0">
      <w:pPr>
        <w:spacing w:line="480" w:lineRule="auto"/>
        <w:rPr>
          <w:rFonts w:ascii="Times New Roman" w:eastAsiaTheme="minorHAnsi" w:hAnsi="Times New Roman"/>
          <w:szCs w:val="32"/>
        </w:rPr>
      </w:pPr>
    </w:p>
    <w:p w:rsidR="001D4B8A" w:rsidRDefault="001D4B8A" w:rsidP="004240D0">
      <w:pPr>
        <w:spacing w:line="480" w:lineRule="auto"/>
        <w:rPr>
          <w:rFonts w:ascii="Times New Roman" w:eastAsiaTheme="minorHAnsi" w:hAnsi="Times New Roman"/>
          <w:szCs w:val="32"/>
        </w:rPr>
      </w:pPr>
      <w:r w:rsidRPr="00355650">
        <w:rPr>
          <w:rFonts w:ascii="Times New Roman" w:eastAsiaTheme="minorHAnsi" w:hAnsi="Times New Roman"/>
          <w:szCs w:val="32"/>
        </w:rPr>
        <w:t xml:space="preserve">Coombs, W. T., &amp; Holladay, S. J. (1996). Communication and attributions in a crisis: An experimental study in crisis communication. </w:t>
      </w:r>
      <w:r w:rsidRPr="00355650">
        <w:rPr>
          <w:rFonts w:ascii="Times New Roman" w:eastAsiaTheme="minorHAnsi" w:hAnsi="Times New Roman"/>
          <w:i/>
          <w:iCs/>
          <w:szCs w:val="32"/>
        </w:rPr>
        <w:t>Journal of Public Relations Research</w:t>
      </w:r>
      <w:r w:rsidRPr="00355650">
        <w:rPr>
          <w:rFonts w:ascii="Times New Roman" w:eastAsiaTheme="minorHAnsi" w:hAnsi="Times New Roman"/>
          <w:szCs w:val="32"/>
        </w:rPr>
        <w:t xml:space="preserve">, </w:t>
      </w:r>
      <w:r w:rsidRPr="00355650">
        <w:rPr>
          <w:rFonts w:ascii="Times New Roman" w:eastAsiaTheme="minorHAnsi" w:hAnsi="Times New Roman"/>
          <w:i/>
          <w:iCs/>
          <w:szCs w:val="32"/>
        </w:rPr>
        <w:t>8</w:t>
      </w:r>
      <w:r w:rsidRPr="00355650">
        <w:rPr>
          <w:rFonts w:ascii="Times New Roman" w:eastAsiaTheme="minorHAnsi" w:hAnsi="Times New Roman"/>
          <w:szCs w:val="32"/>
        </w:rPr>
        <w:t>(4), 279-295.</w:t>
      </w:r>
    </w:p>
    <w:p w:rsidR="008A146E" w:rsidRPr="00174DC1" w:rsidRDefault="008A146E" w:rsidP="004240D0">
      <w:pPr>
        <w:spacing w:line="480" w:lineRule="auto"/>
        <w:rPr>
          <w:rFonts w:ascii="Times New Roman" w:eastAsiaTheme="minorHAnsi" w:hAnsi="Times New Roman"/>
          <w:szCs w:val="32"/>
        </w:rPr>
      </w:pPr>
    </w:p>
    <w:p w:rsidR="008A146E" w:rsidRPr="00174DC1" w:rsidRDefault="008A146E" w:rsidP="004240D0">
      <w:pPr>
        <w:spacing w:line="480" w:lineRule="auto"/>
        <w:rPr>
          <w:rFonts w:ascii="Times New Roman" w:eastAsiaTheme="minorHAnsi" w:hAnsi="Times New Roman"/>
          <w:szCs w:val="32"/>
        </w:rPr>
      </w:pPr>
      <w:r w:rsidRPr="00174DC1">
        <w:rPr>
          <w:rFonts w:ascii="Times New Roman" w:eastAsiaTheme="minorHAnsi" w:hAnsi="Times New Roman"/>
          <w:szCs w:val="32"/>
        </w:rPr>
        <w:t xml:space="preserve">Darlin, D. (2006, August 15). Dell will recall batteries in pc’s. </w:t>
      </w:r>
      <w:r w:rsidRPr="00174DC1">
        <w:rPr>
          <w:rFonts w:ascii="Times New Roman" w:eastAsiaTheme="minorHAnsi" w:hAnsi="Times New Roman"/>
          <w:i/>
          <w:iCs/>
          <w:szCs w:val="32"/>
        </w:rPr>
        <w:t>The New York Times</w:t>
      </w:r>
      <w:r w:rsidRPr="00174DC1">
        <w:rPr>
          <w:rFonts w:ascii="Times New Roman" w:eastAsiaTheme="minorHAnsi" w:hAnsi="Times New Roman"/>
          <w:szCs w:val="32"/>
        </w:rPr>
        <w:t>. Retrieved from http://www.nytimes.com/2006/08/15/technology/15battery.html?_r=1&amp;pagewanted=all</w:t>
      </w:r>
    </w:p>
    <w:p w:rsidR="00167EB9" w:rsidRDefault="00167EB9" w:rsidP="004240D0">
      <w:pPr>
        <w:spacing w:line="480" w:lineRule="auto"/>
        <w:rPr>
          <w:rFonts w:ascii="Times New Roman" w:eastAsiaTheme="minorHAnsi" w:hAnsi="Times New Roman"/>
          <w:szCs w:val="32"/>
        </w:rPr>
      </w:pPr>
    </w:p>
    <w:p w:rsidR="00167EB9" w:rsidRPr="00A942F2" w:rsidRDefault="00167EB9" w:rsidP="00167EB9">
      <w:pPr>
        <w:spacing w:line="480" w:lineRule="auto"/>
        <w:rPr>
          <w:rFonts w:ascii="Times New Roman" w:hAnsi="Times New Roman"/>
          <w:b/>
        </w:rPr>
      </w:pPr>
      <w:r w:rsidRPr="00A942F2">
        <w:rPr>
          <w:rFonts w:ascii="Times New Roman" w:eastAsiaTheme="minorHAnsi" w:hAnsi="Times New Roman"/>
          <w:szCs w:val="32"/>
        </w:rPr>
        <w:t xml:space="preserve">Heath, R. L. (2003). Telling a story: A narrative approach to communication during crisis In R. Heath &amp; D. Millar (Eds.), </w:t>
      </w:r>
      <w:r w:rsidRPr="00A942F2">
        <w:rPr>
          <w:rFonts w:ascii="Times New Roman" w:eastAsiaTheme="minorHAnsi" w:hAnsi="Times New Roman"/>
          <w:i/>
          <w:iCs/>
          <w:szCs w:val="32"/>
        </w:rPr>
        <w:t>A Rhetorical Approach to Crisis Communication</w:t>
      </w:r>
      <w:r w:rsidRPr="00A942F2">
        <w:rPr>
          <w:rFonts w:ascii="Times New Roman" w:eastAsiaTheme="minorHAnsi" w:hAnsi="Times New Roman"/>
          <w:szCs w:val="32"/>
        </w:rPr>
        <w:t xml:space="preserve"> (pp. 167-187). Mahwah, NJ: Lawrence Erlbaum Associates.</w:t>
      </w:r>
    </w:p>
    <w:p w:rsidR="00167EB9" w:rsidRDefault="00167EB9" w:rsidP="004240D0">
      <w:pPr>
        <w:spacing w:line="480" w:lineRule="auto"/>
        <w:rPr>
          <w:rFonts w:ascii="Times New Roman" w:eastAsiaTheme="minorHAnsi" w:hAnsi="Times New Roman"/>
          <w:szCs w:val="32"/>
        </w:rPr>
      </w:pPr>
    </w:p>
    <w:p w:rsidR="00E53C43" w:rsidRDefault="00167EB9" w:rsidP="004240D0">
      <w:pPr>
        <w:spacing w:line="480" w:lineRule="auto"/>
        <w:rPr>
          <w:rFonts w:ascii="Times New Roman" w:hAnsi="Times New Roman"/>
        </w:rPr>
      </w:pPr>
      <w:r w:rsidRPr="005326C1">
        <w:rPr>
          <w:rFonts w:ascii="Times New Roman" w:eastAsiaTheme="minorHAnsi" w:hAnsi="Times New Roman"/>
          <w:szCs w:val="32"/>
        </w:rPr>
        <w:t xml:space="preserve">Miller, B. M., &amp; Horsley, J. S. (2009). Digging deeper: Crisis management in the coal industry. </w:t>
      </w:r>
      <w:r w:rsidRPr="005326C1">
        <w:rPr>
          <w:rFonts w:ascii="Times New Roman" w:eastAsiaTheme="minorHAnsi" w:hAnsi="Times New Roman"/>
          <w:i/>
          <w:iCs/>
          <w:szCs w:val="32"/>
        </w:rPr>
        <w:t>Journal of Applied Communication Research</w:t>
      </w:r>
      <w:r w:rsidRPr="005326C1">
        <w:rPr>
          <w:rFonts w:ascii="Times New Roman" w:eastAsiaTheme="minorHAnsi" w:hAnsi="Times New Roman"/>
          <w:szCs w:val="32"/>
        </w:rPr>
        <w:t xml:space="preserve">, </w:t>
      </w:r>
      <w:r w:rsidRPr="005326C1">
        <w:rPr>
          <w:rFonts w:ascii="Times New Roman" w:eastAsiaTheme="minorHAnsi" w:hAnsi="Times New Roman"/>
          <w:i/>
          <w:iCs/>
          <w:szCs w:val="32"/>
        </w:rPr>
        <w:t>37</w:t>
      </w:r>
      <w:r w:rsidR="009C6AF6">
        <w:rPr>
          <w:rFonts w:ascii="Times New Roman" w:eastAsiaTheme="minorHAnsi" w:hAnsi="Times New Roman"/>
          <w:szCs w:val="32"/>
        </w:rPr>
        <w:t>(3), 298-316.</w:t>
      </w:r>
    </w:p>
    <w:p w:rsidR="009F74FA" w:rsidRPr="00E53C43" w:rsidRDefault="009F74FA" w:rsidP="004240D0">
      <w:pPr>
        <w:spacing w:line="480" w:lineRule="auto"/>
        <w:rPr>
          <w:rFonts w:ascii="Times New Roman" w:hAnsi="Times New Roman"/>
        </w:rPr>
      </w:pPr>
    </w:p>
    <w:p w:rsidR="0070124D" w:rsidRPr="00174DC1" w:rsidRDefault="0070124D" w:rsidP="004240D0">
      <w:pPr>
        <w:spacing w:line="480" w:lineRule="auto"/>
        <w:rPr>
          <w:rFonts w:ascii="Times New Roman" w:eastAsiaTheme="minorHAnsi" w:hAnsi="Times New Roman"/>
          <w:szCs w:val="32"/>
        </w:rPr>
      </w:pPr>
    </w:p>
    <w:p w:rsidR="00F81566" w:rsidRPr="00174DC1" w:rsidRDefault="003B605F" w:rsidP="004240D0">
      <w:pPr>
        <w:spacing w:line="480" w:lineRule="auto"/>
        <w:rPr>
          <w:rFonts w:ascii="Times New Roman" w:hAnsi="Times New Roman"/>
        </w:rPr>
      </w:pPr>
      <w:r w:rsidRPr="00174DC1">
        <w:rPr>
          <w:rFonts w:ascii="Times New Roman" w:eastAsiaTheme="minorHAnsi" w:hAnsi="Times New Roman"/>
          <w:szCs w:val="32"/>
        </w:rPr>
        <w:t xml:space="preserve">Perry, D. C., Taylor, M., &amp; Doerfel, M. L. (2003). Internet-based communication in crisis management. </w:t>
      </w:r>
      <w:r w:rsidRPr="00174DC1">
        <w:rPr>
          <w:rFonts w:ascii="Times New Roman" w:eastAsiaTheme="minorHAnsi" w:hAnsi="Times New Roman"/>
          <w:i/>
          <w:iCs/>
          <w:szCs w:val="32"/>
        </w:rPr>
        <w:t>Management Communication Quarterly</w:t>
      </w:r>
      <w:r w:rsidRPr="00174DC1">
        <w:rPr>
          <w:rFonts w:ascii="Times New Roman" w:eastAsiaTheme="minorHAnsi" w:hAnsi="Times New Roman"/>
          <w:szCs w:val="32"/>
        </w:rPr>
        <w:t xml:space="preserve">, </w:t>
      </w:r>
      <w:r w:rsidRPr="00174DC1">
        <w:rPr>
          <w:rFonts w:ascii="Times New Roman" w:eastAsiaTheme="minorHAnsi" w:hAnsi="Times New Roman"/>
          <w:i/>
          <w:iCs/>
          <w:szCs w:val="32"/>
        </w:rPr>
        <w:t>17</w:t>
      </w:r>
      <w:r w:rsidRPr="00174DC1">
        <w:rPr>
          <w:rFonts w:ascii="Times New Roman" w:eastAsiaTheme="minorHAnsi" w:hAnsi="Times New Roman"/>
          <w:szCs w:val="32"/>
        </w:rPr>
        <w:t>(2), 206-232.</w:t>
      </w:r>
    </w:p>
    <w:sectPr w:rsidR="00F81566" w:rsidRPr="00174DC1" w:rsidSect="004240D0">
      <w:headerReference w:type="default" r:id="rId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hruti">
    <w:altName w:val="Times New 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CB" w:rsidRPr="001971F8" w:rsidRDefault="00865BCB" w:rsidP="00B250F6">
    <w:pPr>
      <w:pStyle w:val="Header"/>
      <w:jc w:val="center"/>
      <w:rPr>
        <w:rFonts w:ascii="Times New Roman" w:hAnsi="Times New Roman"/>
      </w:rPr>
    </w:pPr>
    <w:r w:rsidRPr="001971F8">
      <w:rPr>
        <w:rFonts w:ascii="Times New Roman" w:hAnsi="Times New Roman"/>
      </w:rPr>
      <w:t>Ch</w:t>
    </w:r>
    <w:r>
      <w:rPr>
        <w:rFonts w:ascii="Times New Roman" w:hAnsi="Times New Roman"/>
      </w:rPr>
      <w:t>ristopher M. Finazzo</w:t>
    </w:r>
    <w:r>
      <w:rPr>
        <w:rFonts w:ascii="Times New Roman" w:hAnsi="Times New Roman"/>
      </w:rPr>
      <w:tab/>
      <w:t>CCOM 6053</w:t>
    </w:r>
    <w:r>
      <w:rPr>
        <w:rFonts w:ascii="Times New Roman" w:hAnsi="Times New Roman"/>
      </w:rPr>
      <w:tab/>
      <w:t>5/8</w:t>
    </w:r>
    <w:r w:rsidRPr="001971F8">
      <w:rPr>
        <w:rFonts w:ascii="Times New Roman" w:hAnsi="Times New Roman"/>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26BB"/>
    <w:rsid w:val="000101F3"/>
    <w:rsid w:val="00034B15"/>
    <w:rsid w:val="000742E2"/>
    <w:rsid w:val="000771DD"/>
    <w:rsid w:val="000B175B"/>
    <w:rsid w:val="000B74F4"/>
    <w:rsid w:val="000C7E41"/>
    <w:rsid w:val="000D05C5"/>
    <w:rsid w:val="000E0519"/>
    <w:rsid w:val="0010274D"/>
    <w:rsid w:val="0013298E"/>
    <w:rsid w:val="0015392F"/>
    <w:rsid w:val="00167EB9"/>
    <w:rsid w:val="00174DC1"/>
    <w:rsid w:val="001971F8"/>
    <w:rsid w:val="001A6A2A"/>
    <w:rsid w:val="001A72A9"/>
    <w:rsid w:val="001B07D1"/>
    <w:rsid w:val="001B5F22"/>
    <w:rsid w:val="001D4B8A"/>
    <w:rsid w:val="00212A8C"/>
    <w:rsid w:val="00230F09"/>
    <w:rsid w:val="00242A63"/>
    <w:rsid w:val="002463A6"/>
    <w:rsid w:val="0025786A"/>
    <w:rsid w:val="00262DC8"/>
    <w:rsid w:val="00286760"/>
    <w:rsid w:val="0029318C"/>
    <w:rsid w:val="002A11A1"/>
    <w:rsid w:val="002A5980"/>
    <w:rsid w:val="002C20F1"/>
    <w:rsid w:val="002C32DD"/>
    <w:rsid w:val="002F7D21"/>
    <w:rsid w:val="003841BE"/>
    <w:rsid w:val="003A2CE2"/>
    <w:rsid w:val="003B605F"/>
    <w:rsid w:val="003C43FA"/>
    <w:rsid w:val="003C49E8"/>
    <w:rsid w:val="003C5CDD"/>
    <w:rsid w:val="003F0BD5"/>
    <w:rsid w:val="0041626C"/>
    <w:rsid w:val="004240D0"/>
    <w:rsid w:val="00430A56"/>
    <w:rsid w:val="00441E2F"/>
    <w:rsid w:val="00463BA1"/>
    <w:rsid w:val="00480B66"/>
    <w:rsid w:val="00486B6A"/>
    <w:rsid w:val="004A749F"/>
    <w:rsid w:val="004E1FC8"/>
    <w:rsid w:val="004F1AD5"/>
    <w:rsid w:val="00533FD1"/>
    <w:rsid w:val="00555A74"/>
    <w:rsid w:val="00565087"/>
    <w:rsid w:val="005A3778"/>
    <w:rsid w:val="005B2903"/>
    <w:rsid w:val="005C1F8A"/>
    <w:rsid w:val="005C32BB"/>
    <w:rsid w:val="005F16B3"/>
    <w:rsid w:val="005F7C5B"/>
    <w:rsid w:val="00624C5B"/>
    <w:rsid w:val="006563EF"/>
    <w:rsid w:val="006679B3"/>
    <w:rsid w:val="00684B08"/>
    <w:rsid w:val="006930FB"/>
    <w:rsid w:val="006A2BAC"/>
    <w:rsid w:val="006B495B"/>
    <w:rsid w:val="006D0B47"/>
    <w:rsid w:val="006D3738"/>
    <w:rsid w:val="006D6613"/>
    <w:rsid w:val="006E70AC"/>
    <w:rsid w:val="0070124D"/>
    <w:rsid w:val="007069B4"/>
    <w:rsid w:val="00721D0B"/>
    <w:rsid w:val="007242ED"/>
    <w:rsid w:val="00742C98"/>
    <w:rsid w:val="00747F75"/>
    <w:rsid w:val="00754608"/>
    <w:rsid w:val="007548B2"/>
    <w:rsid w:val="0075725B"/>
    <w:rsid w:val="007878F8"/>
    <w:rsid w:val="007B63B6"/>
    <w:rsid w:val="007C147C"/>
    <w:rsid w:val="007E04E7"/>
    <w:rsid w:val="007E3460"/>
    <w:rsid w:val="007F5044"/>
    <w:rsid w:val="007F7100"/>
    <w:rsid w:val="00812FDF"/>
    <w:rsid w:val="00825AC2"/>
    <w:rsid w:val="00862725"/>
    <w:rsid w:val="00862FBA"/>
    <w:rsid w:val="00865BC0"/>
    <w:rsid w:val="00865BCB"/>
    <w:rsid w:val="008750B0"/>
    <w:rsid w:val="00891FE1"/>
    <w:rsid w:val="008A146E"/>
    <w:rsid w:val="008E0825"/>
    <w:rsid w:val="009048FD"/>
    <w:rsid w:val="0092605D"/>
    <w:rsid w:val="0094795D"/>
    <w:rsid w:val="009524C9"/>
    <w:rsid w:val="009736D8"/>
    <w:rsid w:val="009B7D69"/>
    <w:rsid w:val="009C16D9"/>
    <w:rsid w:val="009C6AF6"/>
    <w:rsid w:val="009E36D8"/>
    <w:rsid w:val="009F1BAB"/>
    <w:rsid w:val="009F74FA"/>
    <w:rsid w:val="00A00363"/>
    <w:rsid w:val="00A37384"/>
    <w:rsid w:val="00A86C14"/>
    <w:rsid w:val="00A86EE2"/>
    <w:rsid w:val="00A9377A"/>
    <w:rsid w:val="00A95BD5"/>
    <w:rsid w:val="00AC0373"/>
    <w:rsid w:val="00AC6876"/>
    <w:rsid w:val="00AD1776"/>
    <w:rsid w:val="00AD3C17"/>
    <w:rsid w:val="00B221AA"/>
    <w:rsid w:val="00B250F6"/>
    <w:rsid w:val="00B30E14"/>
    <w:rsid w:val="00B33BDE"/>
    <w:rsid w:val="00B433BF"/>
    <w:rsid w:val="00B445B1"/>
    <w:rsid w:val="00B47E52"/>
    <w:rsid w:val="00B62FEA"/>
    <w:rsid w:val="00B7496A"/>
    <w:rsid w:val="00B900D7"/>
    <w:rsid w:val="00B926BB"/>
    <w:rsid w:val="00B92EA2"/>
    <w:rsid w:val="00BA16AC"/>
    <w:rsid w:val="00BA744E"/>
    <w:rsid w:val="00BB1FE2"/>
    <w:rsid w:val="00BE2A81"/>
    <w:rsid w:val="00BF7893"/>
    <w:rsid w:val="00C00B7A"/>
    <w:rsid w:val="00C15D69"/>
    <w:rsid w:val="00C20FC0"/>
    <w:rsid w:val="00C33026"/>
    <w:rsid w:val="00C5710B"/>
    <w:rsid w:val="00CD3262"/>
    <w:rsid w:val="00CF1E9E"/>
    <w:rsid w:val="00D07894"/>
    <w:rsid w:val="00D107F5"/>
    <w:rsid w:val="00D11994"/>
    <w:rsid w:val="00D210F7"/>
    <w:rsid w:val="00D37915"/>
    <w:rsid w:val="00D62B1E"/>
    <w:rsid w:val="00D637F9"/>
    <w:rsid w:val="00D645EE"/>
    <w:rsid w:val="00D67976"/>
    <w:rsid w:val="00D74DC6"/>
    <w:rsid w:val="00D87837"/>
    <w:rsid w:val="00D905B4"/>
    <w:rsid w:val="00DC255C"/>
    <w:rsid w:val="00DC31B1"/>
    <w:rsid w:val="00DF1D60"/>
    <w:rsid w:val="00E13330"/>
    <w:rsid w:val="00E145C7"/>
    <w:rsid w:val="00E40E85"/>
    <w:rsid w:val="00E4400B"/>
    <w:rsid w:val="00E53C43"/>
    <w:rsid w:val="00E71C6D"/>
    <w:rsid w:val="00E7746A"/>
    <w:rsid w:val="00E933E4"/>
    <w:rsid w:val="00E96B6F"/>
    <w:rsid w:val="00EC6E1B"/>
    <w:rsid w:val="00F26821"/>
    <w:rsid w:val="00F56676"/>
    <w:rsid w:val="00F62A61"/>
    <w:rsid w:val="00F63585"/>
    <w:rsid w:val="00F6496B"/>
    <w:rsid w:val="00F81566"/>
    <w:rsid w:val="00F841AA"/>
    <w:rsid w:val="00F852C6"/>
    <w:rsid w:val="00FA7116"/>
    <w:rsid w:val="00FB1AD3"/>
    <w:rsid w:val="00FB7B2E"/>
    <w:rsid w:val="00FD3F61"/>
    <w:rsid w:val="00FE0884"/>
    <w:rsid w:val="00FF0632"/>
  </w:rsids>
  <m:mathPr>
    <m:mathFont m:val="Shrut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BB"/>
    <w:pPr>
      <w:widowControl w:val="0"/>
      <w:autoSpaceDE w:val="0"/>
      <w:autoSpaceDN w:val="0"/>
      <w:adjustRightInd w:val="0"/>
    </w:pPr>
    <w:rPr>
      <w:rFonts w:ascii="Shruti" w:eastAsia="Times New Roman" w:hAnsi="Shrut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7548B2"/>
    <w:pPr>
      <w:tabs>
        <w:tab w:val="center" w:pos="4320"/>
        <w:tab w:val="right" w:pos="8640"/>
      </w:tabs>
    </w:pPr>
  </w:style>
  <w:style w:type="character" w:customStyle="1" w:styleId="HeaderChar">
    <w:name w:val="Header Char"/>
    <w:basedOn w:val="DefaultParagraphFont"/>
    <w:link w:val="Header"/>
    <w:uiPriority w:val="99"/>
    <w:semiHidden/>
    <w:rsid w:val="007548B2"/>
    <w:rPr>
      <w:rFonts w:ascii="Shruti" w:eastAsia="Times New Roman" w:hAnsi="Shruti" w:cs="Times New Roman"/>
    </w:rPr>
  </w:style>
  <w:style w:type="paragraph" w:styleId="Footer">
    <w:name w:val="footer"/>
    <w:basedOn w:val="Normal"/>
    <w:link w:val="FooterChar"/>
    <w:uiPriority w:val="99"/>
    <w:semiHidden/>
    <w:unhideWhenUsed/>
    <w:rsid w:val="007548B2"/>
    <w:pPr>
      <w:tabs>
        <w:tab w:val="center" w:pos="4320"/>
        <w:tab w:val="right" w:pos="8640"/>
      </w:tabs>
    </w:pPr>
  </w:style>
  <w:style w:type="character" w:customStyle="1" w:styleId="FooterChar">
    <w:name w:val="Footer Char"/>
    <w:basedOn w:val="DefaultParagraphFont"/>
    <w:link w:val="Footer"/>
    <w:uiPriority w:val="99"/>
    <w:semiHidden/>
    <w:rsid w:val="007548B2"/>
    <w:rPr>
      <w:rFonts w:ascii="Shruti" w:eastAsia="Times New Roman" w:hAnsi="Shruti"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9</Pages>
  <Words>1962</Words>
  <Characters>11185</Characters>
  <Application>Microsoft Macintosh Word</Application>
  <DocSecurity>0</DocSecurity>
  <Lines>93</Lines>
  <Paragraphs>22</Paragraphs>
  <ScaleCrop>false</ScaleCrop>
  <LinksUpToDate>false</LinksUpToDate>
  <CharactersWithSpaces>13735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Finazzo</dc:creator>
  <cp:keywords/>
  <cp:lastModifiedBy>Anna P. Finazzo</cp:lastModifiedBy>
  <cp:revision>132</cp:revision>
  <dcterms:created xsi:type="dcterms:W3CDTF">2011-01-30T21:09:00Z</dcterms:created>
  <dcterms:modified xsi:type="dcterms:W3CDTF">2012-05-08T16:18:00Z</dcterms:modified>
</cp:coreProperties>
</file>