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Competition Law Cheat Sheet – Part B (Singapore Bar)</w:t>
      </w:r>
    </w:p>
    <w:p>
      <w:pPr>
        <w:pStyle w:val="Heading1"/>
      </w:pPr>
      <w:r>
        <w:t>Table of Contents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Page</w:t>
            </w:r>
          </w:p>
        </w:tc>
      </w:tr>
      <w:tr>
        <w:tc>
          <w:tcPr>
            <w:tcW w:type="dxa" w:w="4320"/>
          </w:tcPr>
          <w:p>
            <w:r>
              <w:t>Introduction to Competition Law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Anti-competitive Agreements (s34 CA)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Abuse of Dominant Position (s47 CA)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Merger Control (s54 CA)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Enforcement &amp; Remedies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Key Case Studies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>
      <w:pPr>
        <w:pStyle w:val="Heading1"/>
      </w:pPr>
      <w:r>
        <w:t>SECTION 1: INTRODUCTION TO COMPETITION LAW</w:t>
      </w:r>
    </w:p>
    <w:p>
      <w:pPr>
        <w:pStyle w:val="Heading2"/>
      </w:pPr>
      <w:r>
        <w:t>Purpose</w:t>
      </w:r>
    </w:p>
    <w:p>
      <w:r>
        <w:t>Competition law corrects market failure caused by anti-competitive behaviour to protect the competitive process in Singapore.</w:t>
      </w:r>
    </w:p>
    <w:p>
      <w:pPr>
        <w:pStyle w:val="Heading2"/>
      </w:pPr>
      <w:r>
        <w:t>Key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Principle</w:t>
            </w:r>
          </w:p>
        </w:tc>
        <w:tc>
          <w:tcPr>
            <w:tcW w:type="dxa" w:w="4320"/>
          </w:tcPr>
          <w:p>
            <w:r>
              <w:t>Explanation</w:t>
            </w:r>
          </w:p>
        </w:tc>
      </w:tr>
      <w:tr>
        <w:tc>
          <w:tcPr>
            <w:tcW w:type="dxa" w:w="4320"/>
          </w:tcPr>
          <w:p>
            <w:r>
              <w:t>Market Competition</w:t>
            </w:r>
          </w:p>
        </w:tc>
        <w:tc>
          <w:tcPr>
            <w:tcW w:type="dxa" w:w="4320"/>
          </w:tcPr>
          <w:p>
            <w:r>
              <w:t>Competitive markets lead to good outcomes for consumers</w:t>
            </w:r>
          </w:p>
        </w:tc>
      </w:tr>
      <w:tr>
        <w:tc>
          <w:tcPr>
            <w:tcW w:type="dxa" w:w="4320"/>
          </w:tcPr>
          <w:p>
            <w:r>
              <w:t>Market Failure Correction</w:t>
            </w:r>
          </w:p>
        </w:tc>
        <w:tc>
          <w:tcPr>
            <w:tcW w:type="dxa" w:w="4320"/>
          </w:tcPr>
          <w:p>
            <w:r>
              <w:t>Addresses anti-competitive behaviour that disadvantages consumers and competitors</w:t>
            </w:r>
          </w:p>
        </w:tc>
      </w:tr>
      <w:tr>
        <w:tc>
          <w:tcPr>
            <w:tcW w:type="dxa" w:w="4320"/>
          </w:tcPr>
          <w:p>
            <w:r>
              <w:t>Process Protection</w:t>
            </w:r>
          </w:p>
        </w:tc>
        <w:tc>
          <w:tcPr>
            <w:tcW w:type="dxa" w:w="4320"/>
          </w:tcPr>
          <w:p>
            <w:r>
              <w:t>Protects the process of competition, not individual competitors</w:t>
            </w:r>
          </w:p>
        </w:tc>
      </w:tr>
      <w:tr>
        <w:tc>
          <w:tcPr>
            <w:tcW w:type="dxa" w:w="4320"/>
          </w:tcPr>
          <w:p>
            <w:r>
              <w:t>Consumer Welfare</w:t>
            </w:r>
          </w:p>
        </w:tc>
        <w:tc>
          <w:tcPr>
            <w:tcW w:type="dxa" w:w="4320"/>
          </w:tcPr>
          <w:p>
            <w:r>
              <w:t>Ultimate goal is to benefit consumers through competitive markets</w:t>
            </w:r>
          </w:p>
        </w:tc>
      </w:tr>
    </w:tbl>
    <w:p>
      <w:pPr>
        <w:pStyle w:val="Heading2"/>
      </w:pPr>
      <w:r>
        <w:t>Competition and Consumer Commission of Singapore (CCCS)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Statutory board of MTI</w:t>
            </w:r>
          </w:p>
        </w:tc>
      </w:tr>
      <w:tr>
        <w:tc>
          <w:tcPr>
            <w:tcW w:type="dxa" w:w="4320"/>
          </w:tcPr>
          <w:p>
            <w:r>
              <w:t>Public Cases</w:t>
            </w:r>
          </w:p>
        </w:tc>
        <w:tc>
          <w:tcPr>
            <w:tcW w:type="dxa" w:w="4320"/>
          </w:tcPr>
          <w:p>
            <w:r>
              <w:t>750+ publicly recorded cases</w:t>
            </w:r>
          </w:p>
        </w:tc>
      </w:tr>
      <w:tr>
        <w:tc>
          <w:tcPr>
            <w:tcW w:type="dxa" w:w="4320"/>
          </w:tcPr>
          <w:p>
            <w:r>
              <w:t>Infringement Decisions</w:t>
            </w:r>
          </w:p>
        </w:tc>
        <w:tc>
          <w:tcPr>
            <w:tcW w:type="dxa" w:w="4320"/>
          </w:tcPr>
          <w:p>
            <w:r>
              <w:t>19 issued</w:t>
            </w:r>
          </w:p>
        </w:tc>
      </w:tr>
      <w:tr>
        <w:tc>
          <w:tcPr>
            <w:tcW w:type="dxa" w:w="4320"/>
          </w:tcPr>
          <w:p>
            <w:r>
              <w:t>Financial Penalties</w:t>
            </w:r>
          </w:p>
        </w:tc>
        <w:tc>
          <w:tcPr>
            <w:tcW w:type="dxa" w:w="4320"/>
          </w:tcPr>
          <w:p>
            <w:r>
              <w:t>Close to S$80 million imposed</w:t>
            </w:r>
          </w:p>
        </w:tc>
      </w:tr>
      <w:tr>
        <w:tc>
          <w:tcPr>
            <w:tcW w:type="dxa" w:w="4320"/>
          </w:tcPr>
          <w:p>
            <w:r>
              <w:t>Jail Terms</w:t>
            </w:r>
          </w:p>
        </w:tc>
        <w:tc>
          <w:tcPr>
            <w:tcW w:type="dxa" w:w="4320"/>
          </w:tcPr>
          <w:p>
            <w:r>
              <w:t>None yet for anti-competitive conduct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Investigations confidential by default; only proposed infringement decisions made public</w:t>
            </w:r>
          </w:p>
        </w:tc>
      </w:tr>
    </w:tbl>
    <w:p>
      <w:pPr>
        <w:pStyle w:val="Heading1"/>
      </w:pPr>
      <w:r>
        <w:t>SECTION 2: ANTI-COMPETITIVE AGREEMENTS (S34 CA)</w:t>
      </w:r>
    </w:p>
    <w:p>
      <w:pPr>
        <w:pStyle w:val="Heading2"/>
      </w:pPr>
      <w:r>
        <w:t>Statutory Basis</w:t>
      </w:r>
    </w:p>
    <w:p>
      <w:r>
        <w:t>Competition Act s34 - Market Behaviour Prohibition/Antitrust</w:t>
      </w:r>
    </w:p>
    <w:p>
      <w:pPr>
        <w:pStyle w:val="Heading2"/>
      </w:pPr>
      <w:r>
        <w:t>Three Elements Test</w:t>
      </w:r>
    </w:p>
    <w:p>
      <w:r>
        <w:t>An agreement or concerted practice is prohibited if it has the object OR effect of preventing, restricting, or distorting competition.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Key Points</w:t>
            </w:r>
          </w:p>
        </w:tc>
      </w:tr>
      <w:tr>
        <w:tc>
          <w:tcPr>
            <w:tcW w:type="dxa" w:w="2880"/>
          </w:tcPr>
          <w:p>
            <w:r>
              <w:t>Element 1</w:t>
            </w:r>
          </w:p>
        </w:tc>
        <w:tc>
          <w:tcPr>
            <w:tcW w:type="dxa" w:w="2880"/>
          </w:tcPr>
          <w:p>
            <w:r>
              <w:t>Agreement or Concerted Practice</w:t>
            </w:r>
          </w:p>
        </w:tc>
        <w:tc>
          <w:tcPr>
            <w:tcW w:type="dxa" w:w="2880"/>
          </w:tcPr>
          <w:p>
            <w:r>
              <w:t>Formal/informal arrangements between undertakings</w:t>
            </w:r>
          </w:p>
        </w:tc>
      </w:tr>
      <w:tr>
        <w:tc>
          <w:tcPr>
            <w:tcW w:type="dxa" w:w="2880"/>
          </w:tcPr>
          <w:p>
            <w:r>
              <w:t>Element 2</w:t>
            </w:r>
          </w:p>
        </w:tc>
        <w:tc>
          <w:tcPr>
            <w:tcW w:type="dxa" w:w="2880"/>
          </w:tcPr>
          <w:p>
            <w:r>
              <w:t>Object OR Effect</w:t>
            </w:r>
          </w:p>
        </w:tc>
        <w:tc>
          <w:tcPr>
            <w:tcW w:type="dxa" w:w="2880"/>
          </w:tcPr>
          <w:p>
            <w:r>
              <w:t>Infringing if either intent or effect present</w:t>
            </w:r>
          </w:p>
        </w:tc>
      </w:tr>
      <w:tr>
        <w:tc>
          <w:tcPr>
            <w:tcW w:type="dxa" w:w="2880"/>
          </w:tcPr>
          <w:p>
            <w:r>
              <w:t>Element 3</w:t>
            </w:r>
          </w:p>
        </w:tc>
        <w:tc>
          <w:tcPr>
            <w:tcW w:type="dxa" w:w="2880"/>
          </w:tcPr>
          <w:p>
            <w:r>
              <w:t>Prevention/Restriction/Distortion</w:t>
            </w:r>
          </w:p>
        </w:tc>
        <w:tc>
          <w:tcPr>
            <w:tcW w:type="dxa" w:w="2880"/>
          </w:tcPr>
          <w:p>
            <w:r>
              <w:t>Must affect competition in Singapore market</w:t>
            </w:r>
          </w:p>
        </w:tc>
      </w:tr>
    </w:tbl>
    <w:p>
      <w:pPr>
        <w:pStyle w:val="Heading2"/>
      </w:pPr>
      <w:r>
        <w:t>Appreciable Adverse Effect on Competition (AAEC) Test</w:t>
      </w:r>
    </w:p>
    <w:p>
      <w:r>
        <w:t>Step-by-step analysis to determine if agreement has appreciable adverse effect on competition.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Analysis</w:t>
            </w:r>
          </w:p>
        </w:tc>
      </w:tr>
      <w:tr>
        <w:tc>
          <w:tcPr>
            <w:tcW w:type="dxa" w:w="4320"/>
          </w:tcPr>
          <w:p>
            <w:r>
              <w:t>Step 1</w:t>
            </w:r>
          </w:p>
        </w:tc>
        <w:tc>
          <w:tcPr>
            <w:tcW w:type="dxa" w:w="4320"/>
          </w:tcPr>
          <w:p>
            <w:r>
              <w:t>Define relevant market (product and geographic)</w:t>
            </w:r>
          </w:p>
        </w:tc>
      </w:tr>
      <w:tr>
        <w:tc>
          <w:tcPr>
            <w:tcW w:type="dxa" w:w="4320"/>
          </w:tcPr>
          <w:p>
            <w:r>
              <w:t>Step 2</w:t>
            </w:r>
          </w:p>
        </w:tc>
        <w:tc>
          <w:tcPr>
            <w:tcW w:type="dxa" w:w="4320"/>
          </w:tcPr>
          <w:p>
            <w:r>
              <w:t>Assess market power of parties</w:t>
            </w:r>
          </w:p>
        </w:tc>
      </w:tr>
      <w:tr>
        <w:tc>
          <w:tcPr>
            <w:tcW w:type="dxa" w:w="4320"/>
          </w:tcPr>
          <w:p>
            <w:r>
              <w:t>Step 3</w:t>
            </w:r>
          </w:p>
        </w:tc>
        <w:tc>
          <w:tcPr>
            <w:tcW w:type="dxa" w:w="4320"/>
          </w:tcPr>
          <w:p>
            <w:r>
              <w:t>Analyze competitive effects</w:t>
            </w:r>
          </w:p>
        </w:tc>
      </w:tr>
      <w:tr>
        <w:tc>
          <w:tcPr>
            <w:tcW w:type="dxa" w:w="4320"/>
          </w:tcPr>
          <w:p>
            <w:r>
              <w:t>Step 4</w:t>
            </w:r>
          </w:p>
        </w:tc>
        <w:tc>
          <w:tcPr>
            <w:tcW w:type="dxa" w:w="4320"/>
          </w:tcPr>
          <w:p>
            <w:r>
              <w:t>Consider efficiencies and benefits</w:t>
            </w:r>
          </w:p>
        </w:tc>
      </w:tr>
      <w:tr>
        <w:tc>
          <w:tcPr>
            <w:tcW w:type="dxa" w:w="4320"/>
          </w:tcPr>
          <w:p>
            <w:r>
              <w:t>Step 5</w:t>
            </w:r>
          </w:p>
        </w:tc>
        <w:tc>
          <w:tcPr>
            <w:tcW w:type="dxa" w:w="4320"/>
          </w:tcPr>
          <w:p>
            <w:r>
              <w:t>Determine if effect is appreciable</w:t>
            </w:r>
          </w:p>
        </w:tc>
      </w:tr>
    </w:tbl>
    <w:p>
      <w:pPr>
        <w:pStyle w:val="Heading2"/>
      </w:pPr>
      <w:r>
        <w:t>Grounds of Exclusion (Third Schedule)</w:t>
      </w:r>
    </w:p>
    <w:p>
      <w:r>
        <w:t>Certain agreements are excluded from s34 prohibition under specific conditions.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Exclusion Category</w:t>
            </w:r>
          </w:p>
        </w:tc>
        <w:tc>
          <w:tcPr>
            <w:tcW w:type="dxa" w:w="4320"/>
          </w:tcPr>
          <w:p>
            <w:r>
              <w:t>Conditions</w:t>
            </w:r>
          </w:p>
        </w:tc>
      </w:tr>
      <w:tr>
        <w:tc>
          <w:tcPr>
            <w:tcW w:type="dxa" w:w="4320"/>
          </w:tcPr>
          <w:p>
            <w:r>
              <w:t>Vertical Agreements</w:t>
            </w:r>
          </w:p>
        </w:tc>
        <w:tc>
          <w:tcPr>
            <w:tcW w:type="dxa" w:w="4320"/>
          </w:tcPr>
          <w:p>
            <w:r>
              <w:t>Resale price maintenance restrictions</w:t>
            </w:r>
          </w:p>
        </w:tc>
      </w:tr>
      <w:tr>
        <w:tc>
          <w:tcPr>
            <w:tcW w:type="dxa" w:w="4320"/>
          </w:tcPr>
          <w:p>
            <w:r>
              <w:t>Horizontal Agreements</w:t>
            </w:r>
          </w:p>
        </w:tc>
        <w:tc>
          <w:tcPr>
            <w:tcW w:type="dxa" w:w="4320"/>
          </w:tcPr>
          <w:p>
            <w:r>
              <w:t>Research &amp; development, specialization agreements</w:t>
            </w:r>
          </w:p>
        </w:tc>
      </w:tr>
      <w:tr>
        <w:tc>
          <w:tcPr>
            <w:tcW w:type="dxa" w:w="4320"/>
          </w:tcPr>
          <w:p>
            <w:r>
              <w:t>Public Interest</w:t>
            </w:r>
          </w:p>
        </w:tc>
        <w:tc>
          <w:tcPr>
            <w:tcW w:type="dxa" w:w="4320"/>
          </w:tcPr>
          <w:p>
            <w:r>
              <w:t>Agreements necessary for public policy objectives</w:t>
            </w:r>
          </w:p>
        </w:tc>
      </w:tr>
      <w:tr>
        <w:tc>
          <w:tcPr>
            <w:tcW w:type="dxa" w:w="4320"/>
          </w:tcPr>
          <w:p>
            <w:r>
              <w:t>De Minimis</w:t>
            </w:r>
          </w:p>
        </w:tc>
        <w:tc>
          <w:tcPr>
            <w:tcW w:type="dxa" w:w="4320"/>
          </w:tcPr>
          <w:p>
            <w:r>
              <w:t>Agreements with minimal market impact</w:t>
            </w:r>
          </w:p>
        </w:tc>
      </w:tr>
    </w:tbl>
    <w:p>
      <w:pPr>
        <w:pStyle w:val="Heading1"/>
      </w:pPr>
      <w:r>
        <w:t>SECTION 3: ABUSE OF DOMINANT POSITION (S47 CA)</w:t>
      </w:r>
    </w:p>
    <w:p>
      <w:pPr>
        <w:pStyle w:val="Heading2"/>
      </w:pPr>
      <w:r>
        <w:t>Statutory Basis</w:t>
      </w:r>
    </w:p>
    <w:p>
      <w:r>
        <w:t>Competition Act s47 - Market Behaviour Prohibition/Antitrust (Unilateral Conduct)</w:t>
      </w:r>
    </w:p>
    <w:p>
      <w:pPr>
        <w:pStyle w:val="Heading2"/>
      </w:pPr>
      <w:r>
        <w:t>Three-Step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Analysis</w:t>
            </w:r>
          </w:p>
        </w:tc>
        <w:tc>
          <w:tcPr>
            <w:tcW w:type="dxa" w:w="2880"/>
          </w:tcPr>
          <w:p>
            <w:r>
              <w:t>Key Considerations</w:t>
            </w:r>
          </w:p>
        </w:tc>
      </w:tr>
      <w:tr>
        <w:tc>
          <w:tcPr>
            <w:tcW w:type="dxa" w:w="2880"/>
          </w:tcPr>
          <w:p>
            <w:r>
              <w:t>Step 1</w:t>
            </w:r>
          </w:p>
        </w:tc>
        <w:tc>
          <w:tcPr>
            <w:tcW w:type="dxa" w:w="2880"/>
          </w:tcPr>
          <w:p>
            <w:r>
              <w:t>Market Definition</w:t>
            </w:r>
          </w:p>
        </w:tc>
        <w:tc>
          <w:tcPr>
            <w:tcW w:type="dxa" w:w="2880"/>
          </w:tcPr>
          <w:p>
            <w:r>
              <w:t>Product and geographic market boundaries</w:t>
            </w:r>
          </w:p>
        </w:tc>
      </w:tr>
      <w:tr>
        <w:tc>
          <w:tcPr>
            <w:tcW w:type="dxa" w:w="2880"/>
          </w:tcPr>
          <w:p>
            <w:r>
              <w:t>Step 2</w:t>
            </w:r>
          </w:p>
        </w:tc>
        <w:tc>
          <w:tcPr>
            <w:tcW w:type="dxa" w:w="2880"/>
          </w:tcPr>
          <w:p>
            <w:r>
              <w:t>Dominance Assessment</w:t>
            </w:r>
          </w:p>
        </w:tc>
        <w:tc>
          <w:tcPr>
            <w:tcW w:type="dxa" w:w="2880"/>
          </w:tcPr>
          <w:p>
            <w:r>
              <w:t>Market power or market share as proxy</w:t>
            </w:r>
          </w:p>
        </w:tc>
      </w:tr>
      <w:tr>
        <w:tc>
          <w:tcPr>
            <w:tcW w:type="dxa" w:w="2880"/>
          </w:tcPr>
          <w:p>
            <w:r>
              <w:t>Step 3</w:t>
            </w:r>
          </w:p>
        </w:tc>
        <w:tc>
          <w:tcPr>
            <w:tcW w:type="dxa" w:w="2880"/>
          </w:tcPr>
          <w:p>
            <w:r>
              <w:t>Abusive Conduct</w:t>
            </w:r>
          </w:p>
        </w:tc>
        <w:tc>
          <w:tcPr>
            <w:tcW w:type="dxa" w:w="2880"/>
          </w:tcPr>
          <w:p>
            <w:r>
              <w:t>Exclusionary conduct or foreclosure effects</w:t>
            </w:r>
          </w:p>
        </w:tc>
      </w:tr>
    </w:tbl>
    <w:p>
      <w:pPr>
        <w:pStyle w:val="Heading2"/>
      </w:pPr>
      <w:r>
        <w:t>Market Definition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Factors</w:t>
            </w:r>
          </w:p>
        </w:tc>
      </w:tr>
      <w:tr>
        <w:tc>
          <w:tcPr>
            <w:tcW w:type="dxa" w:w="4320"/>
          </w:tcPr>
          <w:p>
            <w:r>
              <w:t>Product Market</w:t>
            </w:r>
          </w:p>
        </w:tc>
        <w:tc>
          <w:tcPr>
            <w:tcW w:type="dxa" w:w="4320"/>
          </w:tcPr>
          <w:p>
            <w:r>
              <w:t>Demand substitutability, supply substitutability, functional interchangeability</w:t>
            </w:r>
          </w:p>
        </w:tc>
      </w:tr>
      <w:tr>
        <w:tc>
          <w:tcPr>
            <w:tcW w:type="dxa" w:w="4320"/>
          </w:tcPr>
          <w:p>
            <w:r>
              <w:t>Geographic Market</w:t>
            </w:r>
          </w:p>
        </w:tc>
        <w:tc>
          <w:tcPr>
            <w:tcW w:type="dxa" w:w="4320"/>
          </w:tcPr>
          <w:p>
            <w:r>
              <w:t>Transportation costs, regulatory barriers, consumer preferences</w:t>
            </w:r>
          </w:p>
        </w:tc>
      </w:tr>
      <w:tr>
        <w:tc>
          <w:tcPr>
            <w:tcW w:type="dxa" w:w="4320"/>
          </w:tcPr>
          <w:p>
            <w:r>
              <w:t>Temporal Market</w:t>
            </w:r>
          </w:p>
        </w:tc>
        <w:tc>
          <w:tcPr>
            <w:tcW w:type="dxa" w:w="4320"/>
          </w:tcPr>
          <w:p>
            <w:r>
              <w:t>Seasonal variations, technological changes, market evolution</w:t>
            </w:r>
          </w:p>
        </w:tc>
      </w:tr>
    </w:tbl>
    <w:p>
      <w:pPr>
        <w:pStyle w:val="Heading2"/>
      </w:pPr>
      <w:r>
        <w:t>Dominance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Indicator</w:t>
            </w:r>
          </w:p>
        </w:tc>
        <w:tc>
          <w:tcPr>
            <w:tcW w:type="dxa" w:w="4320"/>
          </w:tcPr>
          <w:p>
            <w:r>
              <w:t>Significance</w:t>
            </w:r>
          </w:p>
        </w:tc>
      </w:tr>
      <w:tr>
        <w:tc>
          <w:tcPr>
            <w:tcW w:type="dxa" w:w="4320"/>
          </w:tcPr>
          <w:p>
            <w:r>
              <w:t>Market Share</w:t>
            </w:r>
          </w:p>
        </w:tc>
        <w:tc>
          <w:tcPr>
            <w:tcW w:type="dxa" w:w="4320"/>
          </w:tcPr>
          <w:p>
            <w:r>
              <w:t>High market share suggests dominance (but not conclusive)</w:t>
            </w:r>
          </w:p>
        </w:tc>
      </w:tr>
      <w:tr>
        <w:tc>
          <w:tcPr>
            <w:tcW w:type="dxa" w:w="4320"/>
          </w:tcPr>
          <w:p>
            <w:r>
              <w:t>Barriers to Entry</w:t>
            </w:r>
          </w:p>
        </w:tc>
        <w:tc>
          <w:tcPr>
            <w:tcW w:type="dxa" w:w="4320"/>
          </w:tcPr>
          <w:p>
            <w:r>
              <w:t>High barriers indicate market power</w:t>
            </w:r>
          </w:p>
        </w:tc>
      </w:tr>
      <w:tr>
        <w:tc>
          <w:tcPr>
            <w:tcW w:type="dxa" w:w="4320"/>
          </w:tcPr>
          <w:p>
            <w:r>
              <w:t>Countervailing Buyer Power</w:t>
            </w:r>
          </w:p>
        </w:tc>
        <w:tc>
          <w:tcPr>
            <w:tcW w:type="dxa" w:w="4320"/>
          </w:tcPr>
          <w:p>
            <w:r>
              <w:t>Limited buyer power suggests supplier dominance</w:t>
            </w:r>
          </w:p>
        </w:tc>
      </w:tr>
      <w:tr>
        <w:tc>
          <w:tcPr>
            <w:tcW w:type="dxa" w:w="4320"/>
          </w:tcPr>
          <w:p>
            <w:r>
              <w:t>Market Structure</w:t>
            </w:r>
          </w:p>
        </w:tc>
        <w:tc>
          <w:tcPr>
            <w:tcW w:type="dxa" w:w="4320"/>
          </w:tcPr>
          <w:p>
            <w:r>
              <w:t>Concentrated markets more likely to have dominant firms</w:t>
            </w:r>
          </w:p>
        </w:tc>
      </w:tr>
    </w:tbl>
    <w:p>
      <w:pPr>
        <w:pStyle w:val="Heading2"/>
      </w:pPr>
      <w:r>
        <w:t>Types of Abusive Conduct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Conduct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</w:tr>
      <w:tr>
        <w:tc>
          <w:tcPr>
            <w:tcW w:type="dxa" w:w="2880"/>
          </w:tcPr>
          <w:p>
            <w:r>
              <w:t>Exclusionary</w:t>
            </w:r>
          </w:p>
        </w:tc>
        <w:tc>
          <w:tcPr>
            <w:tcW w:type="dxa" w:w="2880"/>
          </w:tcPr>
          <w:p>
            <w:r>
              <w:t>Conduct that excludes competitors</w:t>
            </w:r>
          </w:p>
        </w:tc>
        <w:tc>
          <w:tcPr>
            <w:tcW w:type="dxa" w:w="2880"/>
          </w:tcPr>
          <w:p>
            <w:r>
              <w:t>Predatory pricing, exclusive dealing</w:t>
            </w:r>
          </w:p>
        </w:tc>
      </w:tr>
      <w:tr>
        <w:tc>
          <w:tcPr>
            <w:tcW w:type="dxa" w:w="2880"/>
          </w:tcPr>
          <w:p>
            <w:r>
              <w:t>Exploitative</w:t>
            </w:r>
          </w:p>
        </w:tc>
        <w:tc>
          <w:tcPr>
            <w:tcW w:type="dxa" w:w="2880"/>
          </w:tcPr>
          <w:p>
            <w:r>
              <w:t>Conduct that exploits customers</w:t>
            </w:r>
          </w:p>
        </w:tc>
        <w:tc>
          <w:tcPr>
            <w:tcW w:type="dxa" w:w="2880"/>
          </w:tcPr>
          <w:p>
            <w:r>
              <w:t>Excessive pricing, unfair trading conditions</w:t>
            </w:r>
          </w:p>
        </w:tc>
      </w:tr>
      <w:tr>
        <w:tc>
          <w:tcPr>
            <w:tcW w:type="dxa" w:w="2880"/>
          </w:tcPr>
          <w:p>
            <w:r>
              <w:t>Discriminatory</w:t>
            </w:r>
          </w:p>
        </w:tc>
        <w:tc>
          <w:tcPr>
            <w:tcW w:type="dxa" w:w="2880"/>
          </w:tcPr>
          <w:p>
            <w:r>
              <w:t>Different treatment of equivalent transactions</w:t>
            </w:r>
          </w:p>
        </w:tc>
        <w:tc>
          <w:tcPr>
            <w:tcW w:type="dxa" w:w="2880"/>
          </w:tcPr>
          <w:p>
            <w:r>
              <w:t>Price discrimination, selective dealing</w:t>
            </w:r>
          </w:p>
        </w:tc>
      </w:tr>
    </w:tbl>
    <w:p>
      <w:pPr>
        <w:pStyle w:val="Heading1"/>
      </w:pPr>
      <w:r>
        <w:t>SECTION 4: MERGER CONTROL (S54 CA)</w:t>
      </w:r>
    </w:p>
    <w:p>
      <w:pPr>
        <w:pStyle w:val="Heading2"/>
      </w:pPr>
      <w:r>
        <w:t>Statutory Basis</w:t>
      </w:r>
    </w:p>
    <w:p>
      <w:r>
        <w:t>Competition Act s54 - Market Structure Prohibition</w:t>
      </w:r>
    </w:p>
    <w:p>
      <w:pPr>
        <w:pStyle w:val="Heading2"/>
      </w:pPr>
      <w:r>
        <w:t>Two-Element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Analysis</w:t>
            </w:r>
          </w:p>
        </w:tc>
      </w:tr>
      <w:tr>
        <w:tc>
          <w:tcPr>
            <w:tcW w:type="dxa" w:w="2880"/>
          </w:tcPr>
          <w:p>
            <w:r>
              <w:t>Element 1</w:t>
            </w:r>
          </w:p>
        </w:tc>
        <w:tc>
          <w:tcPr>
            <w:tcW w:type="dxa" w:w="2880"/>
          </w:tcPr>
          <w:p>
            <w:r>
              <w:t>Merger Coverage</w:t>
            </w:r>
          </w:p>
        </w:tc>
        <w:tc>
          <w:tcPr>
            <w:tcW w:type="dxa" w:w="2880"/>
          </w:tcPr>
          <w:p>
            <w:r>
              <w:t>Whether merger falls within s54 scope</w:t>
            </w:r>
          </w:p>
        </w:tc>
      </w:tr>
      <w:tr>
        <w:tc>
          <w:tcPr>
            <w:tcW w:type="dxa" w:w="2880"/>
          </w:tcPr>
          <w:p>
            <w:r>
              <w:t>Element 2</w:t>
            </w:r>
          </w:p>
        </w:tc>
        <w:tc>
          <w:tcPr>
            <w:tcW w:type="dxa" w:w="2880"/>
          </w:tcPr>
          <w:p>
            <w:r>
              <w:t>Substantial Lessening of Competition</w:t>
            </w:r>
          </w:p>
        </w:tc>
        <w:tc>
          <w:tcPr>
            <w:tcW w:type="dxa" w:w="2880"/>
          </w:tcPr>
          <w:p>
            <w:r>
              <w:t>Whether merger results in SLC in relevant market</w:t>
            </w:r>
          </w:p>
        </w:tc>
      </w:tr>
    </w:tbl>
    <w:p>
      <w:pPr>
        <w:pStyle w:val="Heading2"/>
      </w:pPr>
      <w:r>
        <w:t>Types of Mergers Covered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Merger Type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Asset Acquisition</w:t>
            </w:r>
          </w:p>
        </w:tc>
        <w:tc>
          <w:tcPr>
            <w:tcW w:type="dxa" w:w="4320"/>
          </w:tcPr>
          <w:p>
            <w:r>
              <w:t>Acquisition of assets constituting business</w:t>
            </w:r>
          </w:p>
        </w:tc>
      </w:tr>
      <w:tr>
        <w:tc>
          <w:tcPr>
            <w:tcW w:type="dxa" w:w="4320"/>
          </w:tcPr>
          <w:p>
            <w:r>
              <w:t>Share Acquisition</w:t>
            </w:r>
          </w:p>
        </w:tc>
        <w:tc>
          <w:tcPr>
            <w:tcW w:type="dxa" w:w="4320"/>
          </w:tcPr>
          <w:p>
            <w:r>
              <w:t>Acquisition of shares giving control</w:t>
            </w:r>
          </w:p>
        </w:tc>
      </w:tr>
      <w:tr>
        <w:tc>
          <w:tcPr>
            <w:tcW w:type="dxa" w:w="4320"/>
          </w:tcPr>
          <w:p>
            <w:r>
              <w:t>Joint Ventures</w:t>
            </w:r>
          </w:p>
        </w:tc>
        <w:tc>
          <w:tcPr>
            <w:tcW w:type="dxa" w:w="4320"/>
          </w:tcPr>
          <w:p>
            <w:r>
              <w:t>Creation of new entity with joint control</w:t>
            </w:r>
          </w:p>
        </w:tc>
      </w:tr>
      <w:tr>
        <w:tc>
          <w:tcPr>
            <w:tcW w:type="dxa" w:w="4320"/>
          </w:tcPr>
          <w:p>
            <w:r>
              <w:t>Management Control</w:t>
            </w:r>
          </w:p>
        </w:tc>
        <w:tc>
          <w:tcPr>
            <w:tcW w:type="dxa" w:w="4320"/>
          </w:tcPr>
          <w:p>
            <w:r>
              <w:t>Acquisition of control over business management</w:t>
            </w:r>
          </w:p>
        </w:tc>
      </w:tr>
    </w:tbl>
    <w:p>
      <w:pPr>
        <w:pStyle w:val="Heading2"/>
      </w:pPr>
      <w:r>
        <w:t>Substantial Lessening of Competition (SLC)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Factor</w:t>
            </w:r>
          </w:p>
        </w:tc>
        <w:tc>
          <w:tcPr>
            <w:tcW w:type="dxa" w:w="4320"/>
          </w:tcPr>
          <w:p>
            <w:r>
              <w:t>Consideration</w:t>
            </w:r>
          </w:p>
        </w:tc>
      </w:tr>
      <w:tr>
        <w:tc>
          <w:tcPr>
            <w:tcW w:type="dxa" w:w="4320"/>
          </w:tcPr>
          <w:p>
            <w:r>
              <w:t>Market Structure</w:t>
            </w:r>
          </w:p>
        </w:tc>
        <w:tc>
          <w:tcPr>
            <w:tcW w:type="dxa" w:w="4320"/>
          </w:tcPr>
          <w:p>
            <w:r>
              <w:t>Concentration levels, number of competitors</w:t>
            </w:r>
          </w:p>
        </w:tc>
      </w:tr>
      <w:tr>
        <w:tc>
          <w:tcPr>
            <w:tcW w:type="dxa" w:w="4320"/>
          </w:tcPr>
          <w:p>
            <w:r>
              <w:t>Market Power</w:t>
            </w:r>
          </w:p>
        </w:tc>
        <w:tc>
          <w:tcPr>
            <w:tcW w:type="dxa" w:w="4320"/>
          </w:tcPr>
          <w:p>
            <w:r>
              <w:t>Ability to raise prices or reduce output</w:t>
            </w:r>
          </w:p>
        </w:tc>
      </w:tr>
      <w:tr>
        <w:tc>
          <w:tcPr>
            <w:tcW w:type="dxa" w:w="4320"/>
          </w:tcPr>
          <w:p>
            <w:r>
              <w:t>Barriers to Entry</w:t>
            </w:r>
          </w:p>
        </w:tc>
        <w:tc>
          <w:tcPr>
            <w:tcW w:type="dxa" w:w="4320"/>
          </w:tcPr>
          <w:p>
            <w:r>
              <w:t>Ease of new competitors entering market</w:t>
            </w:r>
          </w:p>
        </w:tc>
      </w:tr>
      <w:tr>
        <w:tc>
          <w:tcPr>
            <w:tcW w:type="dxa" w:w="4320"/>
          </w:tcPr>
          <w:p>
            <w:r>
              <w:t>Countervailing Power</w:t>
            </w:r>
          </w:p>
        </w:tc>
        <w:tc>
          <w:tcPr>
            <w:tcW w:type="dxa" w:w="4320"/>
          </w:tcPr>
          <w:p>
            <w:r>
              <w:t>Buyer power, supplier alternatives</w:t>
            </w:r>
          </w:p>
        </w:tc>
      </w:tr>
      <w:tr>
        <w:tc>
          <w:tcPr>
            <w:tcW w:type="dxa" w:w="4320"/>
          </w:tcPr>
          <w:p>
            <w:r>
              <w:t>Efficiencies</w:t>
            </w:r>
          </w:p>
        </w:tc>
        <w:tc>
          <w:tcPr>
            <w:tcW w:type="dxa" w:w="4320"/>
          </w:tcPr>
          <w:p>
            <w:r>
              <w:t>Pro-competitive benefits from merger</w:t>
            </w:r>
          </w:p>
        </w:tc>
      </w:tr>
    </w:tbl>
    <w:p>
      <w:pPr>
        <w:pStyle w:val="Heading2"/>
      </w:pPr>
      <w:r>
        <w:t>CCCS Voluntary Merger Control Regime</w:t>
      </w:r>
    </w:p>
    <w:p>
      <w:r>
        <w:t>Parties may voluntarily notify CCCS for clearance decision on proposed mergers.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Notification Thresholds</w:t>
            </w:r>
          </w:p>
        </w:tc>
        <w:tc>
          <w:tcPr>
            <w:tcW w:type="dxa" w:w="4320"/>
          </w:tcPr>
          <w:p>
            <w:r>
              <w:t>Based on turnover and market share criteria</w:t>
            </w:r>
          </w:p>
        </w:tc>
      </w:tr>
      <w:tr>
        <w:tc>
          <w:tcPr>
            <w:tcW w:type="dxa" w:w="4320"/>
          </w:tcPr>
          <w:p>
            <w:r>
              <w:t>Review Period</w:t>
            </w:r>
          </w:p>
        </w:tc>
        <w:tc>
          <w:tcPr>
            <w:tcW w:type="dxa" w:w="4320"/>
          </w:tcPr>
          <w:p>
            <w:r>
              <w:t>Phase I: 30 working days; Phase II: 120 working days</w:t>
            </w:r>
          </w:p>
        </w:tc>
      </w:tr>
      <w:tr>
        <w:tc>
          <w:tcPr>
            <w:tcW w:type="dxa" w:w="4320"/>
          </w:tcPr>
          <w:p>
            <w:r>
              <w:t>Outcomes</w:t>
            </w:r>
          </w:p>
        </w:tc>
        <w:tc>
          <w:tcPr>
            <w:tcW w:type="dxa" w:w="4320"/>
          </w:tcPr>
          <w:p>
            <w:r>
              <w:t>Clearance, clearance with conditions, or prohibition</w:t>
            </w:r>
          </w:p>
        </w:tc>
      </w:tr>
      <w:tr>
        <w:tc>
          <w:tcPr>
            <w:tcW w:type="dxa" w:w="4320"/>
          </w:tcPr>
          <w:p>
            <w:r>
              <w:t>Legal Certainty</w:t>
            </w:r>
          </w:p>
        </w:tc>
        <w:tc>
          <w:tcPr>
            <w:tcW w:type="dxa" w:w="4320"/>
          </w:tcPr>
          <w:p>
            <w:r>
              <w:t>Notification provides immunity from challenge</w:t>
            </w:r>
          </w:p>
        </w:tc>
      </w:tr>
    </w:tbl>
    <w:p>
      <w:pPr>
        <w:pStyle w:val="Heading1"/>
      </w:pPr>
      <w:r>
        <w:t>SECTION 5: ENFORCEMENT &amp; REMEDIES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Remedy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Application</w:t>
            </w:r>
          </w:p>
        </w:tc>
      </w:tr>
      <w:tr>
        <w:tc>
          <w:tcPr>
            <w:tcW w:type="dxa" w:w="2880"/>
          </w:tcPr>
          <w:p>
            <w:r>
              <w:t>Commitments</w:t>
            </w:r>
          </w:p>
        </w:tc>
        <w:tc>
          <w:tcPr>
            <w:tcW w:type="dxa" w:w="2880"/>
          </w:tcPr>
          <w:p>
            <w:r>
              <w:t>Voluntary undertakings to remedy competition concerns</w:t>
            </w:r>
          </w:p>
        </w:tc>
        <w:tc>
          <w:tcPr>
            <w:tcW w:type="dxa" w:w="2880"/>
          </w:tcPr>
          <w:p>
            <w:r>
              <w:t>s34, s47, s54</w:t>
            </w:r>
          </w:p>
        </w:tc>
      </w:tr>
      <w:tr>
        <w:tc>
          <w:tcPr>
            <w:tcW w:type="dxa" w:w="2880"/>
          </w:tcPr>
          <w:p>
            <w:r>
              <w:t>Directions</w:t>
            </w:r>
          </w:p>
        </w:tc>
        <w:tc>
          <w:tcPr>
            <w:tcW w:type="dxa" w:w="2880"/>
          </w:tcPr>
          <w:p>
            <w:r>
              <w:t>Mandatory orders to cease conduct or dissolve merger</w:t>
            </w:r>
          </w:p>
        </w:tc>
        <w:tc>
          <w:tcPr>
            <w:tcW w:type="dxa" w:w="2880"/>
          </w:tcPr>
          <w:p>
            <w:r>
              <w:t>s34, s47, s54</w:t>
            </w:r>
          </w:p>
        </w:tc>
      </w:tr>
      <w:tr>
        <w:tc>
          <w:tcPr>
            <w:tcW w:type="dxa" w:w="2880"/>
          </w:tcPr>
          <w:p>
            <w:r>
              <w:t>Financial Penalties</w:t>
            </w:r>
          </w:p>
        </w:tc>
        <w:tc>
          <w:tcPr>
            <w:tcW w:type="dxa" w:w="2880"/>
          </w:tcPr>
          <w:p>
            <w:r>
              <w:t>Monetary fines for anti-competitive conduct</w:t>
            </w:r>
          </w:p>
        </w:tc>
        <w:tc>
          <w:tcPr>
            <w:tcW w:type="dxa" w:w="2880"/>
          </w:tcPr>
          <w:p>
            <w:r>
              <w:t>s34, s47 (up to 10% of turnover)</w:t>
            </w:r>
          </w:p>
        </w:tc>
      </w:tr>
      <w:tr>
        <w:tc>
          <w:tcPr>
            <w:tcW w:type="dxa" w:w="2880"/>
          </w:tcPr>
          <w:p>
            <w:r>
              <w:t>Interim Measures</w:t>
            </w:r>
          </w:p>
        </w:tc>
        <w:tc>
          <w:tcPr>
            <w:tcW w:type="dxa" w:w="2880"/>
          </w:tcPr>
          <w:p>
            <w:r>
              <w:t>Temporary orders pending full investigation</w:t>
            </w:r>
          </w:p>
        </w:tc>
        <w:tc>
          <w:tcPr>
            <w:tcW w:type="dxa" w:w="2880"/>
          </w:tcPr>
          <w:p>
            <w:r>
              <w:t>All provisions</w:t>
            </w:r>
          </w:p>
        </w:tc>
      </w:tr>
    </w:tbl>
    <w:p>
      <w:pPr>
        <w:pStyle w:val="Heading2"/>
      </w:pPr>
      <w:r>
        <w:t>CCCS Investigation Powers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Scope</w:t>
            </w:r>
          </w:p>
        </w:tc>
      </w:tr>
      <w:tr>
        <w:tc>
          <w:tcPr>
            <w:tcW w:type="dxa" w:w="4320"/>
          </w:tcPr>
          <w:p>
            <w:r>
              <w:t>Information Requests</w:t>
            </w:r>
          </w:p>
        </w:tc>
        <w:tc>
          <w:tcPr>
            <w:tcW w:type="dxa" w:w="4320"/>
          </w:tcPr>
          <w:p>
            <w:r>
              <w:t>Compel production of documents and information</w:t>
            </w:r>
          </w:p>
        </w:tc>
      </w:tr>
      <w:tr>
        <w:tc>
          <w:tcPr>
            <w:tcW w:type="dxa" w:w="4320"/>
          </w:tcPr>
          <w:p>
            <w:r>
              <w:t>Dawn Raids</w:t>
            </w:r>
          </w:p>
        </w:tc>
        <w:tc>
          <w:tcPr>
            <w:tcW w:type="dxa" w:w="4320"/>
          </w:tcPr>
          <w:p>
            <w:r>
              <w:t>Enter premises and seize documents</w:t>
            </w:r>
          </w:p>
        </w:tc>
      </w:tr>
      <w:tr>
        <w:tc>
          <w:tcPr>
            <w:tcW w:type="dxa" w:w="4320"/>
          </w:tcPr>
          <w:p>
            <w:r>
              <w:t>Witness Interviews</w:t>
            </w:r>
          </w:p>
        </w:tc>
        <w:tc>
          <w:tcPr>
            <w:tcW w:type="dxa" w:w="4320"/>
          </w:tcPr>
          <w:p>
            <w:r>
              <w:t>Interview individuals under oath</w:t>
            </w:r>
          </w:p>
        </w:tc>
      </w:tr>
      <w:tr>
        <w:tc>
          <w:tcPr>
            <w:tcW w:type="dxa" w:w="4320"/>
          </w:tcPr>
          <w:p>
            <w:r>
              <w:t>Market Studies</w:t>
            </w:r>
          </w:p>
        </w:tc>
        <w:tc>
          <w:tcPr>
            <w:tcW w:type="dxa" w:w="4320"/>
          </w:tcPr>
          <w:p>
            <w:r>
              <w:t>Investigate market conditions and practices</w:t>
            </w:r>
          </w:p>
        </w:tc>
      </w:tr>
    </w:tbl>
    <w:p>
      <w:pPr>
        <w:pStyle w:val="Heading2"/>
      </w:pPr>
      <w:r>
        <w:t>Appeals and Private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Avenue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Appeal to Competition Appeal Board</w:t>
            </w:r>
          </w:p>
        </w:tc>
        <w:tc>
          <w:tcPr>
            <w:tcW w:type="dxa" w:w="4320"/>
          </w:tcPr>
          <w:p>
            <w:r>
              <w:t>Review CCCS decisions on merits and law</w:t>
            </w:r>
          </w:p>
        </w:tc>
      </w:tr>
      <w:tr>
        <w:tc>
          <w:tcPr>
            <w:tcW w:type="dxa" w:w="4320"/>
          </w:tcPr>
          <w:p>
            <w:r>
              <w:t>Judicial Review</w:t>
            </w:r>
          </w:p>
        </w:tc>
        <w:tc>
          <w:tcPr>
            <w:tcW w:type="dxa" w:w="4320"/>
          </w:tcPr>
          <w:p>
            <w:r>
              <w:t>Challenge CCCS procedures and jurisdiction</w:t>
            </w:r>
          </w:p>
        </w:tc>
      </w:tr>
      <w:tr>
        <w:tc>
          <w:tcPr>
            <w:tcW w:type="dxa" w:w="4320"/>
          </w:tcPr>
          <w:p>
            <w:r>
              <w:t>Private Damages Actions</w:t>
            </w:r>
          </w:p>
        </w:tc>
        <w:tc>
          <w:tcPr>
            <w:tcW w:type="dxa" w:w="4320"/>
          </w:tcPr>
          <w:p>
            <w:r>
              <w:t>Claim compensation for competition law violations</w:t>
            </w:r>
          </w:p>
        </w:tc>
      </w:tr>
      <w:tr>
        <w:tc>
          <w:tcPr>
            <w:tcW w:type="dxa" w:w="4320"/>
          </w:tcPr>
          <w:p>
            <w:r>
              <w:t>Injunctive Relief</w:t>
            </w:r>
          </w:p>
        </w:tc>
        <w:tc>
          <w:tcPr>
            <w:tcW w:type="dxa" w:w="4320"/>
          </w:tcPr>
          <w:p>
            <w:r>
              <w:t>Seek court orders to stop anti-competitive conduct</w:t>
            </w:r>
          </w:p>
        </w:tc>
      </w:tr>
    </w:tbl>
    <w:p>
      <w:pPr>
        <w:pStyle w:val="Heading1"/>
      </w:pPr>
      <w:r>
        <w:t>SECTION 6: KEY CASE STUDIES</w:t>
      </w:r>
    </w:p>
    <w:p>
      <w:pPr>
        <w:pStyle w:val="Heading2"/>
      </w:pPr>
      <w:r>
        <w:t>Grab/Uber Merger (s54 SLC)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Findings</w:t>
            </w:r>
          </w:p>
        </w:tc>
      </w:tr>
      <w:tr>
        <w:tc>
          <w:tcPr>
            <w:tcW w:type="dxa" w:w="4320"/>
          </w:tcPr>
          <w:p>
            <w:r>
              <w:t>Market</w:t>
            </w:r>
          </w:p>
        </w:tc>
        <w:tc>
          <w:tcPr>
            <w:tcW w:type="dxa" w:w="4320"/>
          </w:tcPr>
          <w:p>
            <w:r>
              <w:t>Ride-hailing services in Singapore</w:t>
            </w:r>
          </w:p>
        </w:tc>
      </w:tr>
      <w:tr>
        <w:tc>
          <w:tcPr>
            <w:tcW w:type="dxa" w:w="4320"/>
          </w:tcPr>
          <w:p>
            <w:r>
              <w:t>SLC Assessment</w:t>
            </w:r>
          </w:p>
        </w:tc>
        <w:tc>
          <w:tcPr>
            <w:tcW w:type="dxa" w:w="4320"/>
          </w:tcPr>
          <w:p>
            <w:r>
              <w:t>Merger would substantially lessen competition</w:t>
            </w:r>
          </w:p>
        </w:tc>
      </w:tr>
      <w:tr>
        <w:tc>
          <w:tcPr>
            <w:tcW w:type="dxa" w:w="4320"/>
          </w:tcPr>
          <w:p>
            <w:r>
              <w:t>Remedies</w:t>
            </w:r>
          </w:p>
        </w:tc>
        <w:tc>
          <w:tcPr>
            <w:tcW w:type="dxa" w:w="4320"/>
          </w:tcPr>
          <w:p>
            <w:r>
              <w:t>Commitments to maintain competitive conditions</w:t>
            </w:r>
          </w:p>
        </w:tc>
      </w:tr>
      <w:tr>
        <w:tc>
          <w:tcPr>
            <w:tcW w:type="dxa" w:w="4320"/>
          </w:tcPr>
          <w:p>
            <w:r>
              <w:t>Outcome</w:t>
            </w:r>
          </w:p>
        </w:tc>
        <w:tc>
          <w:tcPr>
            <w:tcW w:type="dxa" w:w="4320"/>
          </w:tcPr>
          <w:p>
            <w:r>
              <w:t>Conditional clearance with ongoing monitoring</w:t>
            </w:r>
          </w:p>
        </w:tc>
      </w:tr>
    </w:tbl>
    <w:p>
      <w:pPr>
        <w:pStyle w:val="Heading2"/>
      </w:pPr>
      <w:r>
        <w:t>Capacitor Manufacturers Cartel (s34 CA)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Conduct</w:t>
            </w:r>
          </w:p>
        </w:tc>
        <w:tc>
          <w:tcPr>
            <w:tcW w:type="dxa" w:w="4320"/>
          </w:tcPr>
          <w:p>
            <w:r>
              <w:t>Global price-fixing and information exchange</w:t>
            </w:r>
          </w:p>
        </w:tc>
      </w:tr>
      <w:tr>
        <w:tc>
          <w:tcPr>
            <w:tcW w:type="dxa" w:w="4320"/>
          </w:tcPr>
          <w:p>
            <w:r>
              <w:t>Market</w:t>
            </w:r>
          </w:p>
        </w:tc>
        <w:tc>
          <w:tcPr>
            <w:tcW w:type="dxa" w:w="4320"/>
          </w:tcPr>
          <w:p>
            <w:r>
              <w:t>Aluminum electrolytic capacitors</w:t>
            </w:r>
          </w:p>
        </w:tc>
      </w:tr>
      <w:tr>
        <w:tc>
          <w:tcPr>
            <w:tcW w:type="dxa" w:w="4320"/>
          </w:tcPr>
          <w:p>
            <w:r>
              <w:t>Penalty</w:t>
            </w:r>
          </w:p>
        </w:tc>
        <w:tc>
          <w:tcPr>
            <w:tcW w:type="dxa" w:w="4320"/>
          </w:tcPr>
          <w:p>
            <w:r>
              <w:t>S$13.5 million total fines</w:t>
            </w:r>
          </w:p>
        </w:tc>
      </w:tr>
      <w:tr>
        <w:tc>
          <w:tcPr>
            <w:tcW w:type="dxa" w:w="4320"/>
          </w:tcPr>
          <w:p>
            <w:r>
              <w:t>Lesson</w:t>
            </w:r>
          </w:p>
        </w:tc>
        <w:tc>
          <w:tcPr>
            <w:tcW w:type="dxa" w:w="4320"/>
          </w:tcPr>
          <w:p>
            <w:r>
              <w:t>International cartels affect Singapore markets</w:t>
            </w:r>
          </w:p>
        </w:tc>
      </w:tr>
    </w:tbl>
    <w:p>
      <w:pPr>
        <w:pStyle w:val="Heading1"/>
      </w:pPr>
      <w:r>
        <w:t>Risk Management Guidelines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 Area</w:t>
            </w:r>
          </w:p>
        </w:tc>
        <w:tc>
          <w:tcPr>
            <w:tcW w:type="dxa" w:w="2880"/>
          </w:tcPr>
          <w:p>
            <w:r>
              <w:t>Prevention Measures</w:t>
            </w:r>
          </w:p>
        </w:tc>
        <w:tc>
          <w:tcPr>
            <w:tcW w:type="dxa" w:w="2880"/>
          </w:tcPr>
          <w:p>
            <w:r>
              <w:t>Compliance Steps</w:t>
            </w:r>
          </w:p>
        </w:tc>
      </w:tr>
      <w:tr>
        <w:tc>
          <w:tcPr>
            <w:tcW w:type="dxa" w:w="2880"/>
          </w:tcPr>
          <w:p>
            <w:r>
              <w:t>s34 Agreements</w:t>
            </w:r>
          </w:p>
        </w:tc>
        <w:tc>
          <w:tcPr>
            <w:tcW w:type="dxa" w:w="2880"/>
          </w:tcPr>
          <w:p>
            <w:r>
              <w:t>Avoid anti-competitive agreements</w:t>
            </w:r>
          </w:p>
        </w:tc>
        <w:tc>
          <w:tcPr>
            <w:tcW w:type="dxa" w:w="2880"/>
          </w:tcPr>
          <w:p>
            <w:r>
              <w:t>Legal review, compliance training</w:t>
            </w:r>
          </w:p>
        </w:tc>
      </w:tr>
      <w:tr>
        <w:tc>
          <w:tcPr>
            <w:tcW w:type="dxa" w:w="2880"/>
          </w:tcPr>
          <w:p>
            <w:r>
              <w:t>s47 Dominance</w:t>
            </w:r>
          </w:p>
        </w:tc>
        <w:tc>
          <w:tcPr>
            <w:tcW w:type="dxa" w:w="2880"/>
          </w:tcPr>
          <w:p>
            <w:r>
              <w:t>Monitor market position and conduct</w:t>
            </w:r>
          </w:p>
        </w:tc>
        <w:tc>
          <w:tcPr>
            <w:tcW w:type="dxa" w:w="2880"/>
          </w:tcPr>
          <w:p>
            <w:r>
              <w:t>Regular market assessment</w:t>
            </w:r>
          </w:p>
        </w:tc>
      </w:tr>
      <w:tr>
        <w:tc>
          <w:tcPr>
            <w:tcW w:type="dxa" w:w="2880"/>
          </w:tcPr>
          <w:p>
            <w:r>
              <w:t>s54 Mergers</w:t>
            </w:r>
          </w:p>
        </w:tc>
        <w:tc>
          <w:tcPr>
            <w:tcW w:type="dxa" w:w="2880"/>
          </w:tcPr>
          <w:p>
            <w:r>
              <w:t>Assess merger implications early</w:t>
            </w:r>
          </w:p>
        </w:tc>
        <w:tc>
          <w:tcPr>
            <w:tcW w:type="dxa" w:w="2880"/>
          </w:tcPr>
          <w:p>
            <w:r>
              <w:t>Voluntary notification where appropriate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