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A3CF2" w14:textId="77777777" w:rsidR="0018301B" w:rsidRDefault="0018301B" w:rsidP="00DB1B24">
      <w:pPr>
        <w:spacing w:before="120" w:after="120" w:line="240" w:lineRule="auto"/>
        <w:ind w:firstLine="709"/>
        <w:rPr>
          <w:rFonts w:eastAsia="Times New Roman" w:cs="Times New Roman"/>
          <w:szCs w:val="23"/>
          <w:lang w:eastAsia="pt-BR"/>
        </w:rPr>
      </w:pPr>
      <w:r>
        <w:rPr>
          <w:rFonts w:eastAsia="Times New Roman" w:cs="Times New Roman"/>
          <w:szCs w:val="23"/>
          <w:lang w:eastAsia="pt-BR"/>
        </w:rPr>
        <w:t>Autos n°:</w:t>
      </w:r>
    </w:p>
    <w:p w14:paraId="21E10B79" w14:textId="77777777" w:rsidR="0018301B" w:rsidRDefault="0018301B" w:rsidP="0018301B">
      <w:pPr>
        <w:spacing w:before="120" w:after="120" w:line="240" w:lineRule="auto"/>
        <w:ind w:firstLine="709"/>
        <w:rPr>
          <w:rFonts w:eastAsia="Times New Roman" w:cs="Times New Roman"/>
          <w:szCs w:val="23"/>
          <w:lang w:eastAsia="pt-BR"/>
        </w:rPr>
      </w:pPr>
      <w:r>
        <w:rPr>
          <w:rFonts w:eastAsia="Times New Roman" w:cs="Times New Roman"/>
          <w:szCs w:val="23"/>
          <w:lang w:eastAsia="pt-BR"/>
        </w:rPr>
        <w:t>Autor:</w:t>
      </w:r>
    </w:p>
    <w:p w14:paraId="3537F49E" w14:textId="15693CDA" w:rsidR="00DC42ED" w:rsidRDefault="00910CCF" w:rsidP="00DC42ED">
      <w:pPr>
        <w:spacing w:before="120" w:after="120" w:line="240" w:lineRule="auto"/>
        <w:ind w:firstLine="709"/>
        <w:rPr>
          <w:rFonts w:eastAsia="Times New Roman" w:cs="Times New Roman"/>
          <w:szCs w:val="23"/>
          <w:lang w:eastAsia="pt-BR"/>
        </w:rPr>
      </w:pPr>
      <w:r w:rsidRPr="00910CCF">
        <w:rPr>
          <w:rFonts w:eastAsia="Times New Roman" w:cs="Times New Roman"/>
          <w:szCs w:val="23"/>
          <w:highlight w:val="green"/>
          <w:lang w:eastAsia="pt-BR"/>
        </w:rPr>
        <w:t>{{substantivo}}</w:t>
      </w:r>
      <w:r w:rsidR="00DC42ED" w:rsidRPr="00910CCF">
        <w:rPr>
          <w:rFonts w:eastAsia="Times New Roman" w:cs="Times New Roman"/>
          <w:szCs w:val="23"/>
          <w:highlight w:val="green"/>
          <w:lang w:eastAsia="pt-BR"/>
        </w:rPr>
        <w:t>:</w:t>
      </w:r>
      <w:r w:rsidR="00023502">
        <w:rPr>
          <w:rFonts w:eastAsia="Times New Roman" w:cs="Times New Roman"/>
          <w:szCs w:val="23"/>
          <w:lang w:eastAsia="pt-BR"/>
        </w:rPr>
        <w:t xml:space="preserve"> </w:t>
      </w:r>
      <w:r w:rsidR="00023502" w:rsidRPr="00E30450">
        <w:rPr>
          <w:rFonts w:eastAsia="Times New Roman" w:cs="Times New Roman"/>
          <w:szCs w:val="23"/>
          <w:highlight w:val="green"/>
          <w:lang w:eastAsia="pt-BR"/>
        </w:rPr>
        <w:t>{{cliente}}</w:t>
      </w:r>
    </w:p>
    <w:p w14:paraId="311204DA" w14:textId="77777777" w:rsidR="00BD49A3" w:rsidRDefault="00BD49A3" w:rsidP="00BD1EE6">
      <w:pPr>
        <w:rPr>
          <w:rFonts w:eastAsia="Times New Roman"/>
          <w:lang w:eastAsia="pt-BR"/>
        </w:rPr>
      </w:pPr>
    </w:p>
    <w:p w14:paraId="2AA21E56" w14:textId="02B39A3C" w:rsidR="00E80FDC" w:rsidRDefault="00561488" w:rsidP="00BD1EE6">
      <w:pPr>
        <w:rPr>
          <w:rFonts w:eastAsia="Times New Roman"/>
          <w:lang w:eastAsia="pt-BR"/>
        </w:rPr>
      </w:pPr>
      <w:r w:rsidRPr="00561488">
        <w:rPr>
          <w:rFonts w:eastAsia="Times New Roman"/>
          <w:lang w:eastAsia="pt-BR"/>
        </w:rPr>
        <w:t>Atendendo à solicitação</w:t>
      </w:r>
      <w:r w:rsidR="00023502" w:rsidRPr="00023502">
        <w:rPr>
          <w:rFonts w:eastAsia="Times New Roman"/>
          <w:lang w:eastAsia="pt-BR"/>
        </w:rPr>
        <w:t xml:space="preserve"> </w:t>
      </w:r>
      <w:sdt>
        <w:sdtPr>
          <w:rPr>
            <w:rFonts w:eastAsia="Times New Roman"/>
            <w:lang w:eastAsia="pt-BR"/>
          </w:rPr>
          <w:id w:val="-1457794539"/>
          <w:placeholder>
            <w:docPart w:val="C587230E3A964BC1B07DD0A07D57083D"/>
          </w:placeholder>
        </w:sdtPr>
        <w:sdtContent>
          <w:r w:rsidR="00023502" w:rsidRPr="00E30450">
            <w:rPr>
              <w:rFonts w:eastAsia="Times New Roman"/>
              <w:highlight w:val="green"/>
              <w:lang w:eastAsia="pt-BR"/>
            </w:rPr>
            <w:t>{{agente}}</w:t>
          </w:r>
          <w:r w:rsidR="00023502">
            <w:rPr>
              <w:rFonts w:eastAsia="Times New Roman"/>
              <w:lang w:eastAsia="pt-BR"/>
            </w:rPr>
            <w:t>,</w:t>
          </w:r>
        </w:sdtContent>
      </w:sdt>
      <w:r w:rsidRPr="00561488">
        <w:rPr>
          <w:rFonts w:eastAsia="Times New Roman"/>
          <w:lang w:eastAsia="pt-BR"/>
        </w:rPr>
        <w:t xml:space="preserve">  apresentamos análise </w:t>
      </w:r>
      <w:sdt>
        <w:sdtPr>
          <w:rPr>
            <w:rFonts w:eastAsia="Times New Roman"/>
            <w:lang w:eastAsia="pt-BR"/>
          </w:rPr>
          <w:id w:val="540948009"/>
          <w:placeholder>
            <w:docPart w:val="50C54617C6BB4867B374DA83983656B9"/>
          </w:placeholder>
        </w:sdtPr>
        <w:sdtContent>
          <w:r w:rsidR="00E30450" w:rsidRPr="00E30450">
            <w:rPr>
              <w:rFonts w:eastAsia="Times New Roman"/>
              <w:highlight w:val="green"/>
              <w:lang w:eastAsia="pt-BR"/>
            </w:rPr>
            <w:t>{{</w:t>
          </w:r>
          <w:proofErr w:type="spellStart"/>
          <w:r w:rsidR="00E30450" w:rsidRPr="00E30450">
            <w:rPr>
              <w:rFonts w:eastAsia="Times New Roman"/>
              <w:highlight w:val="green"/>
              <w:lang w:eastAsia="pt-BR"/>
            </w:rPr>
            <w:t>agente_continuidade</w:t>
          </w:r>
          <w:proofErr w:type="spellEnd"/>
          <w:r w:rsidR="00E30450" w:rsidRPr="00E30450">
            <w:rPr>
              <w:rFonts w:eastAsia="Times New Roman"/>
              <w:highlight w:val="green"/>
              <w:lang w:eastAsia="pt-BR"/>
            </w:rPr>
            <w:t>}}</w:t>
          </w:r>
        </w:sdtContent>
      </w:sdt>
      <w:r w:rsidRPr="00561488">
        <w:rPr>
          <w:rFonts w:eastAsia="Times New Roman"/>
          <w:lang w:eastAsia="pt-BR"/>
        </w:rPr>
        <w:t xml:space="preserve"> entre a</w:t>
      </w:r>
      <w:r w:rsidR="006541F8">
        <w:rPr>
          <w:rFonts w:eastAsia="Times New Roman"/>
          <w:lang w:eastAsia="pt-BR"/>
        </w:rPr>
        <w:t>s partes</w:t>
      </w:r>
      <w:r w:rsidRPr="00561488">
        <w:rPr>
          <w:rFonts w:eastAsia="Times New Roman"/>
          <w:lang w:eastAsia="pt-BR"/>
        </w:rPr>
        <w:t>, quanto às suas condições, bem quanto aos critérios de cobrança utilizados pela instituição na sua vigência, na forma do seguinte:</w:t>
      </w:r>
    </w:p>
    <w:p w14:paraId="2872A2EF" w14:textId="77777777" w:rsidR="00F700F1" w:rsidRDefault="00F700F1" w:rsidP="00561488">
      <w:pPr>
        <w:pStyle w:val="Ttulo"/>
      </w:pPr>
    </w:p>
    <w:p w14:paraId="50E16E8F" w14:textId="1FD7728A" w:rsidR="00F16107" w:rsidRDefault="00561488" w:rsidP="00561488">
      <w:pPr>
        <w:pStyle w:val="Ttulo"/>
      </w:pPr>
      <w:r w:rsidRPr="00561488">
        <w:t>PARECER TÉCNICO ECONÔMICO</w:t>
      </w:r>
      <w:r w:rsidR="00D93883">
        <w:t>-</w:t>
      </w:r>
      <w:r w:rsidRPr="00561488">
        <w:t>FINANCEIRO</w:t>
      </w:r>
    </w:p>
    <w:p w14:paraId="180FD1E0" w14:textId="77777777" w:rsidR="001E2C47" w:rsidRPr="001E2C47" w:rsidRDefault="001E2C47" w:rsidP="001E2C47">
      <w:pPr>
        <w:rPr>
          <w:sz w:val="12"/>
          <w:szCs w:val="8"/>
        </w:rPr>
      </w:pPr>
    </w:p>
    <w:p w14:paraId="735B4594" w14:textId="77777777" w:rsidR="005467C4" w:rsidRPr="005467C4" w:rsidRDefault="005467C4" w:rsidP="005467C4">
      <w:pPr>
        <w:spacing w:before="0" w:after="0" w:line="240" w:lineRule="auto"/>
        <w:rPr>
          <w:b/>
        </w:rPr>
      </w:pPr>
      <w:r w:rsidRPr="005467C4">
        <w:rPr>
          <w:b/>
        </w:rPr>
        <w:t>Sumário</w:t>
      </w:r>
    </w:p>
    <w:p w14:paraId="552964B1" w14:textId="6945501A" w:rsidR="00F352AA" w:rsidRDefault="00450078">
      <w:pPr>
        <w:pStyle w:val="Sumrio1"/>
        <w:tabs>
          <w:tab w:val="left" w:pos="1380"/>
          <w:tab w:val="right" w:leader="hyphen" w:pos="9736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pt-BR"/>
        </w:rPr>
      </w:pPr>
      <w:r>
        <w:rPr>
          <w:b w:val="0"/>
          <w:bCs w:val="0"/>
          <w:caps w:val="0"/>
        </w:rPr>
        <w:fldChar w:fldCharType="begin"/>
      </w:r>
      <w:r>
        <w:rPr>
          <w:b w:val="0"/>
          <w:bCs w:val="0"/>
          <w:caps w:val="0"/>
        </w:rPr>
        <w:instrText xml:space="preserve"> TOC \o "1-3" \h \z \u </w:instrText>
      </w:r>
      <w:r>
        <w:rPr>
          <w:b w:val="0"/>
          <w:bCs w:val="0"/>
          <w:caps w:val="0"/>
        </w:rPr>
        <w:fldChar w:fldCharType="separate"/>
      </w:r>
      <w:hyperlink w:anchor="_Toc102054740" w:history="1">
        <w:r w:rsidR="00F352AA" w:rsidRPr="00D064C2">
          <w:rPr>
            <w:rStyle w:val="Hyperlink"/>
            <w:noProof/>
          </w:rPr>
          <w:t>1</w:t>
        </w:r>
        <w:r w:rsidR="00F352AA">
          <w:rPr>
            <w:rFonts w:cstheme="minorBid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="00F352AA" w:rsidRPr="00D064C2">
          <w:rPr>
            <w:rStyle w:val="Hyperlink"/>
            <w:noProof/>
          </w:rPr>
          <w:t>objetivos</w:t>
        </w:r>
        <w:r w:rsidR="00F352AA">
          <w:rPr>
            <w:noProof/>
            <w:webHidden/>
          </w:rPr>
          <w:tab/>
        </w:r>
        <w:r w:rsidR="00F352AA">
          <w:rPr>
            <w:noProof/>
            <w:webHidden/>
          </w:rPr>
          <w:fldChar w:fldCharType="begin"/>
        </w:r>
        <w:r w:rsidR="00F352AA">
          <w:rPr>
            <w:noProof/>
            <w:webHidden/>
          </w:rPr>
          <w:instrText xml:space="preserve"> PAGEREF _Toc102054740 \h </w:instrText>
        </w:r>
        <w:r w:rsidR="00F352AA">
          <w:rPr>
            <w:noProof/>
            <w:webHidden/>
          </w:rPr>
        </w:r>
        <w:r w:rsidR="00F352AA">
          <w:rPr>
            <w:noProof/>
            <w:webHidden/>
          </w:rPr>
          <w:fldChar w:fldCharType="separate"/>
        </w:r>
        <w:r w:rsidR="00F352AA">
          <w:rPr>
            <w:noProof/>
            <w:webHidden/>
          </w:rPr>
          <w:t>1</w:t>
        </w:r>
        <w:r w:rsidR="00F352AA">
          <w:rPr>
            <w:noProof/>
            <w:webHidden/>
          </w:rPr>
          <w:fldChar w:fldCharType="end"/>
        </w:r>
      </w:hyperlink>
    </w:p>
    <w:p w14:paraId="3008C72C" w14:textId="21F8D135" w:rsidR="00F352AA" w:rsidRDefault="00F352AA">
      <w:pPr>
        <w:pStyle w:val="Sumrio1"/>
        <w:tabs>
          <w:tab w:val="left" w:pos="1380"/>
          <w:tab w:val="right" w:leader="hyphen" w:pos="9736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pt-BR"/>
        </w:rPr>
      </w:pPr>
      <w:hyperlink w:anchor="_Toc102054741" w:history="1">
        <w:r w:rsidRPr="00D064C2">
          <w:rPr>
            <w:rStyle w:val="Hyperlink"/>
            <w:noProof/>
          </w:rPr>
          <w:t>2</w:t>
        </w:r>
        <w:r>
          <w:rPr>
            <w:rFonts w:cstheme="minorBid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noProof/>
          </w:rPr>
          <w:t>OBJETO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CDB9E6" w14:textId="7C57D41E" w:rsidR="00F352AA" w:rsidRDefault="00F352AA">
      <w:pPr>
        <w:pStyle w:val="Sumrio2"/>
        <w:tabs>
          <w:tab w:val="left" w:pos="1610"/>
          <w:tab w:val="right" w:leader="hyphen" w:pos="9736"/>
        </w:tabs>
        <w:rPr>
          <w:rFonts w:cstheme="minorBidi"/>
          <w:smallCaps w:val="0"/>
          <w:noProof/>
          <w:sz w:val="22"/>
          <w:szCs w:val="22"/>
          <w:lang w:eastAsia="pt-BR"/>
        </w:rPr>
      </w:pPr>
      <w:hyperlink w:anchor="_Toc102054742" w:history="1">
        <w:r w:rsidRPr="00D064C2">
          <w:rPr>
            <w:rStyle w:val="Hyperlink"/>
            <w:noProof/>
            <w:highlight w:val="yellow"/>
          </w:rPr>
          <w:t>2.1</w:t>
        </w:r>
        <w:r>
          <w:rPr>
            <w:rFonts w:cstheme="minorBidi"/>
            <w:small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noProof/>
            <w:highlight w:val="yellow"/>
          </w:rPr>
          <w:t>Operações analisadas / Operação analisada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E61A15D" w14:textId="792C54F9" w:rsidR="00F352AA" w:rsidRDefault="00F352AA">
      <w:pPr>
        <w:pStyle w:val="Sumrio2"/>
        <w:tabs>
          <w:tab w:val="left" w:pos="1610"/>
          <w:tab w:val="right" w:leader="hyphen" w:pos="9736"/>
        </w:tabs>
        <w:rPr>
          <w:rFonts w:cstheme="minorBidi"/>
          <w:smallCaps w:val="0"/>
          <w:noProof/>
          <w:sz w:val="22"/>
          <w:szCs w:val="22"/>
          <w:lang w:eastAsia="pt-BR"/>
        </w:rPr>
      </w:pPr>
      <w:hyperlink w:anchor="_Toc102054743" w:history="1">
        <w:r w:rsidRPr="00D064C2">
          <w:rPr>
            <w:rStyle w:val="Hyperlink"/>
            <w:noProof/>
          </w:rPr>
          <w:t>2.2</w:t>
        </w:r>
        <w:r>
          <w:rPr>
            <w:rFonts w:cstheme="minorBidi"/>
            <w:small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noProof/>
          </w:rPr>
          <w:t>Irregularidades Identificadas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27873CF" w14:textId="744787E9" w:rsidR="00F352AA" w:rsidRDefault="00F352AA">
      <w:pPr>
        <w:pStyle w:val="Sumrio1"/>
        <w:tabs>
          <w:tab w:val="left" w:pos="1380"/>
          <w:tab w:val="right" w:leader="hyphen" w:pos="9736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pt-BR"/>
        </w:rPr>
      </w:pPr>
      <w:hyperlink w:anchor="_Toc102054744" w:history="1">
        <w:r w:rsidRPr="00D064C2">
          <w:rPr>
            <w:rStyle w:val="Hyperlink"/>
            <w:noProof/>
          </w:rPr>
          <w:t>3</w:t>
        </w:r>
        <w:r>
          <w:rPr>
            <w:rFonts w:cstheme="minorBid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noProof/>
          </w:rPr>
          <w:t>ANÁLISE DAS IRREGULARIDADES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1FF8BF6" w14:textId="6CD6CC26" w:rsidR="00F352AA" w:rsidRDefault="00F352AA">
      <w:pPr>
        <w:pStyle w:val="Sumrio2"/>
        <w:tabs>
          <w:tab w:val="left" w:pos="1610"/>
          <w:tab w:val="right" w:leader="hyphen" w:pos="9736"/>
        </w:tabs>
        <w:rPr>
          <w:rFonts w:cstheme="minorBidi"/>
          <w:smallCaps w:val="0"/>
          <w:noProof/>
          <w:sz w:val="22"/>
          <w:szCs w:val="22"/>
          <w:lang w:eastAsia="pt-BR"/>
        </w:rPr>
      </w:pPr>
      <w:hyperlink w:anchor="_Toc102054745" w:history="1">
        <w:r w:rsidRPr="00D064C2">
          <w:rPr>
            <w:rStyle w:val="Hyperlink"/>
            <w:noProof/>
          </w:rPr>
          <w:t>3.1</w:t>
        </w:r>
        <w:r>
          <w:rPr>
            <w:rFonts w:cstheme="minorBidi"/>
            <w:small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noProof/>
          </w:rPr>
          <w:t>Capitalização de juros sem expressa pactuação (anatocismo)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3A94C50" w14:textId="1B2532D9" w:rsidR="00F352AA" w:rsidRDefault="00F352AA">
      <w:pPr>
        <w:pStyle w:val="Sumrio2"/>
        <w:tabs>
          <w:tab w:val="left" w:pos="1610"/>
          <w:tab w:val="right" w:leader="hyphen" w:pos="9736"/>
        </w:tabs>
        <w:rPr>
          <w:rFonts w:cstheme="minorBidi"/>
          <w:smallCaps w:val="0"/>
          <w:noProof/>
          <w:sz w:val="22"/>
          <w:szCs w:val="22"/>
          <w:lang w:eastAsia="pt-BR"/>
        </w:rPr>
      </w:pPr>
      <w:hyperlink w:anchor="_Toc102054746" w:history="1">
        <w:r w:rsidRPr="00D064C2">
          <w:rPr>
            <w:rStyle w:val="Hyperlink"/>
            <w:noProof/>
          </w:rPr>
          <w:t>3.2</w:t>
        </w:r>
        <w:r>
          <w:rPr>
            <w:rFonts w:cstheme="minorBidi"/>
            <w:small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noProof/>
          </w:rPr>
          <w:t>Periodicidade da capitalização para contratos rurais e anatocismo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E171C7" w14:textId="5433B4DE" w:rsidR="00F352AA" w:rsidRDefault="00F352AA">
      <w:pPr>
        <w:pStyle w:val="Sumrio2"/>
        <w:tabs>
          <w:tab w:val="left" w:pos="1610"/>
          <w:tab w:val="right" w:leader="hyphen" w:pos="9736"/>
        </w:tabs>
        <w:rPr>
          <w:rFonts w:cstheme="minorBidi"/>
          <w:smallCaps w:val="0"/>
          <w:noProof/>
          <w:sz w:val="22"/>
          <w:szCs w:val="22"/>
          <w:lang w:eastAsia="pt-BR"/>
        </w:rPr>
      </w:pPr>
      <w:hyperlink w:anchor="_Toc102054747" w:history="1">
        <w:r w:rsidRPr="00D064C2">
          <w:rPr>
            <w:rStyle w:val="Hyperlink"/>
            <w:rFonts w:eastAsia="Times New Roman"/>
            <w:noProof/>
            <w:highlight w:val="yellow"/>
          </w:rPr>
          <w:t>3.3</w:t>
        </w:r>
        <w:r>
          <w:rPr>
            <w:rFonts w:cstheme="minorBidi"/>
            <w:small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rFonts w:eastAsia="Times New Roman"/>
            <w:noProof/>
            <w:highlight w:val="yellow"/>
          </w:rPr>
          <w:t>Cobrança indevida de Seguros e Tarifa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D6BB87" w14:textId="14949429" w:rsidR="00F352AA" w:rsidRDefault="00F352AA">
      <w:pPr>
        <w:pStyle w:val="Sumrio2"/>
        <w:tabs>
          <w:tab w:val="left" w:pos="1610"/>
          <w:tab w:val="right" w:leader="hyphen" w:pos="9736"/>
        </w:tabs>
        <w:rPr>
          <w:rFonts w:cstheme="minorBidi"/>
          <w:smallCaps w:val="0"/>
          <w:noProof/>
          <w:sz w:val="22"/>
          <w:szCs w:val="22"/>
          <w:lang w:eastAsia="pt-BR"/>
        </w:rPr>
      </w:pPr>
      <w:hyperlink w:anchor="_Toc102054748" w:history="1">
        <w:r w:rsidRPr="00D064C2">
          <w:rPr>
            <w:rStyle w:val="Hyperlink"/>
            <w:rFonts w:eastAsia="Times New Roman"/>
            <w:noProof/>
          </w:rPr>
          <w:t>3.4</w:t>
        </w:r>
        <w:r>
          <w:rPr>
            <w:rFonts w:cstheme="minorBidi"/>
            <w:small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rFonts w:eastAsia="Times New Roman"/>
            <w:noProof/>
          </w:rPr>
          <w:t>Encargos de inadimplemento - Ilegalidade e Onerosidade excessiva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E51AE2" w14:textId="1C6AF36B" w:rsidR="00F352AA" w:rsidRDefault="00F352AA">
      <w:pPr>
        <w:pStyle w:val="Sumrio1"/>
        <w:tabs>
          <w:tab w:val="left" w:pos="1380"/>
          <w:tab w:val="right" w:leader="hyphen" w:pos="9736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pt-BR"/>
        </w:rPr>
      </w:pPr>
      <w:hyperlink w:anchor="_Toc102054749" w:history="1">
        <w:r w:rsidRPr="00D064C2">
          <w:rPr>
            <w:rStyle w:val="Hyperlink"/>
            <w:noProof/>
          </w:rPr>
          <w:t>4</w:t>
        </w:r>
        <w:r>
          <w:rPr>
            <w:rFonts w:cstheme="minorBid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noProof/>
          </w:rPr>
          <w:t>CONsiderações finais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3453F12" w14:textId="2E921A6B" w:rsidR="00F352AA" w:rsidRDefault="00F352AA">
      <w:pPr>
        <w:pStyle w:val="Sumrio1"/>
        <w:tabs>
          <w:tab w:val="left" w:pos="1380"/>
          <w:tab w:val="right" w:leader="hyphen" w:pos="9736"/>
        </w:tabs>
        <w:rPr>
          <w:rFonts w:cstheme="minorBidi"/>
          <w:b w:val="0"/>
          <w:bCs w:val="0"/>
          <w:caps w:val="0"/>
          <w:noProof/>
          <w:sz w:val="22"/>
          <w:szCs w:val="22"/>
          <w:lang w:eastAsia="pt-BR"/>
        </w:rPr>
      </w:pPr>
      <w:hyperlink w:anchor="_Toc102054750" w:history="1">
        <w:r w:rsidRPr="00D064C2">
          <w:rPr>
            <w:rStyle w:val="Hyperlink"/>
            <w:noProof/>
          </w:rPr>
          <w:t>5</w:t>
        </w:r>
        <w:r>
          <w:rPr>
            <w:rFonts w:cstheme="minorBidi"/>
            <w:b w:val="0"/>
            <w:bCs w:val="0"/>
            <w:caps w:val="0"/>
            <w:noProof/>
            <w:sz w:val="22"/>
            <w:szCs w:val="22"/>
            <w:lang w:eastAsia="pt-BR"/>
          </w:rPr>
          <w:tab/>
        </w:r>
        <w:r w:rsidRPr="00D064C2">
          <w:rPr>
            <w:rStyle w:val="Hyperlink"/>
            <w:noProof/>
          </w:rPr>
          <w:t xml:space="preserve">VALORES APURADOS (ANEXO </w:t>
        </w:r>
        <w:r w:rsidRPr="00D064C2">
          <w:rPr>
            <w:rStyle w:val="Hyperlink"/>
            <w:noProof/>
            <w:highlight w:val="yellow"/>
          </w:rPr>
          <w:t>X</w:t>
        </w:r>
        <w:r w:rsidRPr="00D064C2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_Toc102054750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634757" w14:textId="5541B77F" w:rsidR="004D4216" w:rsidRPr="004D4216" w:rsidRDefault="00450078" w:rsidP="004D4216">
      <w:r>
        <w:rPr>
          <w:rFonts w:asciiTheme="minorHAnsi" w:hAnsiTheme="minorHAnsi" w:cstheme="minorHAnsi"/>
          <w:b/>
          <w:bCs/>
          <w:caps/>
          <w:sz w:val="20"/>
        </w:rPr>
        <w:fldChar w:fldCharType="end"/>
      </w:r>
    </w:p>
    <w:p w14:paraId="25B498B8" w14:textId="77777777" w:rsidR="00AC2AB1" w:rsidRDefault="00AC2AB1" w:rsidP="00F700F1">
      <w:pPr>
        <w:pStyle w:val="Ttulo1"/>
      </w:pPr>
      <w:bookmarkStart w:id="0" w:name="_Toc102054740"/>
      <w:r>
        <w:t>objetivos</w:t>
      </w:r>
      <w:bookmarkEnd w:id="0"/>
    </w:p>
    <w:p w14:paraId="1C538298" w14:textId="77777777" w:rsidR="00AC2AB1" w:rsidRDefault="00AC2AB1" w:rsidP="00AC2AB1">
      <w:pPr>
        <w:pStyle w:val="PargrafodaLista"/>
        <w:numPr>
          <w:ilvl w:val="0"/>
          <w:numId w:val="35"/>
        </w:numPr>
        <w:ind w:left="709"/>
      </w:pPr>
      <w:r>
        <w:t xml:space="preserve">Analisar os documentos apresentados pela instituição financeira; </w:t>
      </w:r>
    </w:p>
    <w:p w14:paraId="4AC5BA17" w14:textId="77777777" w:rsidR="00AC2AB1" w:rsidRDefault="00AC2AB1" w:rsidP="00AC2AB1">
      <w:pPr>
        <w:pStyle w:val="PargrafodaLista"/>
        <w:numPr>
          <w:ilvl w:val="0"/>
          <w:numId w:val="35"/>
        </w:numPr>
        <w:ind w:left="709"/>
      </w:pPr>
      <w:r>
        <w:t>Analisar se as condições pactuadas foram efetivamente cumpridas pelas partes do ponto de vista financeiro e operacional;</w:t>
      </w:r>
    </w:p>
    <w:p w14:paraId="1E80D907" w14:textId="77777777" w:rsidR="00AC2AB1" w:rsidRDefault="00AC2AB1" w:rsidP="00AC2AB1">
      <w:pPr>
        <w:pStyle w:val="PargrafodaLista"/>
        <w:numPr>
          <w:ilvl w:val="0"/>
          <w:numId w:val="35"/>
        </w:numPr>
        <w:ind w:left="709"/>
      </w:pPr>
      <w:r>
        <w:t>Verificar a legalidade efetiva contratação de cobranças efetuadas;</w:t>
      </w:r>
    </w:p>
    <w:p w14:paraId="50129EC2" w14:textId="77777777" w:rsidR="00AC2AB1" w:rsidRPr="00AC2AB1" w:rsidRDefault="00AC2AB1" w:rsidP="00AC2AB1">
      <w:pPr>
        <w:pStyle w:val="PargrafodaLista"/>
        <w:numPr>
          <w:ilvl w:val="0"/>
          <w:numId w:val="35"/>
        </w:numPr>
        <w:ind w:left="709"/>
      </w:pPr>
      <w:r>
        <w:t>Identificar eventuais excessos de cobranças que comprometam o equilíbrio econômico-financeiro dos contratos;</w:t>
      </w:r>
    </w:p>
    <w:p w14:paraId="756161AC" w14:textId="77777777" w:rsidR="00F16107" w:rsidRDefault="00A03BBE" w:rsidP="00F700F1">
      <w:pPr>
        <w:pStyle w:val="Ttulo1"/>
      </w:pPr>
      <w:bookmarkStart w:id="1" w:name="_Toc102054741"/>
      <w:r>
        <w:lastRenderedPageBreak/>
        <w:t>OBJETO</w:t>
      </w:r>
      <w:bookmarkEnd w:id="1"/>
    </w:p>
    <w:p w14:paraId="33ED0496" w14:textId="3F30AD2A" w:rsidR="00A03BBE" w:rsidRDefault="00E30450" w:rsidP="00A03BBE">
      <w:pPr>
        <w:pStyle w:val="Ttulo2"/>
        <w:rPr>
          <w:highlight w:val="yellow"/>
        </w:rPr>
      </w:pPr>
      <w:bookmarkStart w:id="2" w:name="_Toc102054742"/>
      <w:r w:rsidRPr="00E30450">
        <w:rPr>
          <w:highlight w:val="green"/>
        </w:rPr>
        <w:t>{{</w:t>
      </w:r>
      <w:proofErr w:type="spellStart"/>
      <w:r w:rsidRPr="00E30450">
        <w:rPr>
          <w:rFonts w:eastAsia="Times New Roman"/>
          <w:highlight w:val="green"/>
          <w:lang w:eastAsia="pt-BR"/>
        </w:rPr>
        <w:t>agente_continuidade</w:t>
      </w:r>
      <w:proofErr w:type="spellEnd"/>
      <w:r w:rsidRPr="00E30450">
        <w:rPr>
          <w:highlight w:val="green"/>
        </w:rPr>
        <w:t>}}</w:t>
      </w:r>
      <w:bookmarkEnd w:id="2"/>
    </w:p>
    <w:p w14:paraId="59A64EDD" w14:textId="3BCD0A43" w:rsidR="007109F9" w:rsidRPr="007109F9" w:rsidRDefault="007109F9" w:rsidP="007109F9">
      <w:pPr>
        <w:ind w:firstLine="0"/>
        <w:rPr>
          <w:highlight w:val="yellow"/>
        </w:rPr>
      </w:pPr>
      <w:r>
        <w:rPr>
          <w:highlight w:val="yellow"/>
        </w:rPr>
        <w:t xml:space="preserve">{% for </w:t>
      </w:r>
      <w:r w:rsidR="000E1E55">
        <w:rPr>
          <w:highlight w:val="yellow"/>
        </w:rPr>
        <w:t>c</w:t>
      </w:r>
      <w:r>
        <w:rPr>
          <w:highlight w:val="yellow"/>
        </w:rPr>
        <w:t xml:space="preserve"> in </w:t>
      </w:r>
      <w:r w:rsidR="000E1E55">
        <w:rPr>
          <w:highlight w:val="yellow"/>
        </w:rPr>
        <w:t>contratos</w:t>
      </w:r>
      <w:r>
        <w:rPr>
          <w:highlight w:val="yellow"/>
        </w:rPr>
        <w:t xml:space="preserve"> %}</w:t>
      </w:r>
    </w:p>
    <w:p w14:paraId="4BA20D48" w14:textId="222E294D" w:rsidR="00A710DB" w:rsidRDefault="00A710DB" w:rsidP="0027439A">
      <w:pPr>
        <w:pStyle w:val="List1"/>
        <w:numPr>
          <w:ilvl w:val="0"/>
          <w:numId w:val="19"/>
        </w:numPr>
        <w:spacing w:before="100" w:beforeAutospacing="1" w:after="100" w:afterAutospacing="1"/>
        <w:ind w:hanging="357"/>
        <w:contextualSpacing/>
      </w:pPr>
      <w:r w:rsidRPr="006B508B">
        <w:rPr>
          <w:highlight w:val="yellow"/>
        </w:rPr>
        <w:t>Contrato de empréstimo</w:t>
      </w:r>
      <w:r>
        <w:t xml:space="preserve"> nº </w:t>
      </w:r>
      <w:r w:rsidR="00E30450" w:rsidRPr="00AA3628">
        <w:rPr>
          <w:highlight w:val="green"/>
        </w:rPr>
        <w:t>{{</w:t>
      </w:r>
      <w:proofErr w:type="spellStart"/>
      <w:r w:rsidR="000E1E55" w:rsidRPr="00AA3628">
        <w:rPr>
          <w:highlight w:val="green"/>
        </w:rPr>
        <w:t>c</w:t>
      </w:r>
      <w:r w:rsidR="007109F9" w:rsidRPr="00AA3628">
        <w:rPr>
          <w:highlight w:val="green"/>
        </w:rPr>
        <w:t>.</w:t>
      </w:r>
      <w:r w:rsidR="00E30450" w:rsidRPr="00AA3628">
        <w:rPr>
          <w:highlight w:val="green"/>
        </w:rPr>
        <w:t>contrato</w:t>
      </w:r>
      <w:proofErr w:type="spellEnd"/>
      <w:r w:rsidR="00E30450" w:rsidRPr="00AA3628">
        <w:rPr>
          <w:highlight w:val="green"/>
        </w:rPr>
        <w:t>}}</w:t>
      </w:r>
    </w:p>
    <w:p w14:paraId="5CF38D0D" w14:textId="0DE4E2CC" w:rsidR="00470F01" w:rsidRDefault="00470F01" w:rsidP="0027439A">
      <w:pPr>
        <w:pStyle w:val="List1"/>
        <w:spacing w:before="100" w:beforeAutospacing="1" w:after="100" w:afterAutospacing="1"/>
        <w:ind w:hanging="357"/>
        <w:contextualSpacing/>
      </w:pPr>
      <w:r>
        <w:t xml:space="preserve">Valor liberado/solicitado: </w:t>
      </w:r>
      <w:r w:rsidR="00F71234" w:rsidRPr="00296C7A">
        <w:rPr>
          <w:highlight w:val="yellow"/>
        </w:rPr>
        <w:t>R$</w:t>
      </w:r>
      <w:r w:rsidR="00E30450">
        <w:t xml:space="preserve"> </w:t>
      </w:r>
      <w:r w:rsidR="00E30450" w:rsidRPr="00AA3628">
        <w:rPr>
          <w:highlight w:val="green"/>
        </w:rPr>
        <w:t>{{</w:t>
      </w:r>
      <w:proofErr w:type="spellStart"/>
      <w:r w:rsidR="000E1E55" w:rsidRPr="00AA3628">
        <w:rPr>
          <w:highlight w:val="green"/>
        </w:rPr>
        <w:t>c</w:t>
      </w:r>
      <w:r w:rsidR="007109F9" w:rsidRPr="00AA3628">
        <w:rPr>
          <w:highlight w:val="green"/>
        </w:rPr>
        <w:t>.valor_liberado</w:t>
      </w:r>
      <w:proofErr w:type="spellEnd"/>
      <w:r w:rsidR="00E30450" w:rsidRPr="00AA3628">
        <w:rPr>
          <w:highlight w:val="green"/>
        </w:rPr>
        <w:t>}}</w:t>
      </w:r>
    </w:p>
    <w:p w14:paraId="2D1E3C54" w14:textId="0A05BB05" w:rsidR="00F16107" w:rsidRDefault="00F16107" w:rsidP="0027439A">
      <w:pPr>
        <w:pStyle w:val="List1"/>
        <w:spacing w:before="100" w:beforeAutospacing="1" w:after="100" w:afterAutospacing="1"/>
        <w:ind w:hanging="357"/>
        <w:contextualSpacing/>
        <w:rPr>
          <w:bCs/>
        </w:rPr>
      </w:pPr>
      <w:r w:rsidRPr="00AE2D23">
        <w:rPr>
          <w:bCs/>
        </w:rPr>
        <w:t>Taxa de juros efetiva</w:t>
      </w:r>
      <w:r w:rsidRPr="00AA3628">
        <w:rPr>
          <w:bCs/>
          <w:highlight w:val="green"/>
        </w:rPr>
        <w:t xml:space="preserve">: </w:t>
      </w:r>
      <w:sdt>
        <w:sdtPr>
          <w:rPr>
            <w:bCs/>
            <w:highlight w:val="green"/>
          </w:rPr>
          <w:id w:val="554903852"/>
          <w:placeholder>
            <w:docPart w:val="565F9AA4E7904A52852FD37918C5A772"/>
          </w:placeholder>
        </w:sdtPr>
        <w:sdtContent>
          <w:r w:rsidR="000E1E55" w:rsidRPr="00AA3628">
            <w:rPr>
              <w:bCs/>
              <w:highlight w:val="green"/>
            </w:rPr>
            <w:t>{{</w:t>
          </w:r>
          <w:proofErr w:type="spellStart"/>
          <w:r w:rsidR="000E1E55" w:rsidRPr="00AA3628">
            <w:rPr>
              <w:bCs/>
              <w:highlight w:val="green"/>
            </w:rPr>
            <w:t>c.juros</w:t>
          </w:r>
          <w:proofErr w:type="spellEnd"/>
          <w:r w:rsidR="000E1E55" w:rsidRPr="00AA3628">
            <w:rPr>
              <w:bCs/>
              <w:highlight w:val="green"/>
            </w:rPr>
            <w:t>}}</w:t>
          </w:r>
        </w:sdtContent>
      </w:sdt>
      <w:r w:rsidRPr="00296C7A">
        <w:rPr>
          <w:bCs/>
          <w:highlight w:val="yellow"/>
        </w:rPr>
        <w:t>% a.</w:t>
      </w:r>
      <w:r w:rsidR="001748E2" w:rsidRPr="00296C7A">
        <w:rPr>
          <w:bCs/>
          <w:highlight w:val="yellow"/>
        </w:rPr>
        <w:t>a.</w:t>
      </w:r>
      <w:r w:rsidR="007109F9">
        <w:rPr>
          <w:bCs/>
        </w:rPr>
        <w:t xml:space="preserve"> </w:t>
      </w:r>
    </w:p>
    <w:p w14:paraId="0C95E92E" w14:textId="46EDD322" w:rsidR="000E1E55" w:rsidRDefault="000E1E55" w:rsidP="000E1E55">
      <w:pPr>
        <w:pStyle w:val="List1"/>
        <w:numPr>
          <w:ilvl w:val="0"/>
          <w:numId w:val="0"/>
        </w:numPr>
        <w:spacing w:before="100" w:beforeAutospacing="1" w:after="100" w:afterAutospacing="1"/>
        <w:ind w:left="363"/>
        <w:contextualSpacing/>
        <w:rPr>
          <w:bCs/>
        </w:rPr>
      </w:pPr>
      <w:r>
        <w:rPr>
          <w:bCs/>
        </w:rPr>
        <w:t xml:space="preserve">{% for item in </w:t>
      </w:r>
      <w:proofErr w:type="spellStart"/>
      <w:r>
        <w:rPr>
          <w:bCs/>
        </w:rPr>
        <w:t>c.itens</w:t>
      </w:r>
      <w:proofErr w:type="spellEnd"/>
      <w:r>
        <w:rPr>
          <w:bCs/>
        </w:rPr>
        <w:t xml:space="preserve"> %}</w:t>
      </w:r>
    </w:p>
    <w:p w14:paraId="6F5DB3BE" w14:textId="39DCE64F" w:rsidR="000E1E55" w:rsidRPr="000E1E55" w:rsidRDefault="000E1E55" w:rsidP="000E1E55">
      <w:pPr>
        <w:pStyle w:val="List1"/>
        <w:rPr>
          <w:b/>
          <w:bCs/>
        </w:rPr>
      </w:pPr>
      <w:r w:rsidRPr="00AA3628">
        <w:rPr>
          <w:b/>
          <w:bCs/>
          <w:highlight w:val="green"/>
        </w:rPr>
        <w:t xml:space="preserve">{{ </w:t>
      </w:r>
      <w:proofErr w:type="spellStart"/>
      <w:r w:rsidRPr="00AA3628">
        <w:rPr>
          <w:b/>
          <w:bCs/>
          <w:highlight w:val="green"/>
        </w:rPr>
        <w:t>item.nome</w:t>
      </w:r>
      <w:proofErr w:type="spellEnd"/>
      <w:r w:rsidRPr="00AA3628">
        <w:rPr>
          <w:b/>
          <w:bCs/>
          <w:highlight w:val="green"/>
        </w:rPr>
        <w:t xml:space="preserve"> }}: R$ {{ </w:t>
      </w:r>
      <w:proofErr w:type="spellStart"/>
      <w:r w:rsidRPr="00AA3628">
        <w:rPr>
          <w:b/>
          <w:bCs/>
          <w:highlight w:val="green"/>
        </w:rPr>
        <w:t>item.valor</w:t>
      </w:r>
      <w:proofErr w:type="spellEnd"/>
      <w:r w:rsidRPr="00AA3628">
        <w:rPr>
          <w:b/>
          <w:bCs/>
          <w:highlight w:val="green"/>
        </w:rPr>
        <w:t xml:space="preserve"> }}</w:t>
      </w:r>
    </w:p>
    <w:p w14:paraId="37E8CECD" w14:textId="5F9EAC36" w:rsidR="000E1E55" w:rsidRDefault="000E1E55" w:rsidP="000E1E55">
      <w:pPr>
        <w:pStyle w:val="List1"/>
        <w:numPr>
          <w:ilvl w:val="0"/>
          <w:numId w:val="0"/>
        </w:numPr>
        <w:ind w:left="360"/>
      </w:pPr>
      <w:r>
        <w:t xml:space="preserve">{% </w:t>
      </w:r>
      <w:proofErr w:type="spellStart"/>
      <w:r>
        <w:t>endfor</w:t>
      </w:r>
      <w:proofErr w:type="spellEnd"/>
      <w:r>
        <w:t xml:space="preserve"> %}</w:t>
      </w:r>
    </w:p>
    <w:p w14:paraId="272434AC" w14:textId="5552120C" w:rsidR="0017550E" w:rsidRPr="00AE2D23" w:rsidRDefault="0017550E" w:rsidP="000E1E55">
      <w:pPr>
        <w:pStyle w:val="List1"/>
        <w:numPr>
          <w:ilvl w:val="0"/>
          <w:numId w:val="0"/>
        </w:numPr>
        <w:ind w:left="360"/>
      </w:pPr>
      <w:r>
        <w:t xml:space="preserve">{% </w:t>
      </w:r>
      <w:proofErr w:type="spellStart"/>
      <w:r>
        <w:t>endif</w:t>
      </w:r>
      <w:proofErr w:type="spellEnd"/>
      <w:r>
        <w:t xml:space="preserve"> %}</w:t>
      </w:r>
    </w:p>
    <w:p w14:paraId="7BFD2EDD" w14:textId="5C2432A0" w:rsidR="0024778D" w:rsidRPr="00296C7A" w:rsidRDefault="0024778D" w:rsidP="0027439A">
      <w:pPr>
        <w:pStyle w:val="List1"/>
        <w:spacing w:before="100" w:beforeAutospacing="1" w:after="100" w:afterAutospacing="1"/>
        <w:ind w:hanging="357"/>
        <w:contextualSpacing/>
        <w:rPr>
          <w:highlight w:val="yellow"/>
        </w:rPr>
      </w:pPr>
      <w:r w:rsidRPr="00296C7A">
        <w:rPr>
          <w:highlight w:val="yellow"/>
        </w:rPr>
        <w:t xml:space="preserve">Valor da Parcela: </w:t>
      </w:r>
      <w:r w:rsidR="007109F9" w:rsidRPr="00AA3628">
        <w:rPr>
          <w:highlight w:val="green"/>
        </w:rPr>
        <w:t>{{</w:t>
      </w:r>
      <w:proofErr w:type="spellStart"/>
      <w:r w:rsidR="000E1E55" w:rsidRPr="00AA3628">
        <w:rPr>
          <w:highlight w:val="green"/>
        </w:rPr>
        <w:t>c.</w:t>
      </w:r>
      <w:r w:rsidR="007109F9" w:rsidRPr="00AA3628">
        <w:rPr>
          <w:highlight w:val="green"/>
        </w:rPr>
        <w:t>valor_parcela</w:t>
      </w:r>
      <w:proofErr w:type="spellEnd"/>
      <w:r w:rsidR="007109F9" w:rsidRPr="00AA3628">
        <w:rPr>
          <w:highlight w:val="green"/>
        </w:rPr>
        <w:t>}}</w:t>
      </w:r>
    </w:p>
    <w:p w14:paraId="3AFBD802" w14:textId="3A5ABB3C" w:rsidR="00F16107" w:rsidRPr="00296C7A" w:rsidRDefault="00F16107" w:rsidP="0027439A">
      <w:pPr>
        <w:pStyle w:val="List1"/>
        <w:spacing w:before="100" w:beforeAutospacing="1" w:after="100" w:afterAutospacing="1"/>
        <w:ind w:hanging="357"/>
        <w:contextualSpacing/>
        <w:rPr>
          <w:highlight w:val="yellow"/>
        </w:rPr>
      </w:pPr>
      <w:r w:rsidRPr="00296C7A">
        <w:rPr>
          <w:highlight w:val="yellow"/>
        </w:rPr>
        <w:t>Número de parcelas</w:t>
      </w:r>
      <w:r w:rsidRPr="00AA3628">
        <w:rPr>
          <w:highlight w:val="green"/>
        </w:rPr>
        <w:t xml:space="preserve">: </w:t>
      </w:r>
      <w:sdt>
        <w:sdtPr>
          <w:rPr>
            <w:highlight w:val="green"/>
          </w:rPr>
          <w:id w:val="761734078"/>
          <w:placeholder>
            <w:docPart w:val="AEE82193DEDE4CE4B30C32B78EE9EF0A"/>
          </w:placeholder>
        </w:sdtPr>
        <w:sdtContent>
          <w:r w:rsidR="000E1E55" w:rsidRPr="00AA3628">
            <w:rPr>
              <w:highlight w:val="green"/>
            </w:rPr>
            <w:t>{{</w:t>
          </w:r>
          <w:proofErr w:type="spellStart"/>
          <w:r w:rsidR="000E1E55" w:rsidRPr="00AA3628">
            <w:rPr>
              <w:highlight w:val="green"/>
            </w:rPr>
            <w:t>c.numero_parcela</w:t>
          </w:r>
          <w:proofErr w:type="spellEnd"/>
          <w:r w:rsidR="000E1E55" w:rsidRPr="00AA3628">
            <w:rPr>
              <w:highlight w:val="green"/>
            </w:rPr>
            <w:t>}}</w:t>
          </w:r>
        </w:sdtContent>
      </w:sdt>
    </w:p>
    <w:p w14:paraId="478EF4A4" w14:textId="77777777" w:rsidR="00532480" w:rsidRDefault="00532480" w:rsidP="0027439A">
      <w:pPr>
        <w:pStyle w:val="List1"/>
        <w:spacing w:before="100" w:beforeAutospacing="1" w:after="100" w:afterAutospacing="1"/>
        <w:ind w:hanging="357"/>
        <w:contextualSpacing/>
      </w:pPr>
      <w:r>
        <w:t>Condições para a pactuação expressa da capitalização mensal composta:</w:t>
      </w:r>
    </w:p>
    <w:p w14:paraId="524C0A99" w14:textId="77777777" w:rsidR="00532480" w:rsidRPr="00296C7A" w:rsidRDefault="00532480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  <w:rPr>
          <w:highlight w:val="yellow"/>
        </w:rPr>
      </w:pPr>
      <w:r w:rsidRPr="00296C7A">
        <w:rPr>
          <w:highlight w:val="yellow"/>
        </w:rPr>
        <w:t>Informa que os juros serão capitalizados: Sim</w:t>
      </w:r>
    </w:p>
    <w:p w14:paraId="4A3F7350" w14:textId="77777777" w:rsidR="00532480" w:rsidRPr="00296C7A" w:rsidRDefault="00532480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  <w:rPr>
          <w:b/>
          <w:bCs/>
          <w:highlight w:val="yellow"/>
        </w:rPr>
      </w:pPr>
      <w:r w:rsidRPr="00296C7A">
        <w:rPr>
          <w:b/>
          <w:bCs/>
          <w:highlight w:val="yellow"/>
        </w:rPr>
        <w:t>Periodicidade da capitalização: Mensal</w:t>
      </w:r>
    </w:p>
    <w:p w14:paraId="7F3794D5" w14:textId="77777777" w:rsidR="00532480" w:rsidRPr="00296C7A" w:rsidRDefault="00532480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  <w:rPr>
          <w:b/>
          <w:bCs/>
          <w:highlight w:val="yellow"/>
        </w:rPr>
      </w:pPr>
      <w:r w:rsidRPr="00296C7A">
        <w:rPr>
          <w:b/>
          <w:bCs/>
          <w:highlight w:val="yellow"/>
        </w:rPr>
        <w:t>Taxa anual é superior ao duodécuplo: Não apresenta a taxa mensal.</w:t>
      </w:r>
    </w:p>
    <w:p w14:paraId="1255A83E" w14:textId="77777777" w:rsidR="00532480" w:rsidRPr="00296C7A" w:rsidRDefault="00532480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  <w:rPr>
          <w:b/>
          <w:bCs/>
          <w:highlight w:val="yellow"/>
        </w:rPr>
      </w:pPr>
      <w:r w:rsidRPr="00296C7A">
        <w:rPr>
          <w:b/>
          <w:bCs/>
          <w:highlight w:val="yellow"/>
        </w:rPr>
        <w:t>Regime de capitalização: Não pactuado</w:t>
      </w:r>
    </w:p>
    <w:p w14:paraId="4AA4DC9F" w14:textId="4009BCFA" w:rsidR="0024778D" w:rsidRDefault="003560CD" w:rsidP="0027439A">
      <w:pPr>
        <w:pStyle w:val="List1"/>
        <w:spacing w:before="100" w:beforeAutospacing="1" w:after="100" w:afterAutospacing="1"/>
        <w:ind w:hanging="357"/>
        <w:contextualSpacing/>
      </w:pPr>
      <w:r>
        <w:t>Data da contratação</w:t>
      </w:r>
      <w:r w:rsidR="00FF6C68">
        <w:t>:</w:t>
      </w:r>
      <w:r w:rsidR="0024778D">
        <w:t xml:space="preserve"> </w:t>
      </w:r>
    </w:p>
    <w:p w14:paraId="31B0975B" w14:textId="2DC107F5" w:rsidR="00F16107" w:rsidRPr="00296C7A" w:rsidRDefault="00F16107" w:rsidP="0027439A">
      <w:pPr>
        <w:pStyle w:val="List1"/>
        <w:spacing w:before="100" w:beforeAutospacing="1" w:after="100" w:afterAutospacing="1"/>
        <w:ind w:hanging="357"/>
        <w:contextualSpacing/>
        <w:rPr>
          <w:highlight w:val="yellow"/>
        </w:rPr>
      </w:pPr>
      <w:r w:rsidRPr="00296C7A">
        <w:rPr>
          <w:highlight w:val="yellow"/>
        </w:rPr>
        <w:t xml:space="preserve">Vencimento 1ª prestação: </w:t>
      </w:r>
      <w:sdt>
        <w:sdtPr>
          <w:rPr>
            <w:highlight w:val="yellow"/>
          </w:rPr>
          <w:id w:val="31399591"/>
          <w:placeholder>
            <w:docPart w:val="CB70E464C32D49A9900AA97F6733EDE8"/>
          </w:placeholder>
          <w:showingPlcHdr/>
        </w:sdtPr>
        <w:sdtContent>
          <w:r w:rsidR="001748E2" w:rsidRPr="00296C7A">
            <w:rPr>
              <w:rStyle w:val="TextodoEspaoReservado"/>
              <w:highlight w:val="yellow"/>
            </w:rPr>
            <w:t>XXXXX</w:t>
          </w:r>
        </w:sdtContent>
      </w:sdt>
    </w:p>
    <w:p w14:paraId="5EAB3E7F" w14:textId="45144B75" w:rsidR="00F16107" w:rsidRPr="00296C7A" w:rsidRDefault="00F16107" w:rsidP="0027439A">
      <w:pPr>
        <w:pStyle w:val="List1"/>
        <w:spacing w:before="100" w:beforeAutospacing="1" w:after="100" w:afterAutospacing="1"/>
        <w:ind w:hanging="357"/>
        <w:contextualSpacing/>
        <w:rPr>
          <w:highlight w:val="yellow"/>
        </w:rPr>
      </w:pPr>
      <w:r w:rsidRPr="00296C7A">
        <w:rPr>
          <w:highlight w:val="yellow"/>
        </w:rPr>
        <w:t xml:space="preserve">Vencimento </w:t>
      </w:r>
      <w:r w:rsidRPr="00296C7A">
        <w:rPr>
          <w:color w:val="FF0000"/>
          <w:highlight w:val="yellow"/>
        </w:rPr>
        <w:t>última prestação</w:t>
      </w:r>
      <w:r w:rsidR="00296C7A" w:rsidRPr="00296C7A">
        <w:rPr>
          <w:color w:val="FF0000"/>
          <w:highlight w:val="yellow"/>
        </w:rPr>
        <w:t>/da parcela única</w:t>
      </w:r>
      <w:r w:rsidRPr="00296C7A">
        <w:rPr>
          <w:highlight w:val="yellow"/>
        </w:rPr>
        <w:t xml:space="preserve">: </w:t>
      </w:r>
      <w:sdt>
        <w:sdtPr>
          <w:rPr>
            <w:highlight w:val="yellow"/>
          </w:rPr>
          <w:id w:val="-1236313052"/>
          <w:placeholder>
            <w:docPart w:val="FA01301F769C45BB95F3C9F2F87913B7"/>
          </w:placeholder>
          <w:showingPlcHdr/>
        </w:sdtPr>
        <w:sdtContent>
          <w:r w:rsidR="001748E2" w:rsidRPr="00296C7A">
            <w:rPr>
              <w:rStyle w:val="TextodoEspaoReservado"/>
              <w:highlight w:val="yellow"/>
            </w:rPr>
            <w:t>XXXXX</w:t>
          </w:r>
        </w:sdtContent>
      </w:sdt>
    </w:p>
    <w:p w14:paraId="111BC4B0" w14:textId="77777777" w:rsidR="001748E2" w:rsidRDefault="002A0458" w:rsidP="0027439A">
      <w:pPr>
        <w:pStyle w:val="List1"/>
        <w:spacing w:before="100" w:beforeAutospacing="1" w:after="100" w:afterAutospacing="1"/>
        <w:ind w:hanging="357"/>
        <w:contextualSpacing/>
      </w:pPr>
      <w:r>
        <w:t xml:space="preserve">Garantia: </w:t>
      </w:r>
    </w:p>
    <w:p w14:paraId="38657C19" w14:textId="732536B3" w:rsidR="002A0458" w:rsidRPr="00296C7A" w:rsidRDefault="002A0458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  <w:rPr>
          <w:highlight w:val="yellow"/>
        </w:rPr>
      </w:pPr>
      <w:r w:rsidRPr="00296C7A">
        <w:rPr>
          <w:highlight w:val="yellow"/>
        </w:rPr>
        <w:t>Aval</w:t>
      </w:r>
      <w:r w:rsidR="001748E2" w:rsidRPr="00296C7A">
        <w:rPr>
          <w:highlight w:val="yellow"/>
        </w:rPr>
        <w:t>:</w:t>
      </w:r>
    </w:p>
    <w:p w14:paraId="75B058F3" w14:textId="7CCA2A6E" w:rsidR="001748E2" w:rsidRPr="00296C7A" w:rsidRDefault="001748E2" w:rsidP="0027439A">
      <w:pPr>
        <w:pStyle w:val="List1"/>
        <w:numPr>
          <w:ilvl w:val="2"/>
          <w:numId w:val="1"/>
        </w:numPr>
        <w:spacing w:before="100" w:beforeAutospacing="1" w:after="100" w:afterAutospacing="1"/>
        <w:ind w:hanging="357"/>
        <w:contextualSpacing/>
        <w:rPr>
          <w:highlight w:val="yellow"/>
        </w:rPr>
      </w:pPr>
      <w:r w:rsidRPr="00296C7A">
        <w:rPr>
          <w:highlight w:val="yellow"/>
        </w:rPr>
        <w:t xml:space="preserve">Nome, CPF: </w:t>
      </w:r>
      <w:proofErr w:type="spellStart"/>
      <w:r w:rsidRPr="00296C7A">
        <w:rPr>
          <w:highlight w:val="yellow"/>
        </w:rPr>
        <w:t>xxx</w:t>
      </w:r>
      <w:proofErr w:type="spellEnd"/>
      <w:r w:rsidR="00FF5343" w:rsidRPr="00296C7A">
        <w:rPr>
          <w:highlight w:val="yellow"/>
        </w:rPr>
        <w:t>;</w:t>
      </w:r>
    </w:p>
    <w:p w14:paraId="4AFAB628" w14:textId="11BEE4BA" w:rsidR="001748E2" w:rsidRDefault="001748E2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</w:pPr>
      <w:r>
        <w:t xml:space="preserve">Penhor cedular de </w:t>
      </w:r>
      <w:r w:rsidRPr="00772552">
        <w:rPr>
          <w:color w:val="FF0000"/>
        </w:rPr>
        <w:t xml:space="preserve">primeiro </w:t>
      </w:r>
      <w:r>
        <w:t>grau</w:t>
      </w:r>
      <w:r w:rsidR="00AE2D23">
        <w:t xml:space="preserve"> e sem concorrência de terceiros</w:t>
      </w:r>
      <w:r>
        <w:t>:</w:t>
      </w:r>
    </w:p>
    <w:p w14:paraId="58028E5D" w14:textId="0A3130F2" w:rsidR="001748E2" w:rsidRDefault="001748E2" w:rsidP="0027439A">
      <w:pPr>
        <w:pStyle w:val="List1"/>
        <w:numPr>
          <w:ilvl w:val="2"/>
          <w:numId w:val="1"/>
        </w:numPr>
        <w:spacing w:before="100" w:beforeAutospacing="1" w:after="100" w:afterAutospacing="1"/>
        <w:ind w:hanging="357"/>
        <w:contextualSpacing/>
      </w:pPr>
      <w:r>
        <w:t>Bem, descrição</w:t>
      </w:r>
      <w:r w:rsidR="001B6099">
        <w:t xml:space="preserve"> completa</w:t>
      </w:r>
      <w:r>
        <w:t xml:space="preserve"> (R$ );</w:t>
      </w:r>
    </w:p>
    <w:p w14:paraId="0591B0C7" w14:textId="634B6A3B" w:rsidR="00993820" w:rsidRPr="001B3FFA" w:rsidRDefault="00993820" w:rsidP="0027439A">
      <w:pPr>
        <w:pStyle w:val="List1"/>
        <w:numPr>
          <w:ilvl w:val="2"/>
          <w:numId w:val="1"/>
        </w:numPr>
        <w:spacing w:before="100" w:beforeAutospacing="1" w:after="100" w:afterAutospacing="1"/>
        <w:ind w:hanging="357"/>
        <w:contextualSpacing/>
        <w:rPr>
          <w:highlight w:val="yellow"/>
        </w:rPr>
      </w:pPr>
      <w:proofErr w:type="spellStart"/>
      <w:r w:rsidRPr="001B3FFA">
        <w:rPr>
          <w:highlight w:val="yellow"/>
        </w:rPr>
        <w:t>Xxxxxx</w:t>
      </w:r>
      <w:proofErr w:type="spellEnd"/>
      <w:r w:rsidRPr="001B3FFA">
        <w:rPr>
          <w:highlight w:val="yellow"/>
        </w:rPr>
        <w:t xml:space="preserve"> kg de milho/soja/trigo em grãos, perí</w:t>
      </w:r>
      <w:r w:rsidR="00A473B9" w:rsidRPr="001B3FFA">
        <w:rPr>
          <w:highlight w:val="yellow"/>
        </w:rPr>
        <w:t>odo agrícola entre XXXX/</w:t>
      </w:r>
      <w:proofErr w:type="spellStart"/>
      <w:r w:rsidR="00A473B9" w:rsidRPr="001B3FFA">
        <w:rPr>
          <w:highlight w:val="yellow"/>
        </w:rPr>
        <w:t>aaaa</w:t>
      </w:r>
      <w:proofErr w:type="spellEnd"/>
      <w:r w:rsidR="00A473B9" w:rsidRPr="001B3FFA">
        <w:rPr>
          <w:highlight w:val="yellow"/>
        </w:rPr>
        <w:t xml:space="preserve"> e YYYY/</w:t>
      </w:r>
      <w:proofErr w:type="spellStart"/>
      <w:r w:rsidR="00A473B9" w:rsidRPr="001B3FFA">
        <w:rPr>
          <w:highlight w:val="yellow"/>
        </w:rPr>
        <w:t>aaaa</w:t>
      </w:r>
      <w:proofErr w:type="spellEnd"/>
      <w:r w:rsidR="00A473B9" w:rsidRPr="001B3FFA">
        <w:rPr>
          <w:highlight w:val="yellow"/>
        </w:rPr>
        <w:t xml:space="preserve"> (R$ 106.111,50);</w:t>
      </w:r>
    </w:p>
    <w:p w14:paraId="68BBBC4A" w14:textId="3A426C86" w:rsidR="00A473B9" w:rsidRDefault="001B3FFA" w:rsidP="0027439A">
      <w:pPr>
        <w:pStyle w:val="List1"/>
        <w:numPr>
          <w:ilvl w:val="2"/>
          <w:numId w:val="1"/>
        </w:numPr>
        <w:spacing w:before="100" w:beforeAutospacing="1" w:after="100" w:afterAutospacing="1"/>
        <w:ind w:hanging="357"/>
        <w:contextualSpacing/>
        <w:rPr>
          <w:highlight w:val="yellow"/>
        </w:rPr>
      </w:pPr>
      <w:r w:rsidRPr="001B3FFA">
        <w:rPr>
          <w:highlight w:val="yellow"/>
        </w:rPr>
        <w:t>1 maquinário, marca, modelo, ano, chassi, demais informações (R$ );</w:t>
      </w:r>
    </w:p>
    <w:p w14:paraId="5F555CF5" w14:textId="2061D771" w:rsidR="00772552" w:rsidRPr="001B3FFA" w:rsidRDefault="00772552" w:rsidP="0027439A">
      <w:pPr>
        <w:pStyle w:val="List1"/>
        <w:numPr>
          <w:ilvl w:val="2"/>
          <w:numId w:val="1"/>
        </w:numPr>
        <w:spacing w:before="100" w:beforeAutospacing="1" w:after="100" w:afterAutospacing="1"/>
        <w:ind w:hanging="357"/>
        <w:contextualSpacing/>
        <w:rPr>
          <w:highlight w:val="yellow"/>
        </w:rPr>
      </w:pPr>
      <w:proofErr w:type="spellStart"/>
      <w:r>
        <w:rPr>
          <w:highlight w:val="yellow"/>
        </w:rPr>
        <w:t>Xx</w:t>
      </w:r>
      <w:proofErr w:type="spellEnd"/>
      <w:r>
        <w:rPr>
          <w:highlight w:val="yellow"/>
        </w:rPr>
        <w:t xml:space="preserve"> vacas/novilhos/bois, </w:t>
      </w:r>
      <w:proofErr w:type="spellStart"/>
      <w:r>
        <w:rPr>
          <w:highlight w:val="yellow"/>
        </w:rPr>
        <w:t>xx</w:t>
      </w:r>
      <w:proofErr w:type="spellEnd"/>
      <w:r>
        <w:rPr>
          <w:highlight w:val="yellow"/>
        </w:rPr>
        <w:t xml:space="preserve"> meses de idade (R$ </w:t>
      </w:r>
      <w:proofErr w:type="spellStart"/>
      <w:r>
        <w:rPr>
          <w:highlight w:val="yellow"/>
        </w:rPr>
        <w:t>xxxx</w:t>
      </w:r>
      <w:proofErr w:type="spellEnd"/>
      <w:r>
        <w:rPr>
          <w:highlight w:val="yellow"/>
        </w:rPr>
        <w:t>)</w:t>
      </w:r>
    </w:p>
    <w:p w14:paraId="27AE6012" w14:textId="28A5A903" w:rsidR="001748E2" w:rsidRDefault="001748E2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</w:pPr>
      <w:r>
        <w:t xml:space="preserve">Hipoteca cedular de </w:t>
      </w:r>
      <w:r w:rsidRPr="00772552">
        <w:rPr>
          <w:color w:val="FF0000"/>
        </w:rPr>
        <w:t xml:space="preserve">primeiro </w:t>
      </w:r>
      <w:r>
        <w:t>grau e sem concorrência de terceiros:</w:t>
      </w:r>
    </w:p>
    <w:p w14:paraId="7651B320" w14:textId="1687EDF9" w:rsidR="001748E2" w:rsidRPr="00880FE6" w:rsidRDefault="00A725DD" w:rsidP="0027439A">
      <w:pPr>
        <w:pStyle w:val="List1"/>
        <w:numPr>
          <w:ilvl w:val="2"/>
          <w:numId w:val="1"/>
        </w:numPr>
        <w:spacing w:before="100" w:beforeAutospacing="1" w:after="100" w:afterAutospacing="1"/>
        <w:ind w:hanging="357"/>
        <w:contextualSpacing/>
        <w:rPr>
          <w:highlight w:val="yellow"/>
        </w:rPr>
      </w:pPr>
      <w:r w:rsidRPr="00880FE6">
        <w:rPr>
          <w:highlight w:val="yellow"/>
        </w:rPr>
        <w:t xml:space="preserve">Imóvel </w:t>
      </w:r>
      <w:r w:rsidR="00880FE6" w:rsidRPr="00880FE6">
        <w:rPr>
          <w:highlight w:val="yellow"/>
        </w:rPr>
        <w:t>(Fazenda</w:t>
      </w:r>
      <w:r w:rsidR="00315BE8">
        <w:rPr>
          <w:highlight w:val="yellow"/>
        </w:rPr>
        <w:t>, Sítio, Imóvel rural, Imóvel urbano</w:t>
      </w:r>
      <w:r w:rsidR="00880FE6" w:rsidRPr="00880FE6">
        <w:rPr>
          <w:highlight w:val="yellow"/>
        </w:rPr>
        <w:t xml:space="preserve"> </w:t>
      </w:r>
      <w:proofErr w:type="spellStart"/>
      <w:r w:rsidR="00880FE6" w:rsidRPr="00880FE6">
        <w:rPr>
          <w:highlight w:val="yellow"/>
        </w:rPr>
        <w:t>Xxxxx</w:t>
      </w:r>
      <w:proofErr w:type="spellEnd"/>
      <w:r w:rsidR="00880FE6" w:rsidRPr="00880FE6">
        <w:rPr>
          <w:highlight w:val="yellow"/>
        </w:rPr>
        <w:t xml:space="preserve">), descrição, área, matrícula nº </w:t>
      </w:r>
      <w:proofErr w:type="spellStart"/>
      <w:r w:rsidR="00880FE6" w:rsidRPr="00880FE6">
        <w:rPr>
          <w:highlight w:val="yellow"/>
        </w:rPr>
        <w:t>xxxxx</w:t>
      </w:r>
      <w:proofErr w:type="spellEnd"/>
      <w:r w:rsidR="00880FE6" w:rsidRPr="00880FE6">
        <w:rPr>
          <w:highlight w:val="yellow"/>
        </w:rPr>
        <w:t xml:space="preserve"> – Cartório de Registro de Imóveis de XXXXX - UF</w:t>
      </w:r>
      <w:r w:rsidR="001748E2" w:rsidRPr="00880FE6">
        <w:rPr>
          <w:highlight w:val="yellow"/>
        </w:rPr>
        <w:t xml:space="preserve"> (R$ );</w:t>
      </w:r>
    </w:p>
    <w:p w14:paraId="285694D0" w14:textId="77777777" w:rsidR="002A0458" w:rsidRPr="002A0458" w:rsidRDefault="002A0458" w:rsidP="0027439A">
      <w:pPr>
        <w:pStyle w:val="List1"/>
        <w:spacing w:before="100" w:beforeAutospacing="1" w:after="100" w:afterAutospacing="1"/>
        <w:ind w:hanging="357"/>
        <w:contextualSpacing/>
        <w:rPr>
          <w:b/>
          <w:bCs/>
        </w:rPr>
      </w:pPr>
      <w:r w:rsidRPr="002A0458">
        <w:rPr>
          <w:b/>
          <w:bCs/>
        </w:rPr>
        <w:t xml:space="preserve">Encargos de Inadimplemento: </w:t>
      </w:r>
    </w:p>
    <w:p w14:paraId="1E47CB48" w14:textId="1313DD2D" w:rsidR="00FF5343" w:rsidRPr="00296C7A" w:rsidRDefault="002A0458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  <w:rPr>
          <w:b/>
          <w:bCs/>
          <w:highlight w:val="yellow"/>
        </w:rPr>
      </w:pPr>
      <w:r w:rsidRPr="00296C7A">
        <w:rPr>
          <w:b/>
          <w:bCs/>
          <w:highlight w:val="yellow"/>
        </w:rPr>
        <w:lastRenderedPageBreak/>
        <w:t xml:space="preserve">Juros </w:t>
      </w:r>
      <w:r w:rsidR="00472021">
        <w:rPr>
          <w:b/>
          <w:bCs/>
          <w:highlight w:val="yellow"/>
        </w:rPr>
        <w:t xml:space="preserve">remuneratórios + Juros </w:t>
      </w:r>
      <w:r w:rsidRPr="00296C7A">
        <w:rPr>
          <w:b/>
          <w:bCs/>
          <w:highlight w:val="yellow"/>
        </w:rPr>
        <w:t xml:space="preserve">moratórios de </w:t>
      </w:r>
      <w:r w:rsidR="00FF5343" w:rsidRPr="00296C7A">
        <w:rPr>
          <w:b/>
          <w:bCs/>
          <w:highlight w:val="yellow"/>
        </w:rPr>
        <w:t>;</w:t>
      </w:r>
    </w:p>
    <w:p w14:paraId="0D080150" w14:textId="64EF1AC8" w:rsidR="002A0458" w:rsidRPr="00296C7A" w:rsidRDefault="002A0458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  <w:rPr>
          <w:b/>
          <w:bCs/>
          <w:highlight w:val="yellow"/>
        </w:rPr>
      </w:pPr>
      <w:r w:rsidRPr="00296C7A">
        <w:rPr>
          <w:b/>
          <w:bCs/>
          <w:highlight w:val="yellow"/>
        </w:rPr>
        <w:t>Multa de 2,00%.</w:t>
      </w:r>
    </w:p>
    <w:p w14:paraId="43E35880" w14:textId="6EFD0D37" w:rsidR="00FF5343" w:rsidRPr="007B72D6" w:rsidRDefault="00FF5343" w:rsidP="0027439A">
      <w:pPr>
        <w:pStyle w:val="List1"/>
        <w:numPr>
          <w:ilvl w:val="1"/>
          <w:numId w:val="1"/>
        </w:numPr>
        <w:spacing w:before="100" w:beforeAutospacing="1" w:after="100" w:afterAutospacing="1"/>
        <w:ind w:hanging="357"/>
        <w:contextualSpacing/>
        <w:rPr>
          <w:b/>
          <w:bCs/>
          <w:highlight w:val="yellow"/>
        </w:rPr>
      </w:pPr>
      <w:r w:rsidRPr="007B72D6">
        <w:rPr>
          <w:b/>
          <w:bCs/>
          <w:highlight w:val="yellow"/>
        </w:rPr>
        <w:t>Comissão de Permanência.</w:t>
      </w:r>
    </w:p>
    <w:p w14:paraId="73DD954C" w14:textId="12886797" w:rsidR="007C2C7D" w:rsidRDefault="003560CD" w:rsidP="0027439A">
      <w:pPr>
        <w:pStyle w:val="List1"/>
        <w:spacing w:before="100" w:beforeAutospacing="1" w:after="100" w:afterAutospacing="1"/>
        <w:ind w:hanging="357"/>
        <w:contextualSpacing/>
      </w:pPr>
      <w:r>
        <w:t xml:space="preserve">Finalidade da operação: </w:t>
      </w:r>
      <w:r w:rsidR="000E1E55" w:rsidRPr="00AA3628">
        <w:rPr>
          <w:highlight w:val="green"/>
        </w:rPr>
        <w:t>{{</w:t>
      </w:r>
      <w:proofErr w:type="spellStart"/>
      <w:r w:rsidR="00AA3628" w:rsidRPr="00AA3628">
        <w:rPr>
          <w:highlight w:val="green"/>
        </w:rPr>
        <w:t>c.finalidade_op</w:t>
      </w:r>
      <w:proofErr w:type="spellEnd"/>
      <w:r w:rsidR="000E1E55" w:rsidRPr="00AA3628">
        <w:rPr>
          <w:highlight w:val="green"/>
        </w:rPr>
        <w:t>}}</w:t>
      </w:r>
      <w:r w:rsidR="00B55BD0" w:rsidRPr="00AA3628">
        <w:rPr>
          <w:highlight w:val="green"/>
        </w:rPr>
        <w:t>.</w:t>
      </w:r>
    </w:p>
    <w:p w14:paraId="65F83658" w14:textId="162C8228" w:rsidR="001E2C47" w:rsidRPr="00296C7A" w:rsidRDefault="001E2C47" w:rsidP="001E2C47">
      <w:pPr>
        <w:pStyle w:val="List1"/>
        <w:spacing w:before="100" w:beforeAutospacing="1" w:after="100" w:afterAutospacing="1"/>
        <w:ind w:hanging="357"/>
        <w:contextualSpacing/>
        <w:rPr>
          <w:highlight w:val="yellow"/>
        </w:rPr>
      </w:pPr>
      <w:r w:rsidRPr="00296C7A">
        <w:rPr>
          <w:highlight w:val="yellow"/>
        </w:rPr>
        <w:t xml:space="preserve">Aditivo em </w:t>
      </w:r>
      <w:proofErr w:type="spellStart"/>
      <w:r w:rsidRPr="00296C7A">
        <w:rPr>
          <w:highlight w:val="yellow"/>
        </w:rPr>
        <w:t>dd</w:t>
      </w:r>
      <w:proofErr w:type="spellEnd"/>
      <w:r w:rsidRPr="00296C7A">
        <w:rPr>
          <w:highlight w:val="yellow"/>
        </w:rPr>
        <w:t>/mm/</w:t>
      </w:r>
      <w:proofErr w:type="spellStart"/>
      <w:r w:rsidRPr="00296C7A">
        <w:rPr>
          <w:highlight w:val="yellow"/>
        </w:rPr>
        <w:t>aaaa</w:t>
      </w:r>
      <w:proofErr w:type="spellEnd"/>
      <w:r w:rsidRPr="00296C7A">
        <w:rPr>
          <w:highlight w:val="yellow"/>
        </w:rPr>
        <w:t>:</w:t>
      </w:r>
    </w:p>
    <w:p w14:paraId="7E49AE8C" w14:textId="6523187F" w:rsidR="001E2C47" w:rsidRPr="00296C7A" w:rsidRDefault="001E2C47" w:rsidP="001E2C47">
      <w:pPr>
        <w:pStyle w:val="List1"/>
        <w:numPr>
          <w:ilvl w:val="1"/>
          <w:numId w:val="1"/>
        </w:numPr>
        <w:spacing w:before="100" w:beforeAutospacing="1" w:after="100" w:afterAutospacing="1"/>
        <w:contextualSpacing/>
        <w:rPr>
          <w:highlight w:val="yellow"/>
        </w:rPr>
      </w:pPr>
      <w:r w:rsidRPr="00296C7A">
        <w:rPr>
          <w:highlight w:val="yellow"/>
        </w:rPr>
        <w:t xml:space="preserve">Alteração do prazo de vencimento: </w:t>
      </w:r>
    </w:p>
    <w:p w14:paraId="6BBA363B" w14:textId="0E6FB4A7" w:rsidR="001E2C47" w:rsidRDefault="001E2C47" w:rsidP="001E2C47">
      <w:pPr>
        <w:pStyle w:val="List1"/>
        <w:numPr>
          <w:ilvl w:val="1"/>
          <w:numId w:val="1"/>
        </w:numPr>
        <w:spacing w:before="100" w:beforeAutospacing="1" w:after="100" w:afterAutospacing="1"/>
        <w:contextualSpacing/>
        <w:rPr>
          <w:highlight w:val="yellow"/>
        </w:rPr>
      </w:pPr>
      <w:r w:rsidRPr="00296C7A">
        <w:rPr>
          <w:highlight w:val="yellow"/>
        </w:rPr>
        <w:t xml:space="preserve">Alteração da forma de pagamento: </w:t>
      </w:r>
    </w:p>
    <w:p w14:paraId="53DBE779" w14:textId="7F6D0222" w:rsidR="0017550E" w:rsidRDefault="0017550E" w:rsidP="0017550E">
      <w:pPr>
        <w:pStyle w:val="List1"/>
        <w:numPr>
          <w:ilvl w:val="0"/>
          <w:numId w:val="0"/>
        </w:numPr>
        <w:spacing w:before="100" w:beforeAutospacing="1" w:after="100" w:afterAutospacing="1"/>
        <w:contextualSpacing/>
        <w:jc w:val="left"/>
        <w:rPr>
          <w:highlight w:val="yellow"/>
        </w:rPr>
      </w:pPr>
      <w:r w:rsidRPr="0017550E">
        <w:rPr>
          <w:highlight w:val="yellow"/>
        </w:rPr>
        <w:t>{%</w:t>
      </w:r>
      <w:r>
        <w:rPr>
          <w:highlight w:val="yellow"/>
        </w:rPr>
        <w:t xml:space="preserve"> </w:t>
      </w:r>
      <w:proofErr w:type="spellStart"/>
      <w:r w:rsidRPr="0017550E">
        <w:rPr>
          <w:highlight w:val="yellow"/>
        </w:rPr>
        <w:t>if</w:t>
      </w:r>
      <w:proofErr w:type="spellEnd"/>
      <w:r w:rsidRPr="0017550E">
        <w:rPr>
          <w:highlight w:val="yellow"/>
        </w:rPr>
        <w:t xml:space="preserve"> </w:t>
      </w:r>
      <w:proofErr w:type="spellStart"/>
      <w:r w:rsidRPr="0017550E">
        <w:rPr>
          <w:highlight w:val="yellow"/>
        </w:rPr>
        <w:t>not</w:t>
      </w:r>
      <w:proofErr w:type="spellEnd"/>
      <w:r w:rsidRPr="0017550E">
        <w:rPr>
          <w:highlight w:val="yellow"/>
        </w:rPr>
        <w:t xml:space="preserve"> </w:t>
      </w:r>
      <w:proofErr w:type="spellStart"/>
      <w:r w:rsidRPr="0017550E">
        <w:rPr>
          <w:highlight w:val="yellow"/>
        </w:rPr>
        <w:t>loop.last</w:t>
      </w:r>
      <w:proofErr w:type="spellEnd"/>
      <w:r w:rsidRPr="0017550E">
        <w:rPr>
          <w:highlight w:val="yellow"/>
        </w:rPr>
        <w:t xml:space="preserve"> %}</w:t>
      </w:r>
      <w:r w:rsidRPr="0017550E">
        <w:rPr>
          <w:highlight w:val="yellow"/>
        </w:rPr>
        <w:br/>
      </w:r>
      <w:r w:rsidRPr="0017550E">
        <w:rPr>
          <w:highlight w:val="yellow"/>
        </w:rPr>
        <w:br/>
        <w:t>------------------------------------------------------------</w:t>
      </w:r>
      <w:r w:rsidRPr="0017550E">
        <w:rPr>
          <w:highlight w:val="yellow"/>
        </w:rPr>
        <w:br/>
      </w:r>
      <w:r w:rsidRPr="0017550E">
        <w:rPr>
          <w:highlight w:val="yellow"/>
        </w:rPr>
        <w:br/>
        <w:t xml:space="preserve">{% </w:t>
      </w:r>
      <w:proofErr w:type="spellStart"/>
      <w:r w:rsidRPr="0017550E">
        <w:rPr>
          <w:highlight w:val="yellow"/>
        </w:rPr>
        <w:t>endif</w:t>
      </w:r>
      <w:proofErr w:type="spellEnd"/>
      <w:r w:rsidRPr="0017550E">
        <w:rPr>
          <w:highlight w:val="yellow"/>
        </w:rPr>
        <w:t xml:space="preserve"> %}</w:t>
      </w:r>
    </w:p>
    <w:p w14:paraId="6739498C" w14:textId="1A0F311D" w:rsidR="00AA3628" w:rsidRPr="00296C7A" w:rsidRDefault="00AA3628" w:rsidP="00AA3628">
      <w:pPr>
        <w:pStyle w:val="List1"/>
        <w:numPr>
          <w:ilvl w:val="0"/>
          <w:numId w:val="0"/>
        </w:numPr>
        <w:spacing w:before="100" w:beforeAutospacing="1" w:after="100" w:afterAutospacing="1"/>
        <w:contextualSpacing/>
        <w:rPr>
          <w:highlight w:val="yellow"/>
        </w:rPr>
      </w:pPr>
      <w:r>
        <w:rPr>
          <w:highlight w:val="yellow"/>
        </w:rPr>
        <w:t xml:space="preserve">{% </w:t>
      </w:r>
      <w:proofErr w:type="spellStart"/>
      <w:r>
        <w:rPr>
          <w:highlight w:val="yellow"/>
        </w:rPr>
        <w:t>endfor</w:t>
      </w:r>
      <w:proofErr w:type="spellEnd"/>
      <w:r>
        <w:rPr>
          <w:highlight w:val="yellow"/>
        </w:rPr>
        <w:t xml:space="preserve"> %}</w:t>
      </w:r>
    </w:p>
    <w:p w14:paraId="56D2E577" w14:textId="77777777" w:rsidR="00F16107" w:rsidRDefault="00A03BBE" w:rsidP="00A03BBE">
      <w:pPr>
        <w:pStyle w:val="Ttulo2"/>
      </w:pPr>
      <w:bookmarkStart w:id="3" w:name="_Toc102054743"/>
      <w:r>
        <w:t>Irregularidades Identificadas</w:t>
      </w:r>
      <w:bookmarkEnd w:id="3"/>
    </w:p>
    <w:p w14:paraId="7E8B82E2" w14:textId="46171E5B" w:rsidR="00B22B62" w:rsidRDefault="00B22B62" w:rsidP="00870BEA">
      <w:pPr>
        <w:pStyle w:val="PargrafodaLista"/>
        <w:numPr>
          <w:ilvl w:val="0"/>
          <w:numId w:val="26"/>
        </w:numPr>
        <w:rPr>
          <w:szCs w:val="23"/>
        </w:rPr>
      </w:pPr>
      <w:r>
        <w:rPr>
          <w:szCs w:val="23"/>
        </w:rPr>
        <w:t>Capitalização de juros sem expressa pactuação (anatocismo)</w:t>
      </w:r>
    </w:p>
    <w:p w14:paraId="6383BCA8" w14:textId="18B1F833" w:rsidR="00870BEA" w:rsidRDefault="00870BEA" w:rsidP="00870BEA">
      <w:pPr>
        <w:pStyle w:val="PargrafodaLista"/>
        <w:numPr>
          <w:ilvl w:val="0"/>
          <w:numId w:val="26"/>
        </w:numPr>
        <w:rPr>
          <w:szCs w:val="23"/>
        </w:rPr>
      </w:pPr>
      <w:r w:rsidRPr="00704ED1">
        <w:rPr>
          <w:szCs w:val="23"/>
        </w:rPr>
        <w:t>Periodicidade da capitalização para contratos rurais e anatocismo</w:t>
      </w:r>
    </w:p>
    <w:p w14:paraId="187D2A5D" w14:textId="2C20A82A" w:rsidR="00471B69" w:rsidRDefault="008C5384" w:rsidP="00870BEA">
      <w:pPr>
        <w:pStyle w:val="PargrafodaLista"/>
        <w:numPr>
          <w:ilvl w:val="0"/>
          <w:numId w:val="26"/>
        </w:numPr>
        <w:rPr>
          <w:szCs w:val="23"/>
        </w:rPr>
      </w:pPr>
      <w:r>
        <w:rPr>
          <w:szCs w:val="23"/>
        </w:rPr>
        <w:t xml:space="preserve">Cobrança indevida de </w:t>
      </w:r>
      <w:r w:rsidRPr="0027439A">
        <w:rPr>
          <w:szCs w:val="23"/>
          <w:highlight w:val="yellow"/>
        </w:rPr>
        <w:t>Seguro</w:t>
      </w:r>
      <w:r w:rsidR="006927C1" w:rsidRPr="0027439A">
        <w:rPr>
          <w:szCs w:val="23"/>
          <w:highlight w:val="yellow"/>
        </w:rPr>
        <w:t xml:space="preserve">s e </w:t>
      </w:r>
      <w:r w:rsidRPr="0027439A">
        <w:rPr>
          <w:szCs w:val="23"/>
          <w:highlight w:val="yellow"/>
        </w:rPr>
        <w:t>Tarifa</w:t>
      </w:r>
    </w:p>
    <w:p w14:paraId="6F70E83F" w14:textId="6EA6CCDD" w:rsidR="00870BEA" w:rsidRPr="00EC2CF2" w:rsidRDefault="00870BEA" w:rsidP="00EC2CF2">
      <w:pPr>
        <w:pStyle w:val="PargrafodaLista"/>
        <w:numPr>
          <w:ilvl w:val="0"/>
          <w:numId w:val="26"/>
        </w:numPr>
        <w:rPr>
          <w:szCs w:val="23"/>
        </w:rPr>
      </w:pPr>
      <w:r w:rsidRPr="00F1298D">
        <w:rPr>
          <w:szCs w:val="23"/>
        </w:rPr>
        <w:t>Encargos de inadimplemento - Ilegalidade e Onerosidade excessiva</w:t>
      </w:r>
    </w:p>
    <w:p w14:paraId="472A7FE1" w14:textId="49C1B86D" w:rsidR="00A03BBE" w:rsidRDefault="00532480" w:rsidP="00A03BBE">
      <w:pPr>
        <w:pStyle w:val="Ttulo1"/>
      </w:pPr>
      <w:bookmarkStart w:id="4" w:name="_Toc102054744"/>
      <w:bookmarkStart w:id="5" w:name="_Toc471475304"/>
      <w:r>
        <w:t>ANÁLISE DAS IRREGULARIDADES</w:t>
      </w:r>
      <w:bookmarkEnd w:id="4"/>
    </w:p>
    <w:p w14:paraId="5A89F208" w14:textId="77777777" w:rsidR="00B22B62" w:rsidRPr="00B22B62" w:rsidRDefault="00B22B62" w:rsidP="00B22B62">
      <w:pPr>
        <w:pStyle w:val="Ttulo2"/>
        <w:numPr>
          <w:ilvl w:val="1"/>
          <w:numId w:val="36"/>
        </w:numPr>
      </w:pPr>
      <w:bookmarkStart w:id="6" w:name="_Toc102054745"/>
      <w:bookmarkStart w:id="7" w:name="_Toc76632719"/>
      <w:bookmarkStart w:id="8" w:name="_Toc77321466"/>
      <w:bookmarkStart w:id="9" w:name="_Toc75773442"/>
      <w:bookmarkStart w:id="10" w:name="_Toc48407224"/>
      <w:r w:rsidRPr="00B22B62">
        <w:t>Capitalização de juros sem expressa pactuação (anatocismo)</w:t>
      </w:r>
      <w:bookmarkEnd w:id="6"/>
    </w:p>
    <w:bookmarkEnd w:id="7"/>
    <w:bookmarkEnd w:id="8"/>
    <w:bookmarkEnd w:id="9"/>
    <w:p w14:paraId="55784775" w14:textId="45311582" w:rsidR="00D236BB" w:rsidRDefault="00D236BB" w:rsidP="00D236BB">
      <w:pPr>
        <w:rPr>
          <w:rFonts w:eastAsia="Times New Roman"/>
        </w:rPr>
      </w:pPr>
      <w:r>
        <w:rPr>
          <w:rFonts w:eastAsia="Times New Roman"/>
        </w:rPr>
        <w:t>A capitalização de juros difere do conceito de juros sobre juros (anatocismo), uma vez que o primeiro significa que os juros são exigidos e tornam-se capital do banco (direito de receber), pagos quando os saldos se encontram positivos, e incorporados ao saldo quando está devedor; já o segundo refere-se ao cálculo de juros sobre juros (ou sobre um montante composto de capital + juros).</w:t>
      </w:r>
      <w:r w:rsidR="00191657">
        <w:rPr>
          <w:rFonts w:eastAsia="Times New Roman"/>
        </w:rPr>
        <w:t xml:space="preserve"> </w:t>
      </w:r>
      <w:r>
        <w:rPr>
          <w:rFonts w:eastAsia="Times New Roman"/>
        </w:rPr>
        <w:t>Sobre isso já escreveram os professores Romualdo Wilson Cançado e Orlei Claro de Lima em seu livro</w:t>
      </w:r>
      <w:r>
        <w:rPr>
          <w:rFonts w:eastAsia="Times New Roman"/>
          <w:vertAlign w:val="superscript"/>
        </w:rPr>
        <w:endnoteReference w:id="1"/>
      </w:r>
      <w:r>
        <w:rPr>
          <w:rFonts w:eastAsia="Times New Roman"/>
        </w:rPr>
        <w:t xml:space="preserve">, no qual: </w:t>
      </w:r>
    </w:p>
    <w:p w14:paraId="025A26FA" w14:textId="77777777" w:rsidR="00D236BB" w:rsidRDefault="00D236BB" w:rsidP="001B54E6">
      <w:pPr>
        <w:pBdr>
          <w:bottom w:val="single" w:sz="4" w:space="1" w:color="auto"/>
        </w:pBdr>
        <w:spacing w:line="240" w:lineRule="auto"/>
        <w:ind w:left="2268" w:firstLine="0"/>
        <w:rPr>
          <w:rFonts w:eastAsia="Times New Roman" w:cs="Times New Roman"/>
          <w:color w:val="002060"/>
          <w:sz w:val="22"/>
          <w:szCs w:val="22"/>
        </w:rPr>
      </w:pPr>
      <w:r>
        <w:rPr>
          <w:rFonts w:eastAsia="Times New Roman" w:cs="Times New Roman"/>
          <w:color w:val="002060"/>
          <w:sz w:val="22"/>
          <w:szCs w:val="22"/>
        </w:rPr>
        <w:t>Já ficou demonstrado que capitalização dos juros não significa conta juros de juros. Significa a conversão e incorporação dos juros (ou renda) do capital inicial ao capital, correspondentes ao período ao qual se refere a taxa de juros – juros vencidos – quando pagos, ou sua conversão e incorporação ao saldo de capital – quando não pagos.</w:t>
      </w:r>
    </w:p>
    <w:p w14:paraId="579605A2" w14:textId="77777777" w:rsidR="00D236BB" w:rsidRDefault="00D236BB" w:rsidP="00D236BB">
      <w:pPr>
        <w:rPr>
          <w:rFonts w:eastAsia="Times New Roman"/>
        </w:rPr>
      </w:pPr>
      <w:r>
        <w:rPr>
          <w:rFonts w:eastAsia="Times New Roman"/>
        </w:rPr>
        <w:t>De acordo com o professor De Plácido e Silva:</w:t>
      </w:r>
    </w:p>
    <w:p w14:paraId="3162F644" w14:textId="77777777" w:rsidR="00D236BB" w:rsidRDefault="00D236BB" w:rsidP="001B54E6">
      <w:pPr>
        <w:pBdr>
          <w:bottom w:val="single" w:sz="4" w:space="1" w:color="auto"/>
        </w:pBdr>
        <w:spacing w:line="240" w:lineRule="auto"/>
        <w:ind w:left="2268" w:firstLine="0"/>
        <w:rPr>
          <w:rFonts w:eastAsia="Times New Roman" w:cs="Times New Roman"/>
          <w:color w:val="002060"/>
          <w:sz w:val="22"/>
          <w:szCs w:val="22"/>
        </w:rPr>
      </w:pPr>
      <w:r>
        <w:rPr>
          <w:rFonts w:eastAsia="Times New Roman" w:cs="Times New Roman"/>
          <w:color w:val="002060"/>
          <w:sz w:val="22"/>
          <w:szCs w:val="22"/>
        </w:rPr>
        <w:lastRenderedPageBreak/>
        <w:t xml:space="preserve">[...] a expressão “juros   capitalizados” é usada    na   técnica    do comércio para designar   os juros devidos   e já   vencidos periodicamente, que se incorporam ao principal, isto é, se   unem ao   capital   representativo     da   dívida   ou   obrigação, para constituírem    um novo total" - vocabulário jurídico, vol. </w:t>
      </w:r>
      <w:proofErr w:type="spellStart"/>
      <w:r>
        <w:rPr>
          <w:rFonts w:eastAsia="Times New Roman" w:cs="Times New Roman"/>
          <w:color w:val="002060"/>
          <w:sz w:val="22"/>
          <w:szCs w:val="22"/>
        </w:rPr>
        <w:t>iii</w:t>
      </w:r>
      <w:proofErr w:type="spellEnd"/>
      <w:r>
        <w:rPr>
          <w:rFonts w:eastAsia="Times New Roman" w:cs="Times New Roman"/>
          <w:color w:val="002060"/>
          <w:sz w:val="22"/>
          <w:szCs w:val="22"/>
        </w:rPr>
        <w:t xml:space="preserve"> -  j/p, forense, 2 a   edição, 1967, p. 903.</w:t>
      </w:r>
    </w:p>
    <w:p w14:paraId="3C8E5416" w14:textId="77777777" w:rsidR="00D236BB" w:rsidRDefault="00D236BB" w:rsidP="00D236BB">
      <w:r>
        <w:t xml:space="preserve">Nesse sentido, a capitalização dos juros remuneratórios pode ocorrer por dois métodos ou regimes diferentes: pode-se haver a incidência de juros forma simples/linear ou de forma composta/exponencial. </w:t>
      </w:r>
    </w:p>
    <w:p w14:paraId="3B3CB179" w14:textId="77777777" w:rsidR="00D236BB" w:rsidRDefault="00D236BB" w:rsidP="001B54E6">
      <w:pPr>
        <w:pStyle w:val="Citaodireta"/>
      </w:pPr>
      <w:r>
        <w:t xml:space="preserve">Os regimes de capitalização demonstram como os juros são formados e sucessivamente incorporados ao capital no decorrer do tempo. Nesta conceituação </w:t>
      </w:r>
      <w:r>
        <w:rPr>
          <w:b/>
          <w:bCs/>
        </w:rPr>
        <w:t>podem ser identificados dois regimes de capitalização dos juros: simples (ou linear) e composto (ou exponencial)</w:t>
      </w:r>
      <w:r>
        <w:t xml:space="preserve"> – O Anatocismo dos Sistemas de Amortização – Jurandir Gurgel Godim Filho</w:t>
      </w:r>
    </w:p>
    <w:p w14:paraId="227154DD" w14:textId="77777777" w:rsidR="00D236BB" w:rsidRDefault="00D236BB" w:rsidP="00D236BB">
      <w:r>
        <w:t xml:space="preserve">Sobre o tema, o professor Juan Carlos </w:t>
      </w:r>
      <w:proofErr w:type="spellStart"/>
      <w:r>
        <w:t>Lapponi</w:t>
      </w:r>
      <w:proofErr w:type="spellEnd"/>
      <w:r>
        <w:t xml:space="preserve"> define que:</w:t>
      </w:r>
    </w:p>
    <w:p w14:paraId="70D156F5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 xml:space="preserve">“No </w:t>
      </w:r>
      <w:r>
        <w:rPr>
          <w:rFonts w:eastAsia="Times New Roman"/>
          <w:b/>
          <w:bCs/>
        </w:rPr>
        <w:t xml:space="preserve">regime de juro composto </w:t>
      </w:r>
      <w:r>
        <w:rPr>
          <w:rFonts w:eastAsia="Times New Roman"/>
          <w:b/>
          <w:bCs/>
          <w:u w:val="single"/>
        </w:rPr>
        <w:t>os juros são reinvestidos</w:t>
      </w:r>
      <w:r>
        <w:rPr>
          <w:rFonts w:eastAsia="Times New Roman"/>
        </w:rPr>
        <w:t xml:space="preserve"> durante o prazo da operação. Neste caso, o capital sobre o qual se calculam os juros muda de forma crescente durante todo o prazo da operação, pois os juros são capitalizados na data em que são gerados”. (LAPPONI, 2014, p. 62).</w:t>
      </w:r>
    </w:p>
    <w:p w14:paraId="2A01E972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 xml:space="preserve">“No </w:t>
      </w:r>
      <w:r>
        <w:rPr>
          <w:rFonts w:eastAsia="Times New Roman"/>
          <w:b/>
          <w:bCs/>
        </w:rPr>
        <w:t xml:space="preserve">regime de juros simples os juros periódicos </w:t>
      </w:r>
      <w:r>
        <w:rPr>
          <w:rFonts w:eastAsia="Times New Roman"/>
          <w:b/>
          <w:bCs/>
          <w:u w:val="single"/>
        </w:rPr>
        <w:t>não são reinvestidos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</w:rPr>
        <w:t>durante o prazo da operação; esses juros são acumulados sem remuneração. De outra maneira, o capital sobre o qual se calculam os juros permanece inalterado durante todo o prazo da operação, e os juros são capitalizados na data do resgate do capital investido”. (LAPPONI, 2014, p. 62) [grifo nosso].</w:t>
      </w:r>
    </w:p>
    <w:p w14:paraId="26657862" w14:textId="77777777" w:rsidR="00D236BB" w:rsidRDefault="00D236BB" w:rsidP="00D236BB">
      <w:r>
        <w:t xml:space="preserve">A capitalização de juros, seja ela com periodicidade diária, mensal, semestral ou anual, não é vedada no arcabouço jurídico brasileiro. Nesse sentido, as instituições financeiras podem, </w:t>
      </w:r>
      <w:r>
        <w:rPr>
          <w:b/>
          <w:bCs/>
          <w:u w:val="single"/>
        </w:rPr>
        <w:t>na periodicidade acordada</w:t>
      </w:r>
      <w:r>
        <w:t xml:space="preserve"> entre as partes, reinvestir os juros ao saldo devedor. Note, entretanto, que </w:t>
      </w:r>
      <w:r>
        <w:rPr>
          <w:b/>
          <w:bCs/>
          <w:u w:val="single"/>
        </w:rPr>
        <w:t>a capitalização dos juros não é prática automática e, tampouco, pode ser feita ao bel-prazer das instituições</w:t>
      </w:r>
      <w:r>
        <w:t xml:space="preserve"> do Sistema Financeiro Nacional.</w:t>
      </w:r>
    </w:p>
    <w:p w14:paraId="1DC80366" w14:textId="77777777" w:rsidR="00D236BB" w:rsidRDefault="00D236BB" w:rsidP="00D236BB">
      <w:r>
        <w:t>Para realização da capitalização dos juros remuneratórios em qualquer operação, deve-se estar, de forma clara e expressa em contrato, a pactuação da capitalização, não podendo restar dúvidas ao consumidor bancário que este deverá pagar juros de forma capitalizada. Para demonstrar tal fato, são apresentados alguns instrumentos jurídicos que ressaltam a necessidade da expressa e clara pactuação.</w:t>
      </w:r>
    </w:p>
    <w:p w14:paraId="64AA5D70" w14:textId="17E8DD74" w:rsidR="00D236BB" w:rsidRDefault="00D236BB" w:rsidP="001B54E6">
      <w:pPr>
        <w:pBdr>
          <w:bottom w:val="single" w:sz="4" w:space="1" w:color="auto"/>
        </w:pBdr>
        <w:spacing w:line="240" w:lineRule="auto"/>
        <w:ind w:left="2268" w:firstLine="0"/>
        <w:rPr>
          <w:rFonts w:eastAsia="Times New Roman" w:cs="Times New Roman"/>
          <w:b/>
          <w:bCs/>
          <w:color w:val="002060"/>
          <w:sz w:val="22"/>
          <w:szCs w:val="22"/>
          <w:u w:val="single"/>
        </w:rPr>
      </w:pPr>
      <w:r>
        <w:rPr>
          <w:rFonts w:eastAsia="Times New Roman" w:cs="Times New Roman"/>
          <w:b/>
          <w:bCs/>
          <w:color w:val="002060"/>
          <w:sz w:val="22"/>
          <w:szCs w:val="22"/>
          <w:u w:val="single"/>
        </w:rPr>
        <w:lastRenderedPageBreak/>
        <w:t>CAPITALIZAÇÃO ANUAL</w:t>
      </w:r>
      <w:r w:rsidR="00191657">
        <w:rPr>
          <w:rFonts w:eastAsia="Times New Roman" w:cs="Times New Roman"/>
          <w:b/>
          <w:bCs/>
          <w:color w:val="002060"/>
          <w:sz w:val="22"/>
          <w:szCs w:val="22"/>
          <w:u w:val="single"/>
        </w:rPr>
        <w:t xml:space="preserve"> - </w:t>
      </w:r>
      <w:r>
        <w:rPr>
          <w:rFonts w:eastAsia="Times New Roman" w:cs="Times New Roman"/>
          <w:b/>
          <w:bCs/>
          <w:color w:val="002060"/>
          <w:sz w:val="22"/>
          <w:szCs w:val="22"/>
          <w:u w:val="single"/>
        </w:rPr>
        <w:t>Recurso Especial Repetitivo 1.388.972/SC:</w:t>
      </w:r>
    </w:p>
    <w:p w14:paraId="76CF897F" w14:textId="77777777" w:rsidR="00D236BB" w:rsidRDefault="00D236BB" w:rsidP="001B54E6">
      <w:pPr>
        <w:pBdr>
          <w:bottom w:val="single" w:sz="4" w:space="1" w:color="auto"/>
        </w:pBdr>
        <w:spacing w:line="240" w:lineRule="auto"/>
        <w:ind w:left="2268" w:firstLine="0"/>
        <w:rPr>
          <w:rFonts w:eastAsia="Times New Roman" w:cs="Times New Roman"/>
          <w:color w:val="002060"/>
          <w:sz w:val="22"/>
          <w:szCs w:val="22"/>
        </w:rPr>
      </w:pPr>
      <w:r>
        <w:rPr>
          <w:rFonts w:eastAsia="Times New Roman" w:cs="Times New Roman"/>
          <w:color w:val="002060"/>
          <w:sz w:val="22"/>
          <w:szCs w:val="22"/>
        </w:rPr>
        <w:t xml:space="preserve">[...] Referido reclamo, no entanto, fora julgado monocraticamente aplicando ao caso o entendimento mais recente do STJ que consolidou-se no sentido da </w:t>
      </w:r>
      <w:r>
        <w:rPr>
          <w:rFonts w:eastAsia="Times New Roman" w:cs="Times New Roman"/>
          <w:b/>
          <w:bCs/>
          <w:color w:val="002060"/>
          <w:sz w:val="22"/>
          <w:szCs w:val="22"/>
          <w:u w:val="single"/>
        </w:rPr>
        <w:t>exigência da pactuação expressa da capitalização anual</w:t>
      </w:r>
      <w:r>
        <w:rPr>
          <w:rFonts w:eastAsia="Times New Roman" w:cs="Times New Roman"/>
          <w:color w:val="002060"/>
          <w:sz w:val="22"/>
          <w:szCs w:val="22"/>
        </w:rPr>
        <w:t>, em razão de sua incidência não ser automática, tendo transitado em julgado. [G. N.]</w:t>
      </w:r>
    </w:p>
    <w:p w14:paraId="12DAB7FD" w14:textId="77777777" w:rsidR="00D236BB" w:rsidRDefault="00D236BB" w:rsidP="001B54E6">
      <w:pPr>
        <w:pBdr>
          <w:bottom w:val="single" w:sz="4" w:space="1" w:color="auto"/>
        </w:pBdr>
        <w:spacing w:line="240" w:lineRule="auto"/>
        <w:ind w:left="2268" w:firstLine="0"/>
        <w:rPr>
          <w:rFonts w:eastAsia="Times New Roman" w:cs="Times New Roman"/>
          <w:color w:val="002060"/>
          <w:sz w:val="22"/>
          <w:szCs w:val="22"/>
        </w:rPr>
      </w:pPr>
      <w:r>
        <w:rPr>
          <w:rFonts w:eastAsia="Times New Roman" w:cs="Times New Roman"/>
          <w:color w:val="002060"/>
          <w:sz w:val="22"/>
          <w:szCs w:val="22"/>
        </w:rPr>
        <w:t xml:space="preserve">[...] De fato, sendo pacífico o entendimento de que a capitalização inferior à anual depende de pactuação, </w:t>
      </w:r>
      <w:r>
        <w:rPr>
          <w:rFonts w:eastAsia="Times New Roman" w:cs="Times New Roman"/>
          <w:b/>
          <w:bCs/>
          <w:color w:val="002060"/>
          <w:sz w:val="22"/>
          <w:szCs w:val="22"/>
        </w:rPr>
        <w:t>outra não pode ser a conclusão em relação àquela em periodicidade ânua</w:t>
      </w:r>
      <w:r>
        <w:rPr>
          <w:rFonts w:eastAsia="Times New Roman" w:cs="Times New Roman"/>
          <w:color w:val="002060"/>
          <w:sz w:val="22"/>
          <w:szCs w:val="22"/>
        </w:rPr>
        <w:t xml:space="preserve">, sob pena de ser a única modalidade (periodicidade) do encargo </w:t>
      </w:r>
      <w:r>
        <w:rPr>
          <w:rFonts w:eastAsia="Times New Roman" w:cs="Times New Roman"/>
          <w:b/>
          <w:bCs/>
          <w:color w:val="002060"/>
          <w:sz w:val="22"/>
          <w:szCs w:val="22"/>
        </w:rPr>
        <w:t>a incidir de maneira automática no sistema financeiro</w:t>
      </w:r>
      <w:r>
        <w:rPr>
          <w:rFonts w:eastAsia="Times New Roman" w:cs="Times New Roman"/>
          <w:color w:val="002060"/>
          <w:sz w:val="22"/>
          <w:szCs w:val="22"/>
        </w:rPr>
        <w:t xml:space="preserve">, embora inexistente qualquer determinação legal nesse sentido, pois o artigo 591 do Código Civil apenas permite a capitalização anual e </w:t>
      </w:r>
      <w:r>
        <w:rPr>
          <w:rFonts w:eastAsia="Times New Roman" w:cs="Times New Roman"/>
          <w:b/>
          <w:bCs/>
          <w:color w:val="002060"/>
          <w:sz w:val="22"/>
          <w:szCs w:val="22"/>
        </w:rPr>
        <w:t>não determina a sua aplicação automaticamente</w:t>
      </w:r>
      <w:r>
        <w:rPr>
          <w:rFonts w:eastAsia="Times New Roman" w:cs="Times New Roman"/>
          <w:color w:val="002060"/>
          <w:sz w:val="22"/>
          <w:szCs w:val="22"/>
        </w:rPr>
        <w:t>. [G. N.]</w:t>
      </w:r>
    </w:p>
    <w:p w14:paraId="6BD11948" w14:textId="77777777" w:rsidR="00D236BB" w:rsidRDefault="00D236BB" w:rsidP="001B54E6">
      <w:pPr>
        <w:pBdr>
          <w:bottom w:val="single" w:sz="4" w:space="1" w:color="auto"/>
        </w:pBdr>
        <w:spacing w:line="240" w:lineRule="auto"/>
        <w:ind w:left="2268" w:firstLine="0"/>
        <w:rPr>
          <w:rFonts w:eastAsia="Times New Roman" w:cs="Times New Roman"/>
          <w:color w:val="002060"/>
          <w:sz w:val="22"/>
          <w:szCs w:val="22"/>
        </w:rPr>
      </w:pPr>
      <w:r>
        <w:rPr>
          <w:rFonts w:eastAsia="Times New Roman" w:cs="Times New Roman"/>
          <w:color w:val="002060"/>
          <w:sz w:val="22"/>
          <w:szCs w:val="22"/>
        </w:rPr>
        <w:t xml:space="preserve">[...] Assim, </w:t>
      </w:r>
      <w:r>
        <w:rPr>
          <w:rFonts w:eastAsia="Times New Roman" w:cs="Times New Roman"/>
          <w:b/>
          <w:bCs/>
          <w:color w:val="002060"/>
          <w:sz w:val="22"/>
          <w:szCs w:val="22"/>
        </w:rPr>
        <w:t>tendo em vista que nos contratos bancários é aplicável o Código de Defesa do Consumidor (súmula 297/STJ), a incidência da capitalização de juros, em qualquer periodicidade - na hipótese, a anual - não é automática, devendo ser expressamente pactuada, visto que, ante o princípio da boa-fé contratual e a hipossuficiência do consumidor, esse não pode ser cobrado por encargo sequer previsto contratualmente</w:t>
      </w:r>
      <w:r>
        <w:rPr>
          <w:rFonts w:eastAsia="Times New Roman" w:cs="Times New Roman"/>
          <w:color w:val="002060"/>
          <w:sz w:val="22"/>
          <w:szCs w:val="22"/>
        </w:rPr>
        <w:t>. [G. N.]</w:t>
      </w:r>
    </w:p>
    <w:p w14:paraId="4FC3DE16" w14:textId="77777777" w:rsidR="00D236BB" w:rsidRDefault="00D236BB" w:rsidP="00D236BB">
      <w:r>
        <w:t xml:space="preserve">O Recurso Especial Repetitivo 1.388.972/SC firma o entendimento de que </w:t>
      </w:r>
      <w:r>
        <w:rPr>
          <w:b/>
          <w:bCs/>
          <w:u w:val="single"/>
        </w:rPr>
        <w:t>a incidência da periodicidade da capitalização não é automática, devendo ser expressamente pactuada</w:t>
      </w:r>
      <w:r>
        <w:t>. Nesse sentido, as primeiras condições para pactuação da capitalização é a informação de que os juros serão capitalizados e em qual periodicidade serão.</w:t>
      </w:r>
    </w:p>
    <w:p w14:paraId="282BC072" w14:textId="77777777" w:rsidR="00D236BB" w:rsidRDefault="00D236BB" w:rsidP="00D236BB">
      <w:r>
        <w:t xml:space="preserve">Por sua vez, o Recurso Especial nº 973.827-RS (2007/0179072-3) diz respeito à capitalização em periodicidade inferior à anual: segundo o mecanismo jurisprudencial, </w:t>
      </w:r>
      <w:r>
        <w:rPr>
          <w:b/>
          <w:bCs/>
        </w:rPr>
        <w:t>a capitalização inferior à anual é permitida, desde que expressamente pactuada</w:t>
      </w:r>
      <w:r>
        <w:t>. Não obstante, fixa-se a tese do duodécuplo: os contratos bancários devem contar a taxa mensal e anual, sendo a anual superior ao duodécuplo da mensal para que haja o atendimento a uma das condições da capitalização mensal.</w:t>
      </w:r>
    </w:p>
    <w:p w14:paraId="31828FB6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>RECURSO ESPECIAL Nº 973.827 - RS (2007/0179072-3)</w:t>
      </w:r>
    </w:p>
    <w:p w14:paraId="78CFF8BA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 xml:space="preserve">"CIVIL E PROCESSUAL. RECURSO ESPECIAL REPETITIVO. AÇÕES REVISIONAL E DE BUSCA E APREENSÃO CONVERTIDA EM DEPÓSITO. CONTRATO DE FINANCIAMENTO COM GARANTIA DE ALIENAÇÃO FIDUCIÁRIA. CAPITALIZAÇÃO DE JUROS. JUROS COMPOSTOS. DECRETO 22.626/1933 MEDIDA PROVISÓRIA 2.170-36/2001. COMISSÃO DE </w:t>
      </w:r>
      <w:r>
        <w:rPr>
          <w:rFonts w:eastAsia="Times New Roman"/>
        </w:rPr>
        <w:lastRenderedPageBreak/>
        <w:t>PERMANÊNCIA. MORA. CARACTERIZAÇÃO. ORIENTAÇÃO - JUROS REMUNERATÓRIOS.</w:t>
      </w:r>
    </w:p>
    <w:p w14:paraId="78B88A80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 xml:space="preserve">3. Teses para os efeitos do art. 543-C do CPC: </w:t>
      </w:r>
    </w:p>
    <w:p w14:paraId="5AA65B6A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 xml:space="preserve">- </w:t>
      </w:r>
      <w:r>
        <w:rPr>
          <w:rFonts w:eastAsia="Times New Roman"/>
          <w:b/>
          <w:bCs/>
        </w:rPr>
        <w:t xml:space="preserve">'É permitida a capitalização de juros com periodicidade inferior a um ano </w:t>
      </w:r>
      <w:r>
        <w:rPr>
          <w:rFonts w:eastAsia="Times New Roman"/>
        </w:rPr>
        <w:t>em contratos celebrados após 31.3.2000, data da publicação da Medida Provisória n. 1.963-17/2000 (em vigor como MP 2.170-36/2001),</w:t>
      </w:r>
      <w:r>
        <w:rPr>
          <w:rFonts w:eastAsia="Times New Roman"/>
          <w:b/>
          <w:bCs/>
        </w:rPr>
        <w:t xml:space="preserve"> desde que expressamente pactuada.'</w:t>
      </w:r>
    </w:p>
    <w:p w14:paraId="3B0DE8B8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>- 'A capitalização dos juros em periodicidade inferior à anual deve vir pactuada de forma expressa e clara. A previsão no contrato bancário de taxa de juros anual superior ao duodécuplo da mensal é suficiente para permitir a cobrança da taxa efetiva anual. [G.N.]</w:t>
      </w:r>
    </w:p>
    <w:p w14:paraId="1FA5B44F" w14:textId="77777777" w:rsidR="00D236BB" w:rsidRDefault="00D236BB" w:rsidP="00D236BB">
      <w:pPr>
        <w:rPr>
          <w:bCs/>
        </w:rPr>
      </w:pPr>
      <w:r>
        <w:rPr>
          <w:bCs/>
        </w:rPr>
        <w:t xml:space="preserve">Corrobora com esse entendimento o </w:t>
      </w:r>
      <w:proofErr w:type="spellStart"/>
      <w:r>
        <w:rPr>
          <w:bCs/>
        </w:rPr>
        <w:t>AgRg</w:t>
      </w:r>
      <w:proofErr w:type="spellEnd"/>
      <w:r>
        <w:rPr>
          <w:bCs/>
        </w:rPr>
        <w:t xml:space="preserve"> no RECURSO ESPECIAL Nº 895.424 - RS (2006/0230051-0), que afirma que </w:t>
      </w:r>
    </w:p>
    <w:p w14:paraId="33030FE5" w14:textId="77777777" w:rsidR="00D236BB" w:rsidRDefault="00D236BB" w:rsidP="001B54E6">
      <w:pPr>
        <w:pStyle w:val="Citaodireta"/>
        <w:spacing w:before="120" w:after="120"/>
        <w:rPr>
          <w:rFonts w:eastAsia="Times New Roman"/>
          <w:b/>
          <w:bCs/>
        </w:rPr>
      </w:pPr>
      <w:proofErr w:type="spellStart"/>
      <w:r>
        <w:rPr>
          <w:rFonts w:eastAsia="Times New Roman"/>
          <w:b/>
          <w:bCs/>
        </w:rPr>
        <w:t>AgRg</w:t>
      </w:r>
      <w:proofErr w:type="spellEnd"/>
      <w:r>
        <w:rPr>
          <w:rFonts w:eastAsia="Times New Roman"/>
          <w:b/>
          <w:bCs/>
        </w:rPr>
        <w:t xml:space="preserve"> no RECURSO ESPECIAL Nº 895.424 - RS (2006/0230051-0)</w:t>
      </w:r>
    </w:p>
    <w:p w14:paraId="17858BD3" w14:textId="77777777" w:rsidR="00D236BB" w:rsidRDefault="00D236BB" w:rsidP="001B54E6">
      <w:pPr>
        <w:pStyle w:val="Citaodireta"/>
        <w:spacing w:before="120" w:after="120"/>
        <w:rPr>
          <w:rFonts w:eastAsia="Times New Roman"/>
        </w:rPr>
      </w:pPr>
      <w:r>
        <w:rPr>
          <w:rFonts w:eastAsia="Times New Roman"/>
        </w:rPr>
        <w:t xml:space="preserve">AGRAVO REGIMENTAL. RECURSO ESPECIAL. CAPITALIZAÇÃO MENSAL DE JUROS. AUSÊNCIA DE PACTUAÇÃO EXPRESSA. INCIDÊNCIA DAS SÚMULAS 05 E 07 DO STJ. AGRAVO REGIMENTAL IMPROVIDO. </w:t>
      </w:r>
    </w:p>
    <w:p w14:paraId="7951EA00" w14:textId="77777777" w:rsidR="00D236BB" w:rsidRDefault="00D236BB" w:rsidP="001B54E6">
      <w:pPr>
        <w:pStyle w:val="Citaodireta"/>
        <w:spacing w:before="120" w:after="120"/>
        <w:rPr>
          <w:rFonts w:eastAsia="Times New Roman"/>
        </w:rPr>
      </w:pPr>
      <w:r>
        <w:rPr>
          <w:rFonts w:eastAsia="Times New Roman"/>
        </w:rPr>
        <w:t xml:space="preserve">1. Nos termos da MP 2.170/01, é admissível a capitalização mensal de juros quando expressamente pactuada, o que não ocorre nos autos. </w:t>
      </w:r>
    </w:p>
    <w:p w14:paraId="568B05B9" w14:textId="77777777" w:rsidR="00D236BB" w:rsidRDefault="00D236BB" w:rsidP="001B54E6">
      <w:pPr>
        <w:pStyle w:val="Citaodireta"/>
        <w:spacing w:before="120" w:after="120"/>
        <w:rPr>
          <w:rFonts w:eastAsia="Times New Roman"/>
        </w:rPr>
      </w:pPr>
      <w:r>
        <w:rPr>
          <w:rFonts w:eastAsia="Times New Roman"/>
        </w:rPr>
        <w:t xml:space="preserve">2. </w:t>
      </w:r>
      <w:r>
        <w:rPr>
          <w:rFonts w:eastAsia="Times New Roman"/>
          <w:b/>
          <w:bCs/>
        </w:rPr>
        <w:t xml:space="preserve">Não é suficiente que a capitalização mensal de juros tenha sido pactuada, sendo imprescindível que tenha sido de </w:t>
      </w:r>
      <w:r>
        <w:rPr>
          <w:rFonts w:eastAsia="Times New Roman"/>
          <w:b/>
          <w:bCs/>
          <w:u w:val="single"/>
        </w:rPr>
        <w:t>forma expressa, clara</w:t>
      </w:r>
      <w:r>
        <w:rPr>
          <w:rFonts w:eastAsia="Times New Roman"/>
          <w:b/>
          <w:bCs/>
        </w:rPr>
        <w:t>, de modo a garantir que o contratante tenha a plena ciência dos encargos acordados</w:t>
      </w:r>
      <w:r>
        <w:rPr>
          <w:rFonts w:eastAsia="Times New Roman"/>
        </w:rPr>
        <w:t>; no caso, apenas as taxas de juros mensal simples e anual estão, em tese, expressas no contrato, mas não a capitalizada [G.N.]</w:t>
      </w:r>
    </w:p>
    <w:p w14:paraId="2E6770A3" w14:textId="5B845E51" w:rsidR="00D236BB" w:rsidRDefault="00D236BB" w:rsidP="00D236BB">
      <w:pPr>
        <w:rPr>
          <w:rFonts w:eastAsia="Times New Roman"/>
        </w:rPr>
      </w:pPr>
      <w:r>
        <w:t>Ademais, como extensão da tese do duodécuplo, em 2019, o Supremo Tribunal de Justiça</w:t>
      </w:r>
      <w:r>
        <w:rPr>
          <w:rFonts w:eastAsia="Times New Roman"/>
        </w:rPr>
        <w:t xml:space="preserve">, por meio do Recurso Especial nº 1.826.463 - SC (2019/0204874-7), fixou o entendimento de que, para prática da capitalização diária, além de todas as condições já citadas, devem-se estar previstas em contrato a taxa diária e a mensal, sendo a taxa mensal superior a 30 vezes a taxa diária. Note ainda que o Recurso Especial deixa claro que </w:t>
      </w:r>
      <w:r>
        <w:rPr>
          <w:rFonts w:eastAsia="Times New Roman"/>
          <w:b/>
          <w:bCs/>
          <w:u w:val="single"/>
        </w:rPr>
        <w:t>a simples existência de cláusula genérica sobre capitalização de juros não é suficiente para pactuação da capitalização</w:t>
      </w:r>
      <w:r>
        <w:rPr>
          <w:rFonts w:eastAsia="Times New Roman"/>
        </w:rPr>
        <w:t>.</w:t>
      </w:r>
    </w:p>
    <w:p w14:paraId="5158DC4E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 xml:space="preserve">[...] Nesse passo, aplicando-se o mesmo raciocínio da tese do duodécuplo à hipótese de capitalização diária, o fator de multiplicação seria "30" (pois o mês tem trinta dias), em vez de "12" (que é o número de meses do ano), e a conclusão seria de que a </w:t>
      </w:r>
      <w:r>
        <w:rPr>
          <w:rFonts w:eastAsia="Times New Roman"/>
          <w:b/>
          <w:bCs/>
        </w:rPr>
        <w:t>previsão de taxa efetiva mensal superior 30 vezes a taxa diária denotaria a existência capitalização diária</w:t>
      </w:r>
      <w:r>
        <w:rPr>
          <w:rFonts w:eastAsia="Times New Roman"/>
        </w:rPr>
        <w:t xml:space="preserve">. É dizer </w:t>
      </w:r>
      <w:r>
        <w:rPr>
          <w:rFonts w:eastAsia="Times New Roman"/>
        </w:rPr>
        <w:lastRenderedPageBreak/>
        <w:t>que, havendo previsão da taxa diária, o consumidor poderia aferir a existência de capitalização diária mediante cotejo entre a taxa mensal pactuada e a taxa resultante a multiplicação da taxa diária por 30, pois se a taxa mensal for superior ao resultado dessa multiplicação, é evidência de que os juros diários foram capitalizados.</w:t>
      </w:r>
    </w:p>
    <w:p w14:paraId="590873ED" w14:textId="77777777" w:rsidR="00D236BB" w:rsidRDefault="00D236BB" w:rsidP="001B54E6">
      <w:pPr>
        <w:pStyle w:val="Citaodireta"/>
        <w:rPr>
          <w:rFonts w:eastAsia="Times New Roman"/>
        </w:rPr>
      </w:pPr>
      <w:r>
        <w:rPr>
          <w:rFonts w:eastAsia="Times New Roman"/>
        </w:rPr>
        <w:t xml:space="preserve">No caso dos autos, esse cotejo não é possível, uma vez que </w:t>
      </w:r>
      <w:r>
        <w:rPr>
          <w:rFonts w:eastAsia="Times New Roman"/>
          <w:u w:val="single"/>
        </w:rPr>
        <w:t>o contrato somente prevê uma cláusula genérica de capitalização</w:t>
      </w:r>
      <w:r>
        <w:rPr>
          <w:rFonts w:eastAsia="Times New Roman"/>
        </w:rPr>
        <w:t xml:space="preserve"> diária, </w:t>
      </w:r>
      <w:r>
        <w:rPr>
          <w:rFonts w:eastAsia="Times New Roman"/>
          <w:b/>
          <w:bCs/>
          <w:u w:val="single"/>
        </w:rPr>
        <w:t>sem informar a taxa diária de juros remuneratórios</w:t>
      </w:r>
      <w:r>
        <w:rPr>
          <w:rFonts w:eastAsia="Times New Roman"/>
        </w:rPr>
        <w:t xml:space="preserve">, surgindo daí a controvérsia sobre o dever de informação. </w:t>
      </w:r>
      <w:r>
        <w:rPr>
          <w:rFonts w:eastAsia="Times New Roman"/>
          <w:b/>
          <w:bCs/>
        </w:rPr>
        <w:t>[G.N]</w:t>
      </w:r>
    </w:p>
    <w:p w14:paraId="345431E6" w14:textId="77777777" w:rsidR="00D236BB" w:rsidRDefault="00D236BB" w:rsidP="006003A4">
      <w:pPr>
        <w:spacing w:before="0" w:after="0"/>
      </w:pPr>
      <w:r>
        <w:t xml:space="preserve">Diante da jurisprudência e das definições apresentadas, entende-se que </w:t>
      </w:r>
      <w:r>
        <w:rPr>
          <w:b/>
          <w:bCs/>
          <w:u w:val="single"/>
        </w:rPr>
        <w:t>a clara e expressa pactuação da capitalização de juros se dá a partir do atendimento a quatro condições</w:t>
      </w:r>
      <w:r>
        <w:t>; a</w:t>
      </w:r>
      <w:r>
        <w:rPr>
          <w:b/>
          <w:bCs/>
          <w:u w:val="single"/>
        </w:rPr>
        <w:t xml:space="preserve"> prática de juros capitalizados pode ocorrer se, e somente se</w:t>
      </w:r>
      <w:r>
        <w:t>:</w:t>
      </w:r>
    </w:p>
    <w:p w14:paraId="1D0B267D" w14:textId="77777777" w:rsidR="00D236BB" w:rsidRDefault="00D236BB" w:rsidP="006003A4">
      <w:pPr>
        <w:pStyle w:val="PargrafodaLista"/>
        <w:numPr>
          <w:ilvl w:val="0"/>
          <w:numId w:val="38"/>
        </w:numPr>
        <w:spacing w:before="0" w:after="0"/>
        <w:ind w:left="0" w:hanging="11"/>
        <w:rPr>
          <w:b/>
          <w:bCs/>
          <w:u w:val="single"/>
        </w:rPr>
      </w:pPr>
      <w:r>
        <w:rPr>
          <w:b/>
          <w:bCs/>
          <w:u w:val="single"/>
        </w:rPr>
        <w:t>O contrato contiver a informação de que os juros serão capitalizados.</w:t>
      </w:r>
    </w:p>
    <w:p w14:paraId="4FD04C65" w14:textId="77777777" w:rsidR="00D236BB" w:rsidRDefault="00D236BB" w:rsidP="006003A4">
      <w:pPr>
        <w:pStyle w:val="PargrafodaLista"/>
        <w:spacing w:before="0" w:after="0"/>
        <w:ind w:left="0" w:firstLine="0"/>
        <w:rPr>
          <w:i/>
          <w:iCs/>
        </w:rPr>
      </w:pPr>
      <w:r>
        <w:rPr>
          <w:i/>
          <w:iCs/>
        </w:rPr>
        <w:t>Exemplo: “Os juros remuneratórios serão capitalizados”.</w:t>
      </w:r>
    </w:p>
    <w:p w14:paraId="44949179" w14:textId="77777777" w:rsidR="00D236BB" w:rsidRDefault="00D236BB" w:rsidP="006003A4">
      <w:pPr>
        <w:pStyle w:val="PargrafodaLista"/>
        <w:numPr>
          <w:ilvl w:val="0"/>
          <w:numId w:val="38"/>
        </w:numPr>
        <w:spacing w:before="0" w:after="0"/>
        <w:ind w:left="0" w:hanging="11"/>
        <w:rPr>
          <w:b/>
          <w:bCs/>
          <w:u w:val="single"/>
        </w:rPr>
      </w:pPr>
      <w:r>
        <w:rPr>
          <w:b/>
          <w:bCs/>
          <w:u w:val="single"/>
        </w:rPr>
        <w:t>O contrato contiver a informação sobre a periodicidade em que os juros serão capitalizados.</w:t>
      </w:r>
    </w:p>
    <w:p w14:paraId="129D9E02" w14:textId="77777777" w:rsidR="00D236BB" w:rsidRDefault="00D236BB" w:rsidP="006003A4">
      <w:pPr>
        <w:pStyle w:val="PargrafodaLista"/>
        <w:spacing w:before="0" w:after="0"/>
        <w:ind w:left="0" w:firstLine="0"/>
        <w:rPr>
          <w:i/>
          <w:iCs/>
        </w:rPr>
      </w:pPr>
      <w:r>
        <w:rPr>
          <w:i/>
          <w:iCs/>
        </w:rPr>
        <w:t xml:space="preserve">Exemplo – </w:t>
      </w:r>
      <w:r>
        <w:rPr>
          <w:i/>
          <w:iCs/>
          <w:u w:val="single"/>
        </w:rPr>
        <w:t>Capitalização semestral</w:t>
      </w:r>
      <w:r>
        <w:rPr>
          <w:i/>
          <w:iCs/>
        </w:rPr>
        <w:t>: “Os juros remuneratórios serão capitalizados semestralmente”, “haverá capitalização a cada semestre, na data-base”.</w:t>
      </w:r>
    </w:p>
    <w:p w14:paraId="43C37E67" w14:textId="77777777" w:rsidR="00D236BB" w:rsidRDefault="00D236BB" w:rsidP="006003A4">
      <w:pPr>
        <w:pStyle w:val="PargrafodaLista"/>
        <w:spacing w:before="0" w:after="0"/>
        <w:ind w:left="0" w:firstLine="0"/>
      </w:pPr>
      <w:r>
        <w:rPr>
          <w:i/>
          <w:iCs/>
        </w:rPr>
        <w:t xml:space="preserve">Exemplo – </w:t>
      </w:r>
      <w:r>
        <w:rPr>
          <w:i/>
          <w:iCs/>
          <w:u w:val="single"/>
        </w:rPr>
        <w:t>Capitalização mensal</w:t>
      </w:r>
      <w:r>
        <w:rPr>
          <w:i/>
          <w:iCs/>
        </w:rPr>
        <w:t>: “Os juros remuneratórios serão capitalizados mensalmente”, “haverá capitalização a cada mês, na data-base”, “os juros serão capitalizados no primeiro/último dia de cada mês”.</w:t>
      </w:r>
    </w:p>
    <w:p w14:paraId="3DD520CA" w14:textId="77777777" w:rsidR="00D236BB" w:rsidRDefault="00D236BB" w:rsidP="006003A4">
      <w:pPr>
        <w:pStyle w:val="PargrafodaLista"/>
        <w:spacing w:before="0" w:after="0"/>
        <w:ind w:left="0" w:firstLine="0"/>
      </w:pPr>
      <w:r>
        <w:rPr>
          <w:i/>
          <w:iCs/>
        </w:rPr>
        <w:t xml:space="preserve">Exemplo – </w:t>
      </w:r>
      <w:r>
        <w:rPr>
          <w:i/>
          <w:iCs/>
          <w:u w:val="single"/>
        </w:rPr>
        <w:t>Capitalização diária</w:t>
      </w:r>
      <w:r>
        <w:rPr>
          <w:i/>
          <w:iCs/>
        </w:rPr>
        <w:t>: “Os juros remuneratórios serão capitalizados diariamente”.</w:t>
      </w:r>
    </w:p>
    <w:p w14:paraId="26FC0C1C" w14:textId="77777777" w:rsidR="00D236BB" w:rsidRDefault="00D236BB" w:rsidP="006003A4">
      <w:pPr>
        <w:pStyle w:val="PargrafodaLista"/>
        <w:numPr>
          <w:ilvl w:val="0"/>
          <w:numId w:val="38"/>
        </w:numPr>
        <w:spacing w:before="0" w:after="0"/>
        <w:ind w:left="0" w:hanging="11"/>
        <w:rPr>
          <w:b/>
          <w:bCs/>
          <w:u w:val="single"/>
        </w:rPr>
      </w:pPr>
      <w:r>
        <w:rPr>
          <w:b/>
          <w:bCs/>
          <w:u w:val="single"/>
        </w:rPr>
        <w:t>O contrato contiver a taxa de juros incidente nos períodos de capitalização e a taxa equivalente no período “n” de referência da operação, de modo que a taxa equivalente do período de referência seja maior que “n” vezes a taxa do período de capitalização.</w:t>
      </w:r>
    </w:p>
    <w:p w14:paraId="2E696757" w14:textId="77777777" w:rsidR="00D236BB" w:rsidRDefault="00D236BB" w:rsidP="006003A4">
      <w:pPr>
        <w:spacing w:before="0" w:after="0"/>
        <w:ind w:firstLine="0"/>
      </w:pPr>
      <w:r>
        <w:rPr>
          <w:i/>
          <w:iCs/>
        </w:rPr>
        <w:t xml:space="preserve">Exemplo – </w:t>
      </w:r>
      <w:r>
        <w:rPr>
          <w:i/>
          <w:iCs/>
          <w:u w:val="single"/>
        </w:rPr>
        <w:t>Capitalização semestral</w:t>
      </w:r>
      <w:r>
        <w:rPr>
          <w:i/>
          <w:iCs/>
        </w:rPr>
        <w:t xml:space="preserve">: </w:t>
      </w:r>
      <w:r>
        <w:t>Taxa semestral: 2,00% a.s.; Taxa anual: 4,04% a.a.</w:t>
      </w:r>
    </w:p>
    <w:p w14:paraId="1CAE2DEE" w14:textId="77777777" w:rsidR="00D236BB" w:rsidRDefault="00D236BB" w:rsidP="006003A4">
      <w:pPr>
        <w:spacing w:before="0" w:after="0"/>
        <w:ind w:firstLine="0"/>
        <w:rPr>
          <w:i/>
          <w:iCs/>
        </w:rPr>
      </w:pPr>
      <w:r>
        <w:tab/>
      </w:r>
      <w:r>
        <w:rPr>
          <w:i/>
          <w:iCs/>
        </w:rPr>
        <w:t>Note que a cada ano, há dois semestres (n=2). Desse modo, a taxa anual (4,04% a.a.) deve ser maior que o dobro (duas vezes) da taxa semestral (2*1,00%=4,00%).</w:t>
      </w:r>
    </w:p>
    <w:p w14:paraId="6124B536" w14:textId="77777777" w:rsidR="00D236BB" w:rsidRDefault="00D236BB" w:rsidP="006003A4">
      <w:pPr>
        <w:spacing w:before="0" w:after="0"/>
        <w:ind w:firstLine="0"/>
      </w:pPr>
      <w:r>
        <w:rPr>
          <w:i/>
          <w:iCs/>
        </w:rPr>
        <w:t xml:space="preserve">Exemplo – </w:t>
      </w:r>
      <w:r>
        <w:rPr>
          <w:i/>
          <w:iCs/>
          <w:u w:val="single"/>
        </w:rPr>
        <w:t>Capitalização mensal</w:t>
      </w:r>
      <w:r>
        <w:rPr>
          <w:i/>
          <w:iCs/>
        </w:rPr>
        <w:t xml:space="preserve">: </w:t>
      </w:r>
      <w:r>
        <w:t>Taxa mensal: 1,00% a.m.; Taxa anual: 12,683% a.a.</w:t>
      </w:r>
    </w:p>
    <w:p w14:paraId="5848C9D5" w14:textId="77777777" w:rsidR="00D236BB" w:rsidRDefault="00D236BB" w:rsidP="006003A4">
      <w:pPr>
        <w:spacing w:before="0" w:after="0"/>
        <w:ind w:firstLine="0"/>
        <w:rPr>
          <w:i/>
          <w:iCs/>
        </w:rPr>
      </w:pPr>
      <w:r>
        <w:tab/>
      </w:r>
      <w:r>
        <w:rPr>
          <w:i/>
          <w:iCs/>
        </w:rPr>
        <w:t>Note que a cada ano, há doze meses (n=12). Desse modo, a taxa anual (12,683% a.a.) deve ser maior que o duodécuplo (doze vezes) da taxa mensal (12*1,00%=12,00%).</w:t>
      </w:r>
    </w:p>
    <w:p w14:paraId="7B73DBD3" w14:textId="77777777" w:rsidR="00D236BB" w:rsidRDefault="00D236BB" w:rsidP="006003A4">
      <w:pPr>
        <w:spacing w:before="0" w:after="0"/>
        <w:ind w:firstLine="0"/>
      </w:pPr>
      <w:r>
        <w:rPr>
          <w:i/>
          <w:iCs/>
        </w:rPr>
        <w:t xml:space="preserve">Exemplo – </w:t>
      </w:r>
      <w:r>
        <w:rPr>
          <w:i/>
          <w:iCs/>
          <w:u w:val="single"/>
        </w:rPr>
        <w:t>Capitalização diária</w:t>
      </w:r>
      <w:r>
        <w:rPr>
          <w:i/>
          <w:iCs/>
        </w:rPr>
        <w:t xml:space="preserve">: </w:t>
      </w:r>
      <w:r>
        <w:t xml:space="preserve">Taxa diária: 1,00% </w:t>
      </w:r>
      <w:proofErr w:type="spellStart"/>
      <w:r>
        <w:t>a.d.</w:t>
      </w:r>
      <w:proofErr w:type="spellEnd"/>
      <w:r>
        <w:t>; Taxa mensal: 34,785 % a.m.</w:t>
      </w:r>
    </w:p>
    <w:p w14:paraId="26C519A0" w14:textId="77777777" w:rsidR="00D236BB" w:rsidRDefault="00D236BB" w:rsidP="006003A4">
      <w:pPr>
        <w:spacing w:before="0" w:after="0"/>
        <w:ind w:firstLine="709"/>
        <w:rPr>
          <w:i/>
          <w:iCs/>
        </w:rPr>
      </w:pPr>
      <w:r>
        <w:rPr>
          <w:i/>
          <w:iCs/>
        </w:rPr>
        <w:t>Note que a cada mês, há trinta dias (n=30). Desse modo, a taxa mensal (34,785% a.m.) deve ser maior que trinta vezes a taxa diária (30*1,00%=34,785%).</w:t>
      </w:r>
    </w:p>
    <w:p w14:paraId="7274DF38" w14:textId="77777777" w:rsidR="00D236BB" w:rsidRDefault="00D236BB" w:rsidP="006003A4">
      <w:pPr>
        <w:pStyle w:val="PargrafodaLista"/>
        <w:numPr>
          <w:ilvl w:val="0"/>
          <w:numId w:val="38"/>
        </w:numPr>
        <w:spacing w:before="0" w:after="0"/>
        <w:ind w:left="0" w:hanging="11"/>
        <w:rPr>
          <w:b/>
          <w:bCs/>
          <w:u w:val="single"/>
        </w:rPr>
      </w:pPr>
      <w:r>
        <w:rPr>
          <w:b/>
          <w:bCs/>
          <w:u w:val="single"/>
        </w:rPr>
        <w:t>O contrato contiver o método/regime de capitalização.</w:t>
      </w:r>
    </w:p>
    <w:p w14:paraId="08A46E38" w14:textId="77777777" w:rsidR="00D236BB" w:rsidRDefault="00D236BB" w:rsidP="006003A4">
      <w:pPr>
        <w:spacing w:before="0" w:after="0"/>
        <w:ind w:firstLine="0"/>
        <w:rPr>
          <w:i/>
          <w:iCs/>
        </w:rPr>
      </w:pPr>
      <w:r>
        <w:rPr>
          <w:i/>
          <w:iCs/>
        </w:rPr>
        <w:lastRenderedPageBreak/>
        <w:t>Exemplo – “os juros serão apurados de forma composta”, “os juros serão apurados de forma exponencial”.</w:t>
      </w:r>
    </w:p>
    <w:p w14:paraId="27250C06" w14:textId="77777777" w:rsidR="00D236BB" w:rsidRDefault="00D236BB" w:rsidP="00D236BB">
      <w:r>
        <w:t xml:space="preserve">Na análise das cláusulas contratuais, deve-se ter em mente que o fenômeno da capitalização de juros é extremamente complexo, principalmente para o consumidor bancário que, em geral, desconhece do assunto que envolve várias nuances e definições. Desse modo, </w:t>
      </w:r>
      <w:r>
        <w:rPr>
          <w:b/>
          <w:bCs/>
          <w:u w:val="single"/>
        </w:rPr>
        <w:t>todas as informações que dizem respeito à capitalização precisam estar claras no contrato, fornecendo o máximo de subsídios para a tomada de decisão do mutuário</w:t>
      </w:r>
      <w:r>
        <w:t>.</w:t>
      </w:r>
    </w:p>
    <w:p w14:paraId="534B0610" w14:textId="1A5670D3" w:rsidR="00D236BB" w:rsidRDefault="00D236BB" w:rsidP="00D236BB">
      <w:pPr>
        <w:rPr>
          <w:bCs/>
        </w:rPr>
      </w:pPr>
      <w:r>
        <w:rPr>
          <w:bCs/>
        </w:rPr>
        <w:t xml:space="preserve">O art. 46 do Código de Defesa do Consumidor corrobora para esse entendimento: o dispositivo jurídico regula sobre o fato de que os contratos precisam garantir </w:t>
      </w:r>
      <w:r>
        <w:rPr>
          <w:b/>
        </w:rPr>
        <w:t>o acesso claro às informações sobre o objeto contratado</w:t>
      </w:r>
      <w:r>
        <w:rPr>
          <w:bCs/>
        </w:rPr>
        <w:t>, de modo a não dificultar a compreensão do seu conteúdo. No caso das relações de contratação de crédito, entende-se que as condições sobre as taxas de juros, capitalização, prazo e outras condições precisam estar redigidas para garantir o fácil entendimento, de modo que o consumidor bancário tenha clareza do pactuado.</w:t>
      </w:r>
    </w:p>
    <w:p w14:paraId="00348363" w14:textId="77777777" w:rsidR="00D236BB" w:rsidRDefault="00D236BB" w:rsidP="001B54E6">
      <w:pPr>
        <w:pStyle w:val="Citaodireta"/>
      </w:pPr>
      <w:r>
        <w:t xml:space="preserve">Art. 46. Os contratos que regulam as relações de consumo não obrigarão os consumidores, se não lhes for dada a oportunidade de tomar </w:t>
      </w:r>
      <w:r>
        <w:rPr>
          <w:b/>
          <w:bCs/>
        </w:rPr>
        <w:t>conhecimento prévio de seu conteúdo, ou se os respectivos instrumentos forem redigidos de modo a dificultar a compreensão de seu sentido e alcance</w:t>
      </w:r>
      <w:r>
        <w:t xml:space="preserve"> [G.N].</w:t>
      </w:r>
    </w:p>
    <w:p w14:paraId="79A10BD5" w14:textId="77777777" w:rsidR="00D236BB" w:rsidRDefault="00D236BB" w:rsidP="00D236BB">
      <w:pPr>
        <w:ind w:firstLine="0"/>
      </w:pPr>
      <w:r>
        <w:tab/>
        <w:t>Portanto, cláusulas contratuais ideais que compreenderiam todas as condições para a prática da capitalização são exemplificadas a seguir:</w:t>
      </w:r>
    </w:p>
    <w:p w14:paraId="324FE44A" w14:textId="77777777" w:rsidR="00D236BB" w:rsidRDefault="00D236BB" w:rsidP="001B54E6">
      <w:pPr>
        <w:pStyle w:val="Citaodireta"/>
        <w:rPr>
          <w:b/>
          <w:bCs/>
        </w:rPr>
      </w:pPr>
      <w:r>
        <w:t>CAPITALIZAÇÃO DIÁRIA</w:t>
      </w:r>
      <w:r>
        <w:rPr>
          <w:b/>
          <w:bCs/>
        </w:rPr>
        <w:t>:</w:t>
      </w:r>
    </w:p>
    <w:p w14:paraId="3DF5C120" w14:textId="77777777" w:rsidR="00D236BB" w:rsidRDefault="00D236BB" w:rsidP="001B54E6">
      <w:pPr>
        <w:pStyle w:val="Citaodireta"/>
      </w:pPr>
      <w:r>
        <w:t xml:space="preserve">Cláusula X – Dos encargos financeiros: O empréstimo está sujeito a juros calculados à taxa de juros efetiva de 4,00% a.m. / 0,1308% </w:t>
      </w:r>
      <w:proofErr w:type="spellStart"/>
      <w:r>
        <w:t>a.d.</w:t>
      </w:r>
      <w:proofErr w:type="spellEnd"/>
      <w:r>
        <w:t xml:space="preserve">, capitalizados diariamente, de forma exponencial. </w:t>
      </w:r>
    </w:p>
    <w:p w14:paraId="17FEC517" w14:textId="77777777" w:rsidR="00D236BB" w:rsidRDefault="00D236BB" w:rsidP="001B54E6">
      <w:pPr>
        <w:pStyle w:val="Citaodireta"/>
        <w:rPr>
          <w:b/>
          <w:bCs/>
        </w:rPr>
      </w:pPr>
      <w:r>
        <w:t>CAPITALIZAÇÃO MENSAL</w:t>
      </w:r>
      <w:r>
        <w:rPr>
          <w:b/>
          <w:bCs/>
        </w:rPr>
        <w:t>:</w:t>
      </w:r>
    </w:p>
    <w:p w14:paraId="23DBBC61" w14:textId="77777777" w:rsidR="00D236BB" w:rsidRDefault="00D236BB" w:rsidP="001B54E6">
      <w:pPr>
        <w:pStyle w:val="Citaodireta"/>
      </w:pPr>
      <w:r>
        <w:t xml:space="preserve">Cláusula Y – Dos juros remuneratórios: Sobre os valores lançados na conta vinculada ao presente financiamento, bem como sobre o saldo devedor daí decorrente, incidirão juros à taxa efetiva de 7,00% a.a., equivalente à taxa mensal de 0,565% a.m. Tais encargos serão capitalizados mensalmente, no primeiro dia de cada mês e serão calculados de forma composta. </w:t>
      </w:r>
    </w:p>
    <w:p w14:paraId="3FD6917B" w14:textId="41AAD926" w:rsidR="00D236BB" w:rsidRDefault="00D236BB" w:rsidP="00D236BB">
      <w:r>
        <w:t xml:space="preserve">Na análise do caso concreto em tela, o contrato </w:t>
      </w:r>
      <w:r w:rsidR="00520C39">
        <w:t>xyz123</w:t>
      </w:r>
      <w:r>
        <w:t xml:space="preserve"> </w:t>
      </w:r>
      <w:r w:rsidR="002560CA">
        <w:t xml:space="preserve">afirma que os juros serão capitalizados mensalmente, mas apresenta apenas a taxa anual. Nesse sentido, não há a taxa </w:t>
      </w:r>
      <w:r w:rsidR="002560CA">
        <w:lastRenderedPageBreak/>
        <w:t>mensal para constatação de que a taxa anual é ou não superior ao duodécuplo e, tampouco, há o regime de capitalização</w:t>
      </w:r>
      <w:r>
        <w:t>. Vejamos: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941"/>
      </w:tblGrid>
      <w:tr w:rsidR="00D236BB" w14:paraId="51EC64C4" w14:textId="77777777" w:rsidTr="003F030B">
        <w:trPr>
          <w:trHeight w:val="58"/>
        </w:trPr>
        <w:tc>
          <w:tcPr>
            <w:tcW w:w="6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7F706" w14:textId="4FD9248C" w:rsidR="00D236BB" w:rsidRDefault="00D236BB" w:rsidP="003F030B">
            <w:pPr>
              <w:spacing w:before="120" w:after="120" w:line="240" w:lineRule="auto"/>
              <w:ind w:left="34" w:firstLine="0"/>
              <w:rPr>
                <w:szCs w:val="23"/>
              </w:rPr>
            </w:pPr>
          </w:p>
        </w:tc>
      </w:tr>
    </w:tbl>
    <w:p w14:paraId="74E286E5" w14:textId="583356DC" w:rsidR="00D236BB" w:rsidRDefault="00D236BB" w:rsidP="00D236BB">
      <w:pPr>
        <w:spacing w:before="0" w:line="240" w:lineRule="auto"/>
        <w:ind w:firstLine="0"/>
      </w:pPr>
      <w:r>
        <w:rPr>
          <w:szCs w:val="23"/>
        </w:rPr>
        <w:t>Fonte: Contrato nº </w:t>
      </w:r>
      <w:r w:rsidR="00520C39">
        <w:t>xyz123</w:t>
      </w:r>
      <w:r>
        <w:t>.</w:t>
      </w:r>
    </w:p>
    <w:p w14:paraId="315DFB46" w14:textId="54218361" w:rsidR="00D236BB" w:rsidRDefault="00D236BB" w:rsidP="00D236BB">
      <w:pPr>
        <w:spacing w:before="0"/>
        <w:ind w:firstLine="709"/>
      </w:pPr>
      <w:r w:rsidRPr="0078765E">
        <w:t>N</w:t>
      </w:r>
      <w:r>
        <w:t>ote que na</w:t>
      </w:r>
      <w:r w:rsidRPr="0078765E">
        <w:t xml:space="preserve"> ficha gráfica da operação, pôde-se con</w:t>
      </w:r>
      <w:r w:rsidR="00274265">
        <w:t>s</w:t>
      </w:r>
      <w:r w:rsidRPr="0078765E">
        <w:t>tatar que houve a capitalização mensal dos juros remuneratórios</w:t>
      </w:r>
      <w:r w:rsidR="00FB0D4C">
        <w:t xml:space="preserve">, isto é, os juros apurados foram reinvestidos </w:t>
      </w:r>
      <w:r w:rsidR="006314EA">
        <w:t xml:space="preserve">mensalmente </w:t>
      </w:r>
      <w:r w:rsidR="00FB0D4C">
        <w:t xml:space="preserve">ao saldo devedor, </w:t>
      </w:r>
      <w:r w:rsidR="006F581D">
        <w:t>que foi base de cálculo para a cobrança de novos juros (anatocismo).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642"/>
      </w:tblGrid>
      <w:tr w:rsidR="00D236BB" w14:paraId="5269E430" w14:textId="77777777" w:rsidTr="006F581D">
        <w:trPr>
          <w:trHeight w:val="385"/>
        </w:trPr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D7E79" w14:textId="3D44A850" w:rsidR="00D236BB" w:rsidRDefault="00D236BB" w:rsidP="006E3C95">
            <w:pPr>
              <w:spacing w:before="120" w:after="120" w:line="240" w:lineRule="auto"/>
              <w:ind w:firstLine="0"/>
              <w:rPr>
                <w:szCs w:val="23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4F7A0C7F" wp14:editId="0807F4CC">
                      <wp:simplePos x="0" y="0"/>
                      <wp:positionH relativeFrom="column">
                        <wp:posOffset>3381375</wp:posOffset>
                      </wp:positionH>
                      <wp:positionV relativeFrom="paragraph">
                        <wp:posOffset>228600</wp:posOffset>
                      </wp:positionV>
                      <wp:extent cx="1745273" cy="384595"/>
                      <wp:effectExtent l="57150" t="38100" r="64770" b="130175"/>
                      <wp:wrapNone/>
                      <wp:docPr id="6" name="Seta: para a Direita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5273" cy="38459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/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49D188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Seta: para a Direita 6" o:spid="_x0000_s1026" type="#_x0000_t13" style="position:absolute;margin-left:266.25pt;margin-top:18pt;width:137.4pt;height:30.3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" adj="19220" fillcolor="#f8dcd3 [665]" strokecolor="#df5327 [3209]" strokeweight="1pt">
                      <v:shadow on="t" color="black" opacity="26214f" origin=",-.5" offset="0,3pt"/>
                    </v:shape>
                  </w:pict>
                </mc:Fallback>
              </mc:AlternateContent>
            </w:r>
          </w:p>
        </w:tc>
      </w:tr>
    </w:tbl>
    <w:p w14:paraId="4363E592" w14:textId="17A488E5" w:rsidR="00D236BB" w:rsidRDefault="00D236BB" w:rsidP="00D236BB">
      <w:pPr>
        <w:spacing w:before="0" w:line="240" w:lineRule="auto"/>
        <w:ind w:firstLine="0"/>
      </w:pPr>
      <w:r>
        <w:rPr>
          <w:szCs w:val="23"/>
        </w:rPr>
        <w:t>Fonte: Ficha Gráfica nº </w:t>
      </w:r>
      <w:r w:rsidR="00520C39">
        <w:t>xyz123</w:t>
      </w:r>
      <w:r>
        <w:t>.</w:t>
      </w:r>
    </w:p>
    <w:p w14:paraId="20DCCE55" w14:textId="77777777" w:rsidR="00F358A1" w:rsidRDefault="005537DF" w:rsidP="00F358A1">
      <w:pPr>
        <w:rPr>
          <w:rFonts w:eastAsia="Times New Roman"/>
        </w:rPr>
      </w:pPr>
      <w:r>
        <w:rPr>
          <w:rFonts w:eastAsia="Times New Roman"/>
        </w:rPr>
        <w:t xml:space="preserve">Por analogia ao </w:t>
      </w:r>
      <w:r w:rsidRPr="006B30CC">
        <w:rPr>
          <w:rFonts w:eastAsia="Times New Roman"/>
        </w:rPr>
        <w:t xml:space="preserve">Recurso Especial nº 1.826.463 - SC (2019/0204874-7), </w:t>
      </w:r>
      <w:r>
        <w:rPr>
          <w:rFonts w:eastAsia="Times New Roman"/>
        </w:rPr>
        <w:t xml:space="preserve">para pactuação da capitalização mensal, é necessária a taxa de juros mensal para verificar se taxa anual é ou não superior ao duodécuplo da taxa mensal. Não obstante, quando o </w:t>
      </w:r>
      <w:r w:rsidRPr="006B30CC">
        <w:rPr>
          <w:rFonts w:eastAsia="Times New Roman"/>
          <w:u w:val="single"/>
        </w:rPr>
        <w:t>contrato somente prevê uma cláusula genérica de capitalização</w:t>
      </w:r>
      <w:r w:rsidRPr="006B30CC">
        <w:rPr>
          <w:rFonts w:eastAsia="Times New Roman"/>
        </w:rPr>
        <w:t xml:space="preserve"> </w:t>
      </w:r>
      <w:r>
        <w:rPr>
          <w:rFonts w:eastAsia="Times New Roman"/>
        </w:rPr>
        <w:t>mensal</w:t>
      </w:r>
      <w:r w:rsidRPr="006B30CC">
        <w:rPr>
          <w:rFonts w:eastAsia="Times New Roman"/>
        </w:rPr>
        <w:t xml:space="preserve">, </w:t>
      </w:r>
      <w:r w:rsidRPr="006B30CC">
        <w:rPr>
          <w:rFonts w:eastAsia="Times New Roman"/>
          <w:b/>
          <w:bCs/>
          <w:u w:val="single"/>
        </w:rPr>
        <w:t xml:space="preserve">sem informar a taxa </w:t>
      </w:r>
      <w:r>
        <w:rPr>
          <w:rFonts w:eastAsia="Times New Roman"/>
          <w:b/>
          <w:bCs/>
          <w:u w:val="single"/>
        </w:rPr>
        <w:t xml:space="preserve">mensal </w:t>
      </w:r>
      <w:r w:rsidRPr="006B30CC">
        <w:rPr>
          <w:rFonts w:eastAsia="Times New Roman"/>
          <w:b/>
          <w:bCs/>
          <w:u w:val="single"/>
        </w:rPr>
        <w:t>de juros remuneratórios</w:t>
      </w:r>
      <w:r w:rsidRPr="006B30CC">
        <w:rPr>
          <w:rFonts w:eastAsia="Times New Roman"/>
        </w:rPr>
        <w:t xml:space="preserve">, </w:t>
      </w:r>
      <w:r>
        <w:rPr>
          <w:rFonts w:eastAsia="Times New Roman"/>
        </w:rPr>
        <w:t xml:space="preserve">tem-se então </w:t>
      </w:r>
      <w:r w:rsidRPr="006B30CC">
        <w:rPr>
          <w:rFonts w:eastAsia="Times New Roman"/>
        </w:rPr>
        <w:t>a controvérsia sobre o dever de informação</w:t>
      </w:r>
      <w:r>
        <w:rPr>
          <w:rFonts w:eastAsia="Times New Roman"/>
        </w:rPr>
        <w:t>, que impede a instituição financeira de praticar a capitalização mensal, ante a ausência de expressa e clara pactuação.</w:t>
      </w:r>
      <w:r w:rsidR="00F358A1">
        <w:rPr>
          <w:rFonts w:eastAsia="Times New Roman"/>
        </w:rPr>
        <w:t xml:space="preserve"> Inclusive, nesse sentido, tem se manifestado a jurisprudência:</w:t>
      </w:r>
    </w:p>
    <w:p w14:paraId="51E454E4" w14:textId="77777777" w:rsidR="00F358A1" w:rsidRDefault="00F358A1" w:rsidP="00F358A1">
      <w:pPr>
        <w:pStyle w:val="Citaodireta"/>
      </w:pPr>
      <w:r>
        <w:t xml:space="preserve">Depreende-se da cédula rural pignoratícia, na cláusula de encargos financeiros, que </w:t>
      </w:r>
      <w:r w:rsidRPr="000E30F6">
        <w:rPr>
          <w:b/>
          <w:bCs/>
        </w:rPr>
        <w:t>consta somente a taxa de juros anual, não havendo previsão da taxa mensal de juros</w:t>
      </w:r>
      <w:r>
        <w:t xml:space="preserve">. A propósito, colhe-se da r. sentença: </w:t>
      </w:r>
    </w:p>
    <w:p w14:paraId="3F9989A4" w14:textId="77777777" w:rsidR="00F358A1" w:rsidRDefault="00F358A1" w:rsidP="00F358A1">
      <w:pPr>
        <w:pStyle w:val="Citaodireta"/>
      </w:pPr>
      <w:r>
        <w:t xml:space="preserve">‘‘No caso concreto, restou incontroversa o pacto entre as partes quanto à capitalização de juros. No entanto, o contrato prevê: “...incidirão juros à taxa efetiva de 5 pontos percentuais ao ano, calculados por dias corridos, com base na taxa equivalente diária (ano de 365 ou 366 dias), debitados e capitalizados no primeiro dia de cada mês”. Infere-se, portanto, os juros são capitalizados mensalmente. No entanto, só há a previsão da taxa anual. (…) Nota-se que a informação das taxas anual e mensal possibilitam ao consumidor aferir a equivalência entre as taxas, assim como potenciais abusividades perpetradas nos contratos. Entretanto, </w:t>
      </w:r>
      <w:r w:rsidRPr="000E30F6">
        <w:rPr>
          <w:b/>
          <w:bCs/>
          <w:u w:val="single"/>
        </w:rPr>
        <w:t>havendo apenas previsão de cláusula genérica a respeito da capitalização mensal, sem informar, precisamente, qual a taxa de juros remuneratórios incidente nesta, constata-se falha no dever de informação</w:t>
      </w:r>
      <w:r>
        <w:t xml:space="preserve">, consubstanciado no dispositivo consumerista transcrito alhures. Assim, razão assiste à parte embargante quanto a nulidade da cláusula genérica que estabeleceu a </w:t>
      </w:r>
      <w:r>
        <w:lastRenderedPageBreak/>
        <w:t xml:space="preserve">capitalização mensal sobre operação n° 40/01062-7, </w:t>
      </w:r>
      <w:r w:rsidRPr="000E30F6">
        <w:rPr>
          <w:b/>
          <w:bCs/>
        </w:rPr>
        <w:t>indicando apenas a taxa anual incidente</w:t>
      </w:r>
      <w:r>
        <w:t>.’’</w:t>
      </w:r>
    </w:p>
    <w:p w14:paraId="0042381E" w14:textId="77777777" w:rsidR="00F358A1" w:rsidRDefault="00F358A1" w:rsidP="00F358A1">
      <w:pPr>
        <w:pStyle w:val="Citaodireta"/>
      </w:pPr>
      <w:r>
        <w:t xml:space="preserve">Desse modo, </w:t>
      </w:r>
      <w:r w:rsidRPr="000E30F6">
        <w:rPr>
          <w:b/>
          <w:bCs/>
          <w:u w:val="single"/>
        </w:rPr>
        <w:t>não havendo previsão expressa da capitalização mensal de juros, de modo a garantir que o contratante tivesse plena ciência do encargo contratado, a sua cobrança deve ser afastada, conforme determinado pelo magistrado a quo</w:t>
      </w:r>
      <w:r>
        <w:t>.</w:t>
      </w:r>
    </w:p>
    <w:p w14:paraId="076F7AB8" w14:textId="77777777" w:rsidR="00F358A1" w:rsidRDefault="00F358A1" w:rsidP="00F358A1">
      <w:pPr>
        <w:pStyle w:val="Citaodireta"/>
      </w:pPr>
      <w:r>
        <w:t xml:space="preserve">Tribunal de Justiça do Estado do Paraná, </w:t>
      </w:r>
      <w:r w:rsidRPr="00D852F5">
        <w:t>16ª Câmara Cível</w:t>
      </w:r>
      <w:r>
        <w:t xml:space="preserve">, Acórdão, </w:t>
      </w:r>
      <w:r w:rsidRPr="00D852F5">
        <w:t xml:space="preserve">Desembargador Paulo Cezar </w:t>
      </w:r>
      <w:proofErr w:type="spellStart"/>
      <w:r w:rsidRPr="00D852F5">
        <w:t>Bellio</w:t>
      </w:r>
      <w:proofErr w:type="spellEnd"/>
      <w:r>
        <w:t xml:space="preserve">, Recurso nº 0004481-16.2021.8.16.0077, 16 de setembro de 2022. </w:t>
      </w:r>
    </w:p>
    <w:p w14:paraId="6A6AED99" w14:textId="5E91DDF0" w:rsidR="00D236BB" w:rsidRDefault="005537DF" w:rsidP="00D236BB">
      <w:r>
        <w:rPr>
          <w:rFonts w:eastAsia="Times New Roman"/>
        </w:rPr>
        <w:t>Desse modo</w:t>
      </w:r>
      <w:r w:rsidR="00D236BB">
        <w:rPr>
          <w:rFonts w:eastAsia="Times New Roman"/>
        </w:rPr>
        <w:t>, vê-se que o contrato não atende a todas as condições necessárias para que haja a expressa e clara pactuação da capitalização e da periodicidade praticadas</w:t>
      </w:r>
      <w:r w:rsidR="00D236BB">
        <w:t>. A tabela a seguir resume essa situação:</w:t>
      </w:r>
    </w:p>
    <w:tbl>
      <w:tblPr>
        <w:tblStyle w:val="Tabelacomgrade"/>
        <w:tblW w:w="10194" w:type="dxa"/>
        <w:jc w:val="center"/>
        <w:tblLook w:val="04A0" w:firstRow="1" w:lastRow="0" w:firstColumn="1" w:lastColumn="0" w:noHBand="0" w:noVBand="1"/>
      </w:tblPr>
      <w:tblGrid>
        <w:gridCol w:w="1974"/>
        <w:gridCol w:w="1467"/>
        <w:gridCol w:w="1559"/>
        <w:gridCol w:w="1734"/>
        <w:gridCol w:w="2032"/>
        <w:gridCol w:w="1428"/>
      </w:tblGrid>
      <w:tr w:rsidR="00D236BB" w14:paraId="4B687F18" w14:textId="77777777" w:rsidTr="001B54E6">
        <w:trPr>
          <w:trHeight w:val="20"/>
          <w:jc w:val="center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A0570" w14:textId="77777777" w:rsidR="00D236BB" w:rsidRDefault="00D236BB" w:rsidP="001B54E6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Avaliação da pactuação da capitalização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F6106" w14:textId="77777777" w:rsidR="00D236BB" w:rsidRDefault="00D236BB" w:rsidP="001B54E6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Condição I: existência de capitalização.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9D3A9" w14:textId="77777777" w:rsidR="00D236BB" w:rsidRDefault="00D236BB" w:rsidP="001B54E6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Condição II: periodicidade da capitalização.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9C1E1" w14:textId="77777777" w:rsidR="00D236BB" w:rsidRDefault="00D236BB" w:rsidP="001B54E6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Condição III: apresentação da taxa de juros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F9327" w14:textId="77777777" w:rsidR="00D236BB" w:rsidRDefault="00D236BB" w:rsidP="001B54E6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Condição IV: regime de capitalização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D24C5" w14:textId="77777777" w:rsidR="00D236BB" w:rsidRDefault="00D236BB" w:rsidP="001B54E6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Conclusão</w:t>
            </w:r>
          </w:p>
        </w:tc>
      </w:tr>
      <w:tr w:rsidR="00D236BB" w14:paraId="567C9B64" w14:textId="77777777" w:rsidTr="006E38F2">
        <w:trPr>
          <w:trHeight w:val="20"/>
          <w:jc w:val="center"/>
        </w:trPr>
        <w:tc>
          <w:tcPr>
            <w:tcW w:w="19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9A48" w14:textId="77777777" w:rsidR="00D236BB" w:rsidRDefault="00D236BB" w:rsidP="00BB7958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Capitalização Mensal</w:t>
            </w: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B7878" w14:textId="77777777" w:rsidR="00D236BB" w:rsidRDefault="00D236BB" w:rsidP="00BB7958">
            <w:pPr>
              <w:spacing w:before="0" w:after="0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Exemplo: “</w:t>
            </w:r>
            <w:r>
              <w:rPr>
                <w:i/>
                <w:iCs/>
                <w:sz w:val="18"/>
                <w:szCs w:val="18"/>
              </w:rPr>
              <w:t>juros serão capitalizados”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99C43" w14:textId="77777777" w:rsidR="00D236BB" w:rsidRDefault="00D236BB" w:rsidP="00BB7958">
            <w:pPr>
              <w:spacing w:before="0" w:after="0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Exemplo</w:t>
            </w:r>
            <w:r>
              <w:rPr>
                <w:i/>
                <w:iCs/>
                <w:sz w:val="18"/>
                <w:szCs w:val="18"/>
              </w:rPr>
              <w:t>: “juros serão capitalizados mensalmente”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CB33F" w14:textId="77777777" w:rsidR="00D236BB" w:rsidRDefault="00D236BB" w:rsidP="00BB7958">
            <w:pPr>
              <w:spacing w:before="0" w:after="0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Apresentação da taxa de juros anual superior ao duodécuplo da taxa mensal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549DB" w14:textId="77777777" w:rsidR="00D236BB" w:rsidRDefault="00D236BB" w:rsidP="00BB7958">
            <w:pPr>
              <w:spacing w:before="0" w:after="0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Regime de capitalização simples/linear ou composto/exponencial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F4BD2" w14:textId="77777777" w:rsidR="00D236BB" w:rsidRDefault="00D236BB" w:rsidP="00BB7958">
            <w:pPr>
              <w:spacing w:before="0" w:after="0"/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Atendeu todas as condições? </w:t>
            </w:r>
            <w:r>
              <w:rPr>
                <w:b/>
                <w:bCs/>
                <w:sz w:val="18"/>
                <w:szCs w:val="18"/>
              </w:rPr>
              <w:t>Não.</w:t>
            </w:r>
          </w:p>
        </w:tc>
      </w:tr>
      <w:tr w:rsidR="00D236BB" w14:paraId="67D4CE93" w14:textId="77777777" w:rsidTr="006E38F2">
        <w:trPr>
          <w:trHeight w:val="2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23EF2" w14:textId="77777777" w:rsidR="00D236BB" w:rsidRPr="000A2EBF" w:rsidRDefault="00D236BB" w:rsidP="00BB7958">
            <w:pPr>
              <w:spacing w:before="0" w:after="0" w:line="240" w:lineRule="auto"/>
              <w:ind w:firstLine="0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587CF" w14:textId="77777777" w:rsidR="00D236BB" w:rsidRPr="000A2EBF" w:rsidRDefault="00D236BB" w:rsidP="00BB7958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0A2EBF">
              <w:rPr>
                <w:b/>
                <w:bCs/>
                <w:sz w:val="18"/>
                <w:szCs w:val="18"/>
              </w:rPr>
              <w:t>Sim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7C506" w14:textId="77777777" w:rsidR="00D236BB" w:rsidRPr="000A2EBF" w:rsidRDefault="00D236BB" w:rsidP="00BB7958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0A2EBF">
              <w:rPr>
                <w:b/>
                <w:bCs/>
                <w:sz w:val="18"/>
                <w:szCs w:val="18"/>
              </w:rPr>
              <w:t>Sim</w:t>
            </w:r>
          </w:p>
        </w:tc>
        <w:tc>
          <w:tcPr>
            <w:tcW w:w="17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E5331" w14:textId="77777777" w:rsidR="00D236BB" w:rsidRPr="009D56B0" w:rsidRDefault="00D236BB" w:rsidP="00BB7958">
            <w:pPr>
              <w:spacing w:before="0" w:after="0"/>
              <w:ind w:firstLine="0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D56B0">
              <w:rPr>
                <w:b/>
                <w:bCs/>
                <w:color w:val="FF0000"/>
                <w:sz w:val="18"/>
                <w:szCs w:val="18"/>
              </w:rPr>
              <w:t>Não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6A5ABD" w14:textId="77777777" w:rsidR="00D236BB" w:rsidRPr="00DB58FD" w:rsidRDefault="00D236BB" w:rsidP="00BB7958">
            <w:pPr>
              <w:spacing w:before="0" w:after="0"/>
              <w:ind w:firstLine="0"/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D56B0">
              <w:rPr>
                <w:b/>
                <w:bCs/>
                <w:color w:val="FF0000"/>
                <w:sz w:val="18"/>
                <w:szCs w:val="18"/>
              </w:rPr>
              <w:t>Não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7D9A1" w14:textId="77777777" w:rsidR="00D236BB" w:rsidRDefault="00D236BB" w:rsidP="00BB7958">
            <w:pPr>
              <w:spacing w:before="0" w:after="0"/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E835E3">
              <w:rPr>
                <w:b/>
                <w:bCs/>
                <w:sz w:val="14"/>
                <w:szCs w:val="14"/>
              </w:rPr>
              <w:t>Não há a expressa pactuação da capitalização mensal</w:t>
            </w:r>
            <w:r>
              <w:rPr>
                <w:b/>
                <w:bCs/>
                <w:sz w:val="14"/>
                <w:szCs w:val="14"/>
              </w:rPr>
              <w:t xml:space="preserve"> composta</w:t>
            </w:r>
            <w:r w:rsidRPr="00E835E3">
              <w:rPr>
                <w:b/>
                <w:bCs/>
                <w:sz w:val="14"/>
                <w:szCs w:val="14"/>
              </w:rPr>
              <w:t>.</w:t>
            </w:r>
          </w:p>
        </w:tc>
      </w:tr>
    </w:tbl>
    <w:p w14:paraId="6A05DC7A" w14:textId="77777777" w:rsidR="00D236BB" w:rsidRDefault="00D236BB" w:rsidP="00D236BB">
      <w:pPr>
        <w:spacing w:before="0"/>
        <w:ind w:firstLine="0"/>
      </w:pPr>
      <w:r>
        <w:t>Fonte: Elaborado pelo Assistente Técnico.</w:t>
      </w:r>
    </w:p>
    <w:p w14:paraId="7DE836EB" w14:textId="7A4895AE" w:rsidR="00D236BB" w:rsidRDefault="00D236BB" w:rsidP="00D236BB">
      <w:r w:rsidRPr="00DB58FD">
        <w:t xml:space="preserve">Evoca-se, nesse sentido, também o Código de Defesa do Consumidor (Lei n° 8.078, de 11 de setembro de 1990) que, no art. 47, afirma que a cláusula contratual será interpretada de forma mais benéfica ao consumidor, partindo do princípio da </w:t>
      </w:r>
      <w:r w:rsidR="00E15C76">
        <w:t>vulnerabilidade</w:t>
      </w:r>
      <w:r w:rsidRPr="00DB58FD">
        <w:t xml:space="preserve"> deste na relação contratual. No caso em tela, </w:t>
      </w:r>
      <w:r w:rsidRPr="00DB58FD">
        <w:rPr>
          <w:b/>
          <w:bCs/>
        </w:rPr>
        <w:t>há dubiedade nas cláusulas contratuais no que se refere à capitalização</w:t>
      </w:r>
      <w:r w:rsidRPr="00DB58FD">
        <w:t xml:space="preserve">, pois ora se diz que os juros serão capitalizados </w:t>
      </w:r>
      <w:r>
        <w:t>mensalmente,</w:t>
      </w:r>
      <w:r w:rsidRPr="00DB58FD">
        <w:t xml:space="preserve"> mas é apresentada apenas a taxa de juros anual</w:t>
      </w:r>
      <w:r>
        <w:t xml:space="preserve"> e não se indica o regime de capitalização adotado.</w:t>
      </w:r>
    </w:p>
    <w:p w14:paraId="508FC636" w14:textId="77777777" w:rsidR="00D236BB" w:rsidRPr="00BA7D85" w:rsidRDefault="00D236BB" w:rsidP="00FF5343">
      <w:pPr>
        <w:pStyle w:val="Citaodireta"/>
        <w:rPr>
          <w:rFonts w:eastAsia="Times New Roman"/>
        </w:rPr>
      </w:pPr>
      <w:r>
        <w:t xml:space="preserve"> </w:t>
      </w:r>
      <w:r w:rsidRPr="00BA7D85">
        <w:rPr>
          <w:rFonts w:eastAsia="Times New Roman"/>
        </w:rPr>
        <w:t>Art. 47. As cláusulas contratuais serão interpretadas de maneira mais favorável ao consumidor.</w:t>
      </w:r>
    </w:p>
    <w:p w14:paraId="2F9896EE" w14:textId="0B2B3CF6" w:rsidR="00A716CC" w:rsidRDefault="00A716CC" w:rsidP="00A716CC">
      <w:pPr>
        <w:rPr>
          <w:lang w:eastAsia="pt-BR"/>
        </w:rPr>
      </w:pPr>
      <w:r>
        <w:rPr>
          <w:bCs/>
        </w:rPr>
        <w:lastRenderedPageBreak/>
        <w:t>Diante da inexistência de pactuação expressa e clara da capitalização e sua periodicidade, afastou-se a capitalização dos juros remuneratórios.</w:t>
      </w:r>
      <w:r>
        <w:rPr>
          <w:rFonts w:eastAsia="Times New Roman"/>
        </w:rPr>
        <w:t xml:space="preserve"> </w:t>
      </w:r>
      <w:r>
        <w:rPr>
          <w:lang w:eastAsia="pt-BR"/>
        </w:rPr>
        <w:t>Para o expurgo da capitalização e anatocismo na operação em tela, utilizamos os seguintes procedimentos técnicos:</w:t>
      </w:r>
    </w:p>
    <w:p w14:paraId="0BE2EF1F" w14:textId="77777777" w:rsidR="00A716CC" w:rsidRDefault="00A716CC" w:rsidP="00A716CC">
      <w:pPr>
        <w:pStyle w:val="Lista"/>
      </w:pPr>
      <w:r>
        <w:t>Digitamos as informações de acordo com o contrato e ficha gráfica;</w:t>
      </w:r>
    </w:p>
    <w:p w14:paraId="1BFC36C1" w14:textId="77777777" w:rsidR="00A716CC" w:rsidRDefault="00A716CC" w:rsidP="00A716CC">
      <w:pPr>
        <w:pStyle w:val="Lista"/>
      </w:pPr>
      <w:r>
        <w:t>Aplicamos na operação a mesma taxa praticada pelo banco;</w:t>
      </w:r>
    </w:p>
    <w:p w14:paraId="35CD5052" w14:textId="77777777" w:rsidR="00A716CC" w:rsidRDefault="00A716CC" w:rsidP="00A716CC">
      <w:pPr>
        <w:pStyle w:val="Lista"/>
      </w:pPr>
      <w:r>
        <w:t>Lançamos os valores dos juros apurados em coluna apartada para se afastar a capitalização mensal;</w:t>
      </w:r>
    </w:p>
    <w:p w14:paraId="208F3B33" w14:textId="77777777" w:rsidR="00A716CC" w:rsidRPr="002A2AC0" w:rsidRDefault="00A716CC" w:rsidP="00A716CC">
      <w:pPr>
        <w:rPr>
          <w:rFonts w:eastAsia="Times New Roman" w:cs="Times New Roman"/>
          <w:sz w:val="22"/>
          <w:szCs w:val="22"/>
        </w:rPr>
      </w:pPr>
      <w:r>
        <w:t xml:space="preserve">Incorporamos os juros ao final do período de normalidade da operação, conforme entendimento dado pelo renomado professor </w:t>
      </w:r>
      <w:r w:rsidRPr="002A2AC0">
        <w:rPr>
          <w:rFonts w:eastAsia="Times New Roman" w:cs="Times New Roman"/>
          <w:sz w:val="22"/>
          <w:szCs w:val="22"/>
        </w:rPr>
        <w:t xml:space="preserve">Juan </w:t>
      </w:r>
      <w:proofErr w:type="spellStart"/>
      <w:r w:rsidRPr="002A2AC0">
        <w:rPr>
          <w:rFonts w:eastAsia="Times New Roman" w:cs="Times New Roman"/>
          <w:sz w:val="22"/>
          <w:szCs w:val="22"/>
        </w:rPr>
        <w:t>Lapponi</w:t>
      </w:r>
      <w:proofErr w:type="spellEnd"/>
      <w:r w:rsidRPr="003E68D8">
        <w:rPr>
          <w:rStyle w:val="Refdenotaderodap"/>
          <w:rFonts w:eastAsia="Times New Roman" w:cs="Times New Roman"/>
          <w:szCs w:val="23"/>
        </w:rPr>
        <w:footnoteReference w:id="1"/>
      </w:r>
      <w:r w:rsidRPr="002A2AC0">
        <w:rPr>
          <w:rFonts w:eastAsia="Times New Roman" w:cs="Times New Roman"/>
          <w:sz w:val="22"/>
          <w:szCs w:val="22"/>
        </w:rPr>
        <w:t>:</w:t>
      </w:r>
    </w:p>
    <w:p w14:paraId="31DECC19" w14:textId="77777777" w:rsidR="00A716CC" w:rsidRPr="002A2AC0" w:rsidRDefault="00A716CC" w:rsidP="00A716CC">
      <w:pPr>
        <w:pStyle w:val="Citaodireta"/>
        <w:rPr>
          <w:rFonts w:eastAsia="Times New Roman"/>
        </w:rPr>
      </w:pPr>
      <w:r>
        <w:rPr>
          <w:rFonts w:eastAsia="Times New Roman"/>
        </w:rPr>
        <w:t xml:space="preserve">“No regime de </w:t>
      </w:r>
      <w:r>
        <w:rPr>
          <w:rFonts w:eastAsia="Times New Roman"/>
          <w:b/>
          <w:bCs/>
        </w:rPr>
        <w:t>juros simples</w:t>
      </w:r>
      <w:r>
        <w:rPr>
          <w:rFonts w:eastAsia="Times New Roman"/>
        </w:rPr>
        <w:t xml:space="preserve"> os </w:t>
      </w:r>
      <w:r w:rsidRPr="002A11CA">
        <w:rPr>
          <w:rFonts w:eastAsia="Times New Roman"/>
          <w:b/>
          <w:bCs/>
        </w:rPr>
        <w:t xml:space="preserve">juros periódicos </w:t>
      </w:r>
      <w:r w:rsidRPr="002A11CA">
        <w:rPr>
          <w:rFonts w:eastAsia="Times New Roman"/>
          <w:b/>
          <w:bCs/>
          <w:u w:val="single"/>
        </w:rPr>
        <w:t>não são reinvestidos</w:t>
      </w:r>
      <w:r>
        <w:rPr>
          <w:rFonts w:eastAsia="Times New Roman"/>
        </w:rPr>
        <w:t xml:space="preserve"> durante o prazo da operação; esses </w:t>
      </w:r>
      <w:r w:rsidRPr="002A11CA">
        <w:rPr>
          <w:rFonts w:eastAsia="Times New Roman"/>
          <w:b/>
          <w:bCs/>
        </w:rPr>
        <w:t>juros são acumulados sem remuneração</w:t>
      </w:r>
      <w:r>
        <w:rPr>
          <w:rFonts w:eastAsia="Times New Roman"/>
        </w:rPr>
        <w:t xml:space="preserve">. De outra maneira, o capital sobre o qual se calculam os juros permanece inalterado durante todo o prazo da operação, e </w:t>
      </w:r>
      <w:r w:rsidRPr="002A11CA">
        <w:rPr>
          <w:rFonts w:eastAsia="Times New Roman"/>
          <w:b/>
          <w:bCs/>
        </w:rPr>
        <w:t>os juros são capitalizados na data do resgate do capital investido</w:t>
      </w:r>
      <w:r>
        <w:rPr>
          <w:rFonts w:eastAsia="Times New Roman"/>
        </w:rPr>
        <w:t>”. (LAPPONI, 2014, p. 62)</w:t>
      </w:r>
      <w:r w:rsidRPr="002A2AC0">
        <w:rPr>
          <w:rFonts w:eastAsia="Times New Roman"/>
        </w:rPr>
        <w:t xml:space="preserve"> [grifo nosso]</w:t>
      </w:r>
      <w:r>
        <w:rPr>
          <w:rFonts w:eastAsia="Times New Roman"/>
        </w:rPr>
        <w:t>.</w:t>
      </w:r>
      <w:r>
        <w:rPr>
          <w:rStyle w:val="Refdenotadefim"/>
          <w:rFonts w:eastAsia="Times New Roman"/>
        </w:rPr>
        <w:endnoteReference w:id="2"/>
      </w:r>
    </w:p>
    <w:p w14:paraId="30347A83" w14:textId="3E1B745C" w:rsidR="0087034D" w:rsidRPr="000460B8" w:rsidRDefault="0087034D" w:rsidP="0087034D">
      <w:pPr>
        <w:pStyle w:val="Ttulo2"/>
        <w:numPr>
          <w:ilvl w:val="1"/>
          <w:numId w:val="36"/>
        </w:numPr>
      </w:pPr>
      <w:bookmarkStart w:id="11" w:name="_Toc102054746"/>
      <w:r w:rsidRPr="000460B8">
        <w:t>Periodicidade da capitalização para contratos rurais e anatocismo</w:t>
      </w:r>
      <w:bookmarkEnd w:id="11"/>
    </w:p>
    <w:p w14:paraId="36B3F4BD" w14:textId="092F42D3" w:rsidR="00D236BB" w:rsidRPr="00E562BB" w:rsidRDefault="00305B1C" w:rsidP="00D236BB">
      <w:pPr>
        <w:rPr>
          <w:rFonts w:eastAsia="Times New Roman"/>
        </w:rPr>
      </w:pPr>
      <w:r>
        <w:rPr>
          <w:rFonts w:eastAsia="Times New Roman"/>
        </w:rPr>
        <w:t xml:space="preserve">Conforme demonstrando no tópico anterior, a instituição financeira praticou a capitalização </w:t>
      </w:r>
      <w:r w:rsidR="00ED356F">
        <w:rPr>
          <w:rFonts w:eastAsia="Times New Roman"/>
        </w:rPr>
        <w:t>mensal</w:t>
      </w:r>
      <w:r>
        <w:rPr>
          <w:rFonts w:eastAsia="Times New Roman"/>
        </w:rPr>
        <w:t xml:space="preserve"> dos juros remuneratórios.</w:t>
      </w:r>
      <w:r w:rsidR="0032706A">
        <w:rPr>
          <w:rFonts w:eastAsia="Times New Roman"/>
        </w:rPr>
        <w:t xml:space="preserve"> </w:t>
      </w:r>
      <w:r>
        <w:rPr>
          <w:rFonts w:eastAsia="Times New Roman"/>
        </w:rPr>
        <w:t>Entretanto</w:t>
      </w:r>
      <w:r w:rsidR="00D236BB">
        <w:rPr>
          <w:rFonts w:eastAsia="Times New Roman"/>
        </w:rPr>
        <w:t>, destaca-se que o</w:t>
      </w:r>
      <w:r w:rsidR="00D236BB" w:rsidRPr="00E562BB">
        <w:rPr>
          <w:rFonts w:eastAsia="Times New Roman"/>
        </w:rPr>
        <w:t xml:space="preserve"> contrato</w:t>
      </w:r>
      <w:r w:rsidR="00D236BB">
        <w:rPr>
          <w:rFonts w:eastAsia="Times New Roman"/>
        </w:rPr>
        <w:t xml:space="preserve"> analisado tem a finalidade de obtenção </w:t>
      </w:r>
      <w:r w:rsidR="00D236BB" w:rsidRPr="00E562BB">
        <w:rPr>
          <w:rFonts w:eastAsia="Times New Roman"/>
        </w:rPr>
        <w:t>de crédito rural</w:t>
      </w:r>
      <w:r w:rsidR="00D236BB">
        <w:rPr>
          <w:rFonts w:eastAsia="Times New Roman"/>
        </w:rPr>
        <w:t xml:space="preserve">, </w:t>
      </w:r>
      <w:r w:rsidR="00EF59BF">
        <w:rPr>
          <w:rFonts w:eastAsia="Times New Roman"/>
        </w:rPr>
        <w:t xml:space="preserve">modalidade </w:t>
      </w:r>
      <w:r w:rsidR="00C16619">
        <w:rPr>
          <w:rFonts w:eastAsia="Times New Roman"/>
        </w:rPr>
        <w:t xml:space="preserve">esta que é regida </w:t>
      </w:r>
      <w:r w:rsidR="00D236BB" w:rsidRPr="00E562BB">
        <w:rPr>
          <w:rFonts w:eastAsia="Times New Roman"/>
        </w:rPr>
        <w:t>por legislação específica, sendo o Decreto-Lei n. 167/</w:t>
      </w:r>
      <w:r w:rsidR="00CB6DA7">
        <w:rPr>
          <w:rFonts w:eastAsia="Times New Roman"/>
        </w:rPr>
        <w:t>19</w:t>
      </w:r>
      <w:r w:rsidR="00D236BB" w:rsidRPr="00E562BB">
        <w:rPr>
          <w:rFonts w:eastAsia="Times New Roman"/>
        </w:rPr>
        <w:t xml:space="preserve">67 um dos principais normativos. Com relação </w:t>
      </w:r>
      <w:r w:rsidR="00D236BB">
        <w:rPr>
          <w:rFonts w:eastAsia="Times New Roman"/>
        </w:rPr>
        <w:t>à</w:t>
      </w:r>
      <w:r w:rsidR="00D236BB" w:rsidRPr="00E562BB">
        <w:rPr>
          <w:rFonts w:eastAsia="Times New Roman"/>
        </w:rPr>
        <w:t xml:space="preserve"> capitalização dos juros, o art. 5 º dispõe:</w:t>
      </w:r>
    </w:p>
    <w:p w14:paraId="30C0B873" w14:textId="77777777" w:rsidR="00D236BB" w:rsidRPr="00A357B7" w:rsidRDefault="00D236BB" w:rsidP="00FF5343">
      <w:pPr>
        <w:pStyle w:val="Citaodireta"/>
        <w:rPr>
          <w:rFonts w:eastAsia="Times New Roman"/>
        </w:rPr>
      </w:pPr>
      <w:r w:rsidRPr="00E562BB">
        <w:rPr>
          <w:rFonts w:eastAsia="Times New Roman"/>
        </w:rPr>
        <w:t xml:space="preserve">As importâncias fornecidas pelo financiador vencerão juros as taxas que o Conselho Monetário Nacional fixar e serão exigíveis em </w:t>
      </w:r>
      <w:r w:rsidRPr="00A357B7">
        <w:rPr>
          <w:rFonts w:eastAsia="Times New Roman"/>
        </w:rPr>
        <w:t>30 de junho e 31 de dezembro</w:t>
      </w:r>
      <w:r w:rsidRPr="00E562BB">
        <w:rPr>
          <w:rFonts w:eastAsia="Times New Roman"/>
        </w:rPr>
        <w:t xml:space="preserve"> ou </w:t>
      </w:r>
      <w:r w:rsidRPr="00A357B7">
        <w:rPr>
          <w:rFonts w:eastAsia="Times New Roman"/>
          <w:b/>
          <w:bCs/>
        </w:rPr>
        <w:t>no vencimento das prestações</w:t>
      </w:r>
      <w:r w:rsidRPr="00E562BB">
        <w:rPr>
          <w:rFonts w:eastAsia="Times New Roman"/>
        </w:rPr>
        <w:t xml:space="preserve">, se assim acordado entre as partes; no </w:t>
      </w:r>
      <w:r w:rsidRPr="00CF7031">
        <w:rPr>
          <w:rFonts w:eastAsia="Times New Roman"/>
          <w:b/>
          <w:bCs/>
        </w:rPr>
        <w:t>vencimento do título</w:t>
      </w:r>
      <w:r w:rsidRPr="00E562BB">
        <w:rPr>
          <w:rFonts w:eastAsia="Times New Roman"/>
        </w:rPr>
        <w:t xml:space="preserve"> e </w:t>
      </w:r>
      <w:r w:rsidRPr="00CF7031">
        <w:rPr>
          <w:rFonts w:eastAsia="Times New Roman"/>
          <w:b/>
          <w:bCs/>
        </w:rPr>
        <w:t>na liquidação</w:t>
      </w:r>
      <w:r w:rsidRPr="00E562BB">
        <w:rPr>
          <w:rFonts w:eastAsia="Times New Roman"/>
        </w:rPr>
        <w:t xml:space="preserve">, por outra forma que vier a ser determinada por aquele Conselho, podendo o </w:t>
      </w:r>
      <w:r w:rsidRPr="00A357B7">
        <w:rPr>
          <w:rFonts w:eastAsia="Times New Roman"/>
        </w:rPr>
        <w:t>financiador</w:t>
      </w:r>
      <w:r w:rsidRPr="00E562BB">
        <w:rPr>
          <w:rFonts w:eastAsia="Times New Roman"/>
        </w:rPr>
        <w:t xml:space="preserve">, nas </w:t>
      </w:r>
      <w:r w:rsidRPr="00E562BB">
        <w:rPr>
          <w:rFonts w:eastAsia="Times New Roman"/>
        </w:rPr>
        <w:lastRenderedPageBreak/>
        <w:t xml:space="preserve">datas previstas, </w:t>
      </w:r>
      <w:r w:rsidRPr="001B54E6">
        <w:rPr>
          <w:rFonts w:eastAsia="Times New Roman"/>
          <w:b/>
          <w:bCs/>
        </w:rPr>
        <w:t>capitalizar</w:t>
      </w:r>
      <w:r w:rsidRPr="00A357B7">
        <w:rPr>
          <w:rFonts w:eastAsia="Times New Roman"/>
        </w:rPr>
        <w:t xml:space="preserve"> tais encargos na conta vinculada a operação [G. N]</w:t>
      </w:r>
      <w:r>
        <w:rPr>
          <w:rFonts w:eastAsia="Times New Roman"/>
        </w:rPr>
        <w:t>.</w:t>
      </w:r>
    </w:p>
    <w:p w14:paraId="32D36722" w14:textId="6D7E21CD" w:rsidR="00FA4509" w:rsidRPr="00FA7DF7" w:rsidRDefault="00D236BB" w:rsidP="00FA4509">
      <w:pPr>
        <w:spacing w:before="0"/>
        <w:rPr>
          <w:rFonts w:eastAsia="Times New Roman"/>
        </w:rPr>
      </w:pPr>
      <w:r w:rsidRPr="00E562BB">
        <w:rPr>
          <w:rFonts w:eastAsia="Times New Roman"/>
        </w:rPr>
        <w:t xml:space="preserve">Ou seja, não é permitida pactuação de capitalização de juros inferior </w:t>
      </w:r>
      <w:r>
        <w:rPr>
          <w:rFonts w:eastAsia="Times New Roman"/>
        </w:rPr>
        <w:t>ao vencimento da parcela</w:t>
      </w:r>
      <w:r w:rsidRPr="00E562BB">
        <w:rPr>
          <w:rFonts w:eastAsia="Times New Roman"/>
        </w:rPr>
        <w:t xml:space="preserve">. </w:t>
      </w:r>
      <w:r w:rsidR="00FA4509" w:rsidRPr="00E562BB">
        <w:rPr>
          <w:rFonts w:eastAsia="Times New Roman"/>
        </w:rPr>
        <w:t xml:space="preserve">Dessa maneira, </w:t>
      </w:r>
      <w:r w:rsidR="00FA4509">
        <w:rPr>
          <w:rFonts w:eastAsia="Times New Roman"/>
        </w:rPr>
        <w:t xml:space="preserve">caso o entendimento sobre o afastamento da capitalização, apresentado anteriormente, não seja acolhido, deve-se realizar a </w:t>
      </w:r>
      <w:r w:rsidR="00FA4509" w:rsidRPr="00E562BB">
        <w:rPr>
          <w:rFonts w:eastAsia="Times New Roman"/>
        </w:rPr>
        <w:t xml:space="preserve">aplicação da capitalização </w:t>
      </w:r>
      <w:r w:rsidR="00FA4509">
        <w:rPr>
          <w:rFonts w:eastAsia="Times New Roman"/>
        </w:rPr>
        <w:t>dos juros remuneratórios no vencimento de cada parcela.</w:t>
      </w:r>
    </w:p>
    <w:p w14:paraId="405BFA79" w14:textId="2F0FF43C" w:rsidR="00D236BB" w:rsidRPr="0032706A" w:rsidRDefault="00D236BB" w:rsidP="00D236BB">
      <w:pPr>
        <w:pStyle w:val="Ttulo2"/>
        <w:rPr>
          <w:rFonts w:eastAsia="Times New Roman"/>
          <w:highlight w:val="yellow"/>
        </w:rPr>
      </w:pPr>
      <w:bookmarkStart w:id="12" w:name="_Toc76632720"/>
      <w:bookmarkStart w:id="13" w:name="_Toc77321467"/>
      <w:bookmarkStart w:id="14" w:name="_Toc102054747"/>
      <w:bookmarkStart w:id="15" w:name="_Hlk56414608"/>
      <w:bookmarkEnd w:id="10"/>
      <w:r w:rsidRPr="0032706A">
        <w:rPr>
          <w:rFonts w:eastAsia="Times New Roman"/>
          <w:highlight w:val="yellow"/>
        </w:rPr>
        <w:t>Cobrança indevida de Seguro</w:t>
      </w:r>
      <w:bookmarkEnd w:id="12"/>
      <w:r w:rsidR="00AB5393">
        <w:rPr>
          <w:rFonts w:eastAsia="Times New Roman"/>
          <w:highlight w:val="yellow"/>
        </w:rPr>
        <w:t>s</w:t>
      </w:r>
      <w:bookmarkEnd w:id="13"/>
      <w:r w:rsidR="0032706A" w:rsidRPr="0032706A">
        <w:rPr>
          <w:rFonts w:eastAsia="Times New Roman"/>
          <w:highlight w:val="yellow"/>
        </w:rPr>
        <w:t xml:space="preserve"> e Tarifa</w:t>
      </w:r>
      <w:bookmarkEnd w:id="14"/>
    </w:p>
    <w:p w14:paraId="23A4BD04" w14:textId="78F35090" w:rsidR="00D236BB" w:rsidRDefault="00D236BB" w:rsidP="00D236BB">
      <w:pPr>
        <w:rPr>
          <w:rFonts w:eastAsia="Times New Roman"/>
        </w:rPr>
      </w:pPr>
      <w:bookmarkStart w:id="16" w:name="_Hlk32846509"/>
      <w:r>
        <w:rPr>
          <w:rFonts w:eastAsia="Times New Roman"/>
        </w:rPr>
        <w:t xml:space="preserve">Após analisar os documentos juntados nos autos, identificamos que o banco praticou a cobrança de </w:t>
      </w:r>
      <w:proofErr w:type="spellStart"/>
      <w:r w:rsidR="00E15C76" w:rsidRPr="008926C1">
        <w:rPr>
          <w:rFonts w:eastAsia="Times New Roman"/>
          <w:highlight w:val="yellow"/>
        </w:rPr>
        <w:t>xxxx</w:t>
      </w:r>
      <w:proofErr w:type="spellEnd"/>
      <w:r w:rsidR="00E15C76">
        <w:rPr>
          <w:rFonts w:eastAsia="Times New Roman"/>
        </w:rPr>
        <w:t xml:space="preserve"> </w:t>
      </w:r>
      <w:r>
        <w:rPr>
          <w:rFonts w:eastAsia="Times New Roman"/>
        </w:rPr>
        <w:t xml:space="preserve">na operação nº </w:t>
      </w:r>
      <w:r w:rsidR="00520C39">
        <w:t>xyz123</w:t>
      </w:r>
      <w:r>
        <w:rPr>
          <w:rFonts w:eastAsia="Times New Roman"/>
        </w:rPr>
        <w:t xml:space="preserve">, no valor total de R$ </w:t>
      </w:r>
      <w:proofErr w:type="spellStart"/>
      <w:r w:rsidR="00E15C76">
        <w:rPr>
          <w:rFonts w:eastAsia="Times New Roman"/>
        </w:rPr>
        <w:t>xxxxx</w:t>
      </w:r>
      <w:proofErr w:type="spellEnd"/>
      <w:r>
        <w:rPr>
          <w:rFonts w:eastAsia="Times New Roman"/>
        </w:rPr>
        <w:t>. Vejamos:</w:t>
      </w:r>
    </w:p>
    <w:p w14:paraId="37671278" w14:textId="77777777" w:rsidR="00FF5343" w:rsidRDefault="00FF5343" w:rsidP="00D236BB">
      <w:pPr>
        <w:spacing w:before="0" w:line="240" w:lineRule="auto"/>
        <w:ind w:firstLine="0"/>
        <w:rPr>
          <w:szCs w:val="23"/>
        </w:rPr>
      </w:pPr>
    </w:p>
    <w:p w14:paraId="01AF78C9" w14:textId="4C3578C2" w:rsidR="00D236BB" w:rsidRDefault="00D236BB" w:rsidP="00D236BB">
      <w:pPr>
        <w:spacing w:before="0" w:line="240" w:lineRule="auto"/>
        <w:ind w:firstLine="0"/>
      </w:pPr>
      <w:r>
        <w:rPr>
          <w:szCs w:val="23"/>
        </w:rPr>
        <w:t>Fonte: Elaborado pelo Assistente Técnico. Informações extraídas da Ficha Gráfica nº </w:t>
      </w:r>
      <w:r w:rsidR="002B597B">
        <w:t>xyz123</w:t>
      </w:r>
      <w:r>
        <w:t>.</w:t>
      </w:r>
    </w:p>
    <w:p w14:paraId="5F26FE18" w14:textId="77777777" w:rsidR="00766790" w:rsidRDefault="00766790" w:rsidP="00766790">
      <w:pPr>
        <w:rPr>
          <w:rFonts w:eastAsia="Times New Roman"/>
          <w:u w:val="single"/>
        </w:rPr>
      </w:pPr>
      <w:r>
        <w:rPr>
          <w:rFonts w:eastAsia="Times New Roman"/>
          <w:u w:val="single"/>
        </w:rPr>
        <w:t>Seguro penhor</w:t>
      </w:r>
    </w:p>
    <w:p w14:paraId="43B9712A" w14:textId="57807B51" w:rsidR="00D236BB" w:rsidRDefault="00D236BB" w:rsidP="00D236BB">
      <w:pPr>
        <w:rPr>
          <w:rFonts w:eastAsia="Times New Roman"/>
        </w:rPr>
      </w:pPr>
      <w:r>
        <w:rPr>
          <w:rFonts w:eastAsia="Times New Roman"/>
        </w:rPr>
        <w:t xml:space="preserve">Ao </w:t>
      </w:r>
      <w:r w:rsidR="002A159E">
        <w:rPr>
          <w:rFonts w:eastAsia="Times New Roman"/>
        </w:rPr>
        <w:t>avaliar</w:t>
      </w:r>
      <w:r>
        <w:rPr>
          <w:rFonts w:eastAsia="Times New Roman"/>
        </w:rPr>
        <w:t xml:space="preserve"> o contrato da operação, verificamos que </w:t>
      </w:r>
      <w:r w:rsidRPr="005A60CF">
        <w:rPr>
          <w:rFonts w:eastAsia="Times New Roman"/>
          <w:highlight w:val="yellow"/>
        </w:rPr>
        <w:t xml:space="preserve">o produtor </w:t>
      </w:r>
      <w:r>
        <w:rPr>
          <w:rFonts w:eastAsia="Times New Roman"/>
        </w:rPr>
        <w:t xml:space="preserve">não teve escolha a não ser aderir ao </w:t>
      </w:r>
      <w:r w:rsidR="00E15C76">
        <w:rPr>
          <w:rFonts w:eastAsia="Times New Roman"/>
        </w:rPr>
        <w:t>Seguro Penhor</w:t>
      </w:r>
      <w:r>
        <w:rPr>
          <w:rFonts w:eastAsia="Times New Roman"/>
        </w:rPr>
        <w:t xml:space="preserve">, pois </w:t>
      </w:r>
      <w:r w:rsidR="00E15C76">
        <w:rPr>
          <w:rFonts w:eastAsia="Times New Roman"/>
        </w:rPr>
        <w:t xml:space="preserve">se trata de </w:t>
      </w:r>
      <w:r>
        <w:rPr>
          <w:rFonts w:eastAsia="Times New Roman"/>
        </w:rPr>
        <w:t>um seguro automático</w:t>
      </w:r>
      <w:r w:rsidR="00236D22">
        <w:rPr>
          <w:rFonts w:eastAsia="Times New Roman"/>
        </w:rPr>
        <w:t xml:space="preserve"> </w:t>
      </w:r>
      <w:r w:rsidR="00236D22">
        <w:rPr>
          <w:rFonts w:eastAsia="Times New Roman"/>
          <w:highlight w:val="yellow"/>
        </w:rPr>
        <w:t>/ pois se trata de cláusula irrevogável e irretratável em favor dos interesses da instituição financeira</w:t>
      </w:r>
      <w:r w:rsidR="00236D22">
        <w:rPr>
          <w:rFonts w:eastAsia="Times New Roman"/>
        </w:rPr>
        <w:t>.</w:t>
      </w:r>
      <w:r>
        <w:rPr>
          <w:rFonts w:eastAsia="Times New Roman"/>
        </w:rPr>
        <w:t xml:space="preserve"> Vejamos: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075"/>
      </w:tblGrid>
      <w:tr w:rsidR="00D236BB" w14:paraId="2C44D4DD" w14:textId="77777777" w:rsidTr="00E04C7B">
        <w:trPr>
          <w:trHeight w:val="471"/>
        </w:trPr>
        <w:tc>
          <w:tcPr>
            <w:tcW w:w="8075" w:type="dxa"/>
          </w:tcPr>
          <w:p w14:paraId="3C37304D" w14:textId="083C54F2" w:rsidR="00D236BB" w:rsidRDefault="00D236BB" w:rsidP="00E04C7B">
            <w:pPr>
              <w:spacing w:before="120" w:after="120" w:line="240" w:lineRule="auto"/>
              <w:ind w:firstLine="0"/>
              <w:rPr>
                <w:rFonts w:eastAsia="Times New Roman" w:cs="Times New Roman"/>
                <w:sz w:val="22"/>
                <w:szCs w:val="22"/>
              </w:rPr>
            </w:pPr>
          </w:p>
        </w:tc>
      </w:tr>
    </w:tbl>
    <w:p w14:paraId="67A6E26C" w14:textId="28B5D61B" w:rsidR="00D236BB" w:rsidRDefault="00D236BB" w:rsidP="00D236BB">
      <w:pPr>
        <w:spacing w:before="0" w:line="240" w:lineRule="auto"/>
        <w:ind w:firstLine="0"/>
      </w:pPr>
      <w:r>
        <w:t>Fonte: Contrato</w:t>
      </w:r>
      <w:r w:rsidR="00144446">
        <w:t xml:space="preserve"> nº</w:t>
      </w:r>
      <w:r>
        <w:t xml:space="preserve"> </w:t>
      </w:r>
      <w:r w:rsidR="00520C39">
        <w:t>xyz123</w:t>
      </w:r>
      <w:r>
        <w:t>.</w:t>
      </w:r>
    </w:p>
    <w:p w14:paraId="705BEBB8" w14:textId="77777777" w:rsidR="00472F9F" w:rsidRDefault="00D236BB" w:rsidP="00472F9F">
      <w:bookmarkStart w:id="17" w:name="_Hlk56414800"/>
      <w:r w:rsidRPr="00E562BB">
        <w:rPr>
          <w:rFonts w:eastAsia="Times New Roman"/>
        </w:rPr>
        <w:t xml:space="preserve">Também é importante ressaltar que, </w:t>
      </w:r>
      <w:r w:rsidRPr="002C5C0D">
        <w:rPr>
          <w:rFonts w:eastAsia="Times New Roman"/>
          <w:b/>
          <w:bCs/>
        </w:rPr>
        <w:t xml:space="preserve">apesar de </w:t>
      </w:r>
      <w:r w:rsidR="00DC6C64">
        <w:rPr>
          <w:rFonts w:eastAsia="Times New Roman"/>
          <w:b/>
          <w:bCs/>
        </w:rPr>
        <w:t>indicado</w:t>
      </w:r>
      <w:r w:rsidRPr="002C5C0D">
        <w:rPr>
          <w:rFonts w:eastAsia="Times New Roman"/>
          <w:b/>
          <w:bCs/>
        </w:rPr>
        <w:t xml:space="preserve"> em contrato, não foi possível verificar as condições e taxas referentes ao </w:t>
      </w:r>
      <w:r>
        <w:rPr>
          <w:rFonts w:eastAsia="Times New Roman"/>
          <w:b/>
          <w:bCs/>
        </w:rPr>
        <w:t>S</w:t>
      </w:r>
      <w:r w:rsidRPr="002C5C0D">
        <w:rPr>
          <w:rFonts w:eastAsia="Times New Roman"/>
          <w:b/>
          <w:bCs/>
        </w:rPr>
        <w:t>eguro</w:t>
      </w:r>
      <w:r>
        <w:rPr>
          <w:rFonts w:eastAsia="Times New Roman"/>
          <w:b/>
          <w:bCs/>
        </w:rPr>
        <w:t xml:space="preserve"> Penhor</w:t>
      </w:r>
      <w:r w:rsidRPr="00E562BB">
        <w:rPr>
          <w:rFonts w:eastAsia="Times New Roman"/>
        </w:rPr>
        <w:t>. Sendo assim, a cobrança relativa à sua contratação se torna “obscura” e não pode ser aceita.</w:t>
      </w:r>
      <w:r w:rsidR="00472F9F" w:rsidRPr="00472F9F">
        <w:t xml:space="preserve"> </w:t>
      </w:r>
    </w:p>
    <w:p w14:paraId="3973B30C" w14:textId="538B1549" w:rsidR="00E15C76" w:rsidRPr="005A60CF" w:rsidRDefault="005A60CF" w:rsidP="009E775C">
      <w:pPr>
        <w:spacing w:before="0"/>
        <w:ind w:firstLine="709"/>
        <w:rPr>
          <w:u w:val="single"/>
        </w:rPr>
      </w:pPr>
      <w:r w:rsidRPr="005A60CF">
        <w:rPr>
          <w:u w:val="single"/>
        </w:rPr>
        <w:t>-Seguro agrícola</w:t>
      </w:r>
    </w:p>
    <w:p w14:paraId="15A6A9D2" w14:textId="57FABE77" w:rsidR="00AA7C48" w:rsidRDefault="00AA7C48" w:rsidP="009E775C">
      <w:pPr>
        <w:spacing w:before="0"/>
        <w:ind w:firstLine="709"/>
      </w:pPr>
      <w:r>
        <w:t xml:space="preserve">Sobre o seguro agrícola, apesar da pactuação em contrato e as informações darem o entendimento de que se trata de livre iniciativa </w:t>
      </w:r>
      <w:r w:rsidRPr="005A60CF">
        <w:rPr>
          <w:highlight w:val="yellow"/>
        </w:rPr>
        <w:t>do produtor</w:t>
      </w:r>
      <w:r>
        <w:t xml:space="preserve">, segundo seu relato não foi esse o procedimento adotado pela instituição financeira. </w:t>
      </w:r>
      <w:r w:rsidR="005A60CF">
        <w:t xml:space="preserve">Segundo </w:t>
      </w:r>
      <w:r w:rsidR="005A60CF" w:rsidRPr="001B54E6">
        <w:rPr>
          <w:highlight w:val="yellow"/>
        </w:rPr>
        <w:t>ele</w:t>
      </w:r>
      <w:r w:rsidR="005A60CF">
        <w:t>, h</w:t>
      </w:r>
      <w:r>
        <w:t>ouve grande insistência e o condicionamento da liberação dos créditos à contratação do seguro.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792"/>
      </w:tblGrid>
      <w:tr w:rsidR="0053392C" w14:paraId="631D19E3" w14:textId="77777777" w:rsidTr="0053392C">
        <w:trPr>
          <w:trHeight w:val="303"/>
        </w:trPr>
        <w:tc>
          <w:tcPr>
            <w:tcW w:w="7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65AFA" w14:textId="77777777" w:rsidR="0053392C" w:rsidRDefault="0053392C">
            <w:pPr>
              <w:spacing w:before="120" w:after="120" w:line="240" w:lineRule="auto"/>
              <w:ind w:firstLine="0"/>
              <w:rPr>
                <w:rFonts w:eastAsia="Times New Roman" w:cs="Times New Roman"/>
                <w:sz w:val="22"/>
                <w:szCs w:val="22"/>
              </w:rPr>
            </w:pPr>
          </w:p>
        </w:tc>
      </w:tr>
    </w:tbl>
    <w:p w14:paraId="6E76F6F9" w14:textId="089DCD19" w:rsidR="0053392C" w:rsidRDefault="0053392C" w:rsidP="0053392C">
      <w:pPr>
        <w:spacing w:before="0" w:line="240" w:lineRule="auto"/>
        <w:ind w:firstLine="0"/>
      </w:pPr>
      <w:r>
        <w:t>Fonte: Contrato</w:t>
      </w:r>
      <w:r w:rsidR="006A0483">
        <w:t xml:space="preserve"> nº</w:t>
      </w:r>
      <w:r>
        <w:t xml:space="preserve"> xyz123.</w:t>
      </w:r>
    </w:p>
    <w:p w14:paraId="59F1460D" w14:textId="2CE89784" w:rsidR="005A60CF" w:rsidRDefault="005A60CF" w:rsidP="005A60CF">
      <w:pPr>
        <w:rPr>
          <w:rFonts w:eastAsia="Times New Roman"/>
        </w:rPr>
      </w:pPr>
      <w:r>
        <w:rPr>
          <w:rFonts w:eastAsia="Times New Roman"/>
        </w:rPr>
        <w:lastRenderedPageBreak/>
        <w:t>-Seguro de vida</w:t>
      </w:r>
    </w:p>
    <w:p w14:paraId="324ACE69" w14:textId="281CB0D9" w:rsidR="00AA7C48" w:rsidRDefault="00AA7C48" w:rsidP="005A60CF">
      <w:pPr>
        <w:rPr>
          <w:rFonts w:eastAsia="Times New Roman"/>
        </w:rPr>
      </w:pPr>
      <w:r>
        <w:rPr>
          <w:rFonts w:eastAsia="Times New Roman"/>
        </w:rPr>
        <w:t xml:space="preserve">Já sobre o seguro de vida, na documentação </w:t>
      </w:r>
      <w:r w:rsidR="00820D20">
        <w:rPr>
          <w:rFonts w:eastAsia="Times New Roman"/>
        </w:rPr>
        <w:t xml:space="preserve">disponibilizada </w:t>
      </w:r>
      <w:r>
        <w:rPr>
          <w:rFonts w:eastAsia="Times New Roman"/>
        </w:rPr>
        <w:t xml:space="preserve">nos autos, não foi identificado nenhum dispositivo que pactuasse a cobrança desse seguro e, tampouco, são apresentadas </w:t>
      </w:r>
      <w:r w:rsidRPr="005C0CDA">
        <w:rPr>
          <w:rFonts w:eastAsia="Times New Roman"/>
        </w:rPr>
        <w:t>as condições e taxas referentes</w:t>
      </w:r>
      <w:r>
        <w:rPr>
          <w:rFonts w:eastAsia="Times New Roman"/>
        </w:rPr>
        <w:t xml:space="preserve"> à sua contratação.</w:t>
      </w:r>
    </w:p>
    <w:p w14:paraId="7ADD7293" w14:textId="28B296DB" w:rsidR="00AA7C48" w:rsidRDefault="00AA7C48" w:rsidP="00AA7C48">
      <w:pPr>
        <w:rPr>
          <w:rFonts w:eastAsia="Times New Roman"/>
          <w:highlight w:val="yellow"/>
        </w:rPr>
      </w:pPr>
      <w:r w:rsidRPr="00E562BB">
        <w:rPr>
          <w:rFonts w:eastAsia="Times New Roman"/>
        </w:rPr>
        <w:t>Haja vista que a natureza do contrato firmado entre as partes não tem relação com outros serviços fornecidos pela instituição financeira (em especial</w:t>
      </w:r>
      <w:r w:rsidR="00820D20">
        <w:rPr>
          <w:rFonts w:eastAsia="Times New Roman"/>
        </w:rPr>
        <w:t>,</w:t>
      </w:r>
      <w:r w:rsidRPr="00E562BB">
        <w:rPr>
          <w:rFonts w:eastAsia="Times New Roman"/>
        </w:rPr>
        <w:t xml:space="preserve"> o </w:t>
      </w:r>
      <w:r w:rsidRPr="008F4ABF">
        <w:rPr>
          <w:rFonts w:eastAsia="Times New Roman"/>
          <w:b/>
          <w:bCs/>
        </w:rPr>
        <w:t>seguro de vida</w:t>
      </w:r>
      <w:r w:rsidRPr="00E562BB">
        <w:rPr>
          <w:rFonts w:eastAsia="Times New Roman"/>
        </w:rPr>
        <w:t>), é pl</w:t>
      </w:r>
      <w:r>
        <w:rPr>
          <w:rFonts w:eastAsia="Times New Roman"/>
        </w:rPr>
        <w:t xml:space="preserve">ausível o entendimento de </w:t>
      </w:r>
      <w:r w:rsidRPr="005A60CF">
        <w:rPr>
          <w:rFonts w:eastAsia="Times New Roman"/>
          <w:highlight w:val="yellow"/>
        </w:rPr>
        <w:t xml:space="preserve">que o produtor foi constrangido </w:t>
      </w:r>
      <w:r w:rsidRPr="00E562BB">
        <w:rPr>
          <w:rFonts w:eastAsia="Times New Roman"/>
        </w:rPr>
        <w:t>pelo banco à adesão de um serviço do qual não necessitava</w:t>
      </w:r>
      <w:r>
        <w:rPr>
          <w:rFonts w:eastAsia="Times New Roman"/>
        </w:rPr>
        <w:t>. M</w:t>
      </w:r>
      <w:r w:rsidRPr="00E562BB">
        <w:rPr>
          <w:rFonts w:eastAsia="Times New Roman"/>
        </w:rPr>
        <w:t>ais ainda</w:t>
      </w:r>
      <w:r>
        <w:rPr>
          <w:rFonts w:eastAsia="Times New Roman"/>
        </w:rPr>
        <w:t>, c</w:t>
      </w:r>
      <w:r w:rsidRPr="00E562BB">
        <w:rPr>
          <w:rFonts w:eastAsia="Times New Roman"/>
        </w:rPr>
        <w:t xml:space="preserve">ausou-lhe um custo adicional justamente quando </w:t>
      </w:r>
      <w:r w:rsidR="00957948">
        <w:rPr>
          <w:rFonts w:eastAsia="Times New Roman"/>
        </w:rPr>
        <w:t xml:space="preserve">buscava </w:t>
      </w:r>
      <w:r>
        <w:rPr>
          <w:rFonts w:eastAsia="Times New Roman"/>
        </w:rPr>
        <w:t xml:space="preserve">recursos </w:t>
      </w:r>
      <w:r w:rsidRPr="005A60CF">
        <w:rPr>
          <w:rFonts w:eastAsia="Times New Roman"/>
          <w:highlight w:val="yellow"/>
        </w:rPr>
        <w:t xml:space="preserve">para </w:t>
      </w:r>
      <w:proofErr w:type="spellStart"/>
      <w:r w:rsidR="00957948">
        <w:rPr>
          <w:rFonts w:eastAsia="Times New Roman"/>
          <w:highlight w:val="yellow"/>
        </w:rPr>
        <w:t>xxxx</w:t>
      </w:r>
      <w:proofErr w:type="spellEnd"/>
      <w:r w:rsidRPr="005A60CF">
        <w:rPr>
          <w:rFonts w:eastAsia="Times New Roman"/>
          <w:highlight w:val="yellow"/>
        </w:rPr>
        <w:t xml:space="preserve">. </w:t>
      </w:r>
    </w:p>
    <w:p w14:paraId="74DACFF6" w14:textId="77777777" w:rsidR="002A2CFC" w:rsidRPr="00182BC8" w:rsidRDefault="002A2CFC" w:rsidP="002A2CFC">
      <w:pPr>
        <w:rPr>
          <w:rFonts w:eastAsia="Times New Roman"/>
        </w:rPr>
      </w:pPr>
      <w:r w:rsidRPr="00AB5393">
        <w:rPr>
          <w:rFonts w:eastAsia="Times New Roman"/>
          <w:highlight w:val="magenta"/>
        </w:rPr>
        <w:t>(Seguro de vida)</w:t>
      </w:r>
      <w:r>
        <w:rPr>
          <w:rFonts w:eastAsia="Times New Roman"/>
        </w:rPr>
        <w:t xml:space="preserve"> </w:t>
      </w:r>
      <w:r w:rsidRPr="00182BC8">
        <w:rPr>
          <w:rFonts w:eastAsia="Times New Roman"/>
        </w:rPr>
        <w:t>Além disso, durante a aprovação do Projeto de Lei nº 755/2011 (que ainda aguarda parecer na Câmara dos Deputados), que proíbe os bancos de condicionar a concessão de crédito rural à contratação, pelo produtor, de qualquer serviço ou à aquisição de qualquer produto a título de reciprocidade, o autor do projeto, deputado Hugo Leal (PSC-RJ), afirmou que:</w:t>
      </w:r>
    </w:p>
    <w:p w14:paraId="096912BF" w14:textId="77777777" w:rsidR="002A2CFC" w:rsidRPr="00E562BB" w:rsidRDefault="002A2CFC" w:rsidP="002A2CFC">
      <w:pPr>
        <w:pStyle w:val="Citaodireta"/>
        <w:rPr>
          <w:rFonts w:eastAsia="Times New Roman"/>
        </w:rPr>
      </w:pPr>
      <w:r w:rsidRPr="00182BC8">
        <w:rPr>
          <w:rFonts w:eastAsia="Times New Roman"/>
        </w:rPr>
        <w:t xml:space="preserve">[...] é comum bancos adotarem a estratégia de concessão de crédito associada à imposição de certas exigências, como saldo médio ou compra de produtos, como </w:t>
      </w:r>
      <w:r w:rsidRPr="00182BC8">
        <w:rPr>
          <w:rFonts w:eastAsia="Times New Roman"/>
          <w:b/>
          <w:bCs/>
        </w:rPr>
        <w:t>seguro de vida</w:t>
      </w:r>
      <w:r w:rsidRPr="00182BC8">
        <w:rPr>
          <w:rFonts w:eastAsia="Times New Roman"/>
        </w:rPr>
        <w:t>. Os preços cobrados são, não raro, muito superiores aos de mercado.</w:t>
      </w:r>
    </w:p>
    <w:p w14:paraId="1C8168D7" w14:textId="53259594" w:rsidR="00AA7C48" w:rsidRPr="00182BC8" w:rsidRDefault="00AB5393" w:rsidP="00AA7C48">
      <w:pPr>
        <w:rPr>
          <w:rFonts w:eastAsia="Times New Roman"/>
          <w:highlight w:val="green"/>
        </w:rPr>
      </w:pPr>
      <w:r w:rsidRPr="002A2CFC">
        <w:rPr>
          <w:rFonts w:eastAsia="Times New Roman"/>
          <w:highlight w:val="yellow"/>
        </w:rPr>
        <w:t xml:space="preserve"> (</w:t>
      </w:r>
      <w:r w:rsidRPr="002A2CFC">
        <w:rPr>
          <w:rFonts w:eastAsia="Times New Roman"/>
          <w:b/>
          <w:bCs/>
          <w:highlight w:val="yellow"/>
          <w:u w:val="single"/>
        </w:rPr>
        <w:t>Pode usar em todos os seguros</w:t>
      </w:r>
      <w:r w:rsidRPr="002A2CFC">
        <w:rPr>
          <w:rFonts w:eastAsia="Times New Roman"/>
          <w:highlight w:val="yellow"/>
        </w:rPr>
        <w:t xml:space="preserve">) </w:t>
      </w:r>
      <w:r w:rsidR="00AA7C48" w:rsidRPr="00182BC8">
        <w:rPr>
          <w:rFonts w:eastAsia="Times New Roman"/>
          <w:highlight w:val="green"/>
        </w:rPr>
        <w:t xml:space="preserve">Cabe destacar que, </w:t>
      </w:r>
      <w:r w:rsidR="00AA7C48" w:rsidRPr="00182BC8">
        <w:rPr>
          <w:rFonts w:eastAsia="Times New Roman"/>
          <w:b/>
          <w:bCs/>
          <w:color w:val="65230F"/>
          <w:highlight w:val="green"/>
        </w:rPr>
        <w:t>quando o banco condiciona a liberação do crédito rural à aquisição de outros produtos financeiros</w:t>
      </w:r>
      <w:r w:rsidR="00AA7C48" w:rsidRPr="00182BC8">
        <w:rPr>
          <w:rFonts w:eastAsia="Times New Roman"/>
          <w:highlight w:val="green"/>
        </w:rPr>
        <w:t xml:space="preserve"> (</w:t>
      </w:r>
      <w:r w:rsidR="005C6B2F" w:rsidRPr="00182BC8">
        <w:rPr>
          <w:rFonts w:eastAsia="Times New Roman"/>
          <w:highlight w:val="green"/>
        </w:rPr>
        <w:t xml:space="preserve">como </w:t>
      </w:r>
      <w:r w:rsidR="005C6B2F" w:rsidRPr="00182BC8">
        <w:rPr>
          <w:rFonts w:eastAsia="Times New Roman"/>
          <w:b/>
          <w:bCs/>
          <w:highlight w:val="green"/>
        </w:rPr>
        <w:t>seguros</w:t>
      </w:r>
      <w:r w:rsidR="005C6B2F" w:rsidRPr="00182BC8">
        <w:rPr>
          <w:rFonts w:eastAsia="Times New Roman"/>
          <w:highlight w:val="green"/>
        </w:rPr>
        <w:t xml:space="preserve"> </w:t>
      </w:r>
      <w:r w:rsidR="00182BC8" w:rsidRPr="00182BC8">
        <w:rPr>
          <w:rFonts w:eastAsia="Times New Roman"/>
          <w:b/>
          <w:bCs/>
          <w:highlight w:val="green"/>
        </w:rPr>
        <w:t>em geral</w:t>
      </w:r>
      <w:r w:rsidR="00AA7C48" w:rsidRPr="00182BC8">
        <w:rPr>
          <w:rFonts w:eastAsia="Times New Roman"/>
          <w:highlight w:val="green"/>
        </w:rPr>
        <w:t xml:space="preserve">), </w:t>
      </w:r>
      <w:r w:rsidR="00AA7C48" w:rsidRPr="00182BC8">
        <w:rPr>
          <w:rFonts w:eastAsia="Times New Roman"/>
          <w:b/>
          <w:bCs/>
          <w:highlight w:val="green"/>
        </w:rPr>
        <w:t>o crédito rural é encarecido e tal prática é caracterizada como venda casada</w:t>
      </w:r>
      <w:r w:rsidR="00AA7C48" w:rsidRPr="00182BC8">
        <w:rPr>
          <w:rFonts w:eastAsia="Times New Roman"/>
          <w:highlight w:val="green"/>
        </w:rPr>
        <w:t>, o que é proibido pelo Código de Defesa do Consumidor (CDC).</w:t>
      </w:r>
    </w:p>
    <w:p w14:paraId="6C432536" w14:textId="77777777" w:rsidR="00927095" w:rsidRPr="00182BC8" w:rsidRDefault="00927095" w:rsidP="00927095">
      <w:pPr>
        <w:pStyle w:val="Citaodireta"/>
        <w:spacing w:before="0"/>
        <w:rPr>
          <w:sz w:val="24"/>
          <w:highlight w:val="green"/>
        </w:rPr>
      </w:pPr>
      <w:r w:rsidRPr="00182BC8">
        <w:rPr>
          <w:highlight w:val="green"/>
        </w:rPr>
        <w:t xml:space="preserve">Art. 39. É vedado ao fornecedor de produtos ou serviços, dentre outras práticas abusivas:          </w:t>
      </w:r>
    </w:p>
    <w:p w14:paraId="66F77423" w14:textId="77777777" w:rsidR="00927095" w:rsidRPr="00182BC8" w:rsidRDefault="00927095" w:rsidP="00927095">
      <w:pPr>
        <w:pStyle w:val="Citaodireta"/>
        <w:spacing w:before="0"/>
        <w:rPr>
          <w:highlight w:val="green"/>
        </w:rPr>
      </w:pPr>
      <w:r w:rsidRPr="00182BC8">
        <w:rPr>
          <w:highlight w:val="green"/>
        </w:rPr>
        <w:t xml:space="preserve">        I - </w:t>
      </w:r>
      <w:r w:rsidRPr="00182BC8">
        <w:rPr>
          <w:b/>
          <w:bCs/>
          <w:highlight w:val="green"/>
        </w:rPr>
        <w:t>condicionar o fornecimento de produto ou de serviço ao fornecimento de outro produto ou serviço, bem como, sem justa causa, a limites quantitativos;</w:t>
      </w:r>
    </w:p>
    <w:p w14:paraId="3E2F55BB" w14:textId="77777777" w:rsidR="00927095" w:rsidRPr="00182BC8" w:rsidRDefault="00927095" w:rsidP="00927095">
      <w:pPr>
        <w:pStyle w:val="Citaodireta"/>
        <w:spacing w:before="0"/>
        <w:rPr>
          <w:highlight w:val="green"/>
        </w:rPr>
      </w:pPr>
      <w:r w:rsidRPr="00182BC8">
        <w:rPr>
          <w:highlight w:val="green"/>
        </w:rPr>
        <w:t>        II - recusar atendimento às demandas dos consumidores, na exata medida de suas disponibilidades de estoque, e, ainda, de conformidade com os usos e costumes;</w:t>
      </w:r>
    </w:p>
    <w:p w14:paraId="38F8B9CE" w14:textId="77777777" w:rsidR="00927095" w:rsidRPr="00182BC8" w:rsidRDefault="00927095" w:rsidP="00927095">
      <w:pPr>
        <w:pStyle w:val="Citaodireta"/>
        <w:spacing w:before="0"/>
        <w:rPr>
          <w:highlight w:val="green"/>
        </w:rPr>
      </w:pPr>
      <w:r w:rsidRPr="00182BC8">
        <w:rPr>
          <w:highlight w:val="green"/>
        </w:rPr>
        <w:t>        III - enviar ou entregar ao consumidor, sem solicitação prévia, qualquer produto, ou fornecer qualquer serviço;</w:t>
      </w:r>
    </w:p>
    <w:p w14:paraId="38FCE9A1" w14:textId="77777777" w:rsidR="00927095" w:rsidRPr="00182BC8" w:rsidRDefault="00927095" w:rsidP="00927095">
      <w:pPr>
        <w:pStyle w:val="Citaodireta"/>
        <w:spacing w:before="0"/>
        <w:rPr>
          <w:highlight w:val="green"/>
        </w:rPr>
      </w:pPr>
      <w:r w:rsidRPr="00182BC8">
        <w:rPr>
          <w:highlight w:val="green"/>
        </w:rPr>
        <w:lastRenderedPageBreak/>
        <w:t>        IV - prevalecer-se da fraqueza ou ignorância do consumidor, tendo em vista sua idade, saúde, conhecimento ou condição social, para impingir-lhe seus produtos ou serviços [G.N.];</w:t>
      </w:r>
    </w:p>
    <w:p w14:paraId="6DDEC3B1" w14:textId="0DCA4E0D" w:rsidR="00182BC8" w:rsidRPr="00182BC8" w:rsidRDefault="00182BC8" w:rsidP="00182BC8">
      <w:pPr>
        <w:rPr>
          <w:rFonts w:eastAsia="Times New Roman"/>
          <w:highlight w:val="green"/>
        </w:rPr>
      </w:pPr>
      <w:r w:rsidRPr="00182BC8">
        <w:rPr>
          <w:highlight w:val="green"/>
        </w:rPr>
        <w:t xml:space="preserve">Note que </w:t>
      </w:r>
      <w:r w:rsidRPr="00182BC8">
        <w:rPr>
          <w:rFonts w:eastAsia="Times New Roman"/>
          <w:highlight w:val="green"/>
        </w:rPr>
        <w:t xml:space="preserve">inexiste nos autos a apólice </w:t>
      </w:r>
      <w:r w:rsidRPr="002A2CFC">
        <w:rPr>
          <w:rFonts w:eastAsia="Times New Roman"/>
          <w:highlight w:val="yellow"/>
        </w:rPr>
        <w:t xml:space="preserve">do(s) seguro(s) </w:t>
      </w:r>
      <w:r w:rsidRPr="00182BC8">
        <w:rPr>
          <w:rFonts w:eastAsia="Times New Roman"/>
          <w:highlight w:val="green"/>
        </w:rPr>
        <w:t xml:space="preserve">ou qualquer indicação sobre a seguradora e o valor a ser descontado, tampouco a quantidade de parcelas, sendo que consta somente na planilha de débito os valores cobrados </w:t>
      </w:r>
      <w:r w:rsidRPr="002A2CFC">
        <w:rPr>
          <w:rFonts w:eastAsia="Times New Roman"/>
          <w:highlight w:val="yellow"/>
        </w:rPr>
        <w:t>pelo(s) seguro(s).</w:t>
      </w:r>
    </w:p>
    <w:p w14:paraId="16064A79" w14:textId="77777777" w:rsidR="00182BC8" w:rsidRPr="00182BC8" w:rsidRDefault="00182BC8" w:rsidP="00182BC8">
      <w:pPr>
        <w:rPr>
          <w:rFonts w:eastAsia="Times New Roman"/>
          <w:highlight w:val="green"/>
        </w:rPr>
      </w:pPr>
      <w:r w:rsidRPr="00182BC8">
        <w:rPr>
          <w:rFonts w:eastAsia="Times New Roman"/>
          <w:highlight w:val="green"/>
        </w:rPr>
        <w:t>Tal fato afronta a tese firmada pelo STJ (REsp n. 1.639.320 e Tema 972), segundo a qual "</w:t>
      </w:r>
      <w:r w:rsidRPr="00182BC8">
        <w:rPr>
          <w:rFonts w:eastAsia="Times New Roman"/>
          <w:i/>
          <w:iCs/>
          <w:highlight w:val="green"/>
        </w:rPr>
        <w:t>Nos contratos bancários em geral, o consumidor não pode ser compelido a contratar seguro com a instituição financeira ou com seguradora por ela indicada</w:t>
      </w:r>
      <w:r w:rsidRPr="00182BC8">
        <w:rPr>
          <w:rFonts w:eastAsia="Times New Roman"/>
          <w:highlight w:val="green"/>
        </w:rPr>
        <w:t>". Vejamos ainda jurisprudência a respeito:</w:t>
      </w:r>
    </w:p>
    <w:p w14:paraId="0A63D076" w14:textId="77777777" w:rsidR="00182BC8" w:rsidRDefault="00182BC8" w:rsidP="00182BC8">
      <w:pPr>
        <w:pStyle w:val="Citaodireta"/>
        <w:rPr>
          <w:rFonts w:eastAsia="Times New Roman"/>
        </w:rPr>
      </w:pPr>
      <w:r w:rsidRPr="00182BC8">
        <w:rPr>
          <w:rFonts w:eastAsia="Times New Roman"/>
          <w:highlight w:val="green"/>
        </w:rPr>
        <w:t xml:space="preserve">APELAÇÃO CÍVEL. AÇÃO DE REVISÃO DE CONTRATO. CÉDULA DE CRÉDITO BANCÁRIO. TARIFAS DE AVALIAÇÃO E DE REGISTRO DO CONTRATO. ABUSIVIDADE. EXEGESE DO ART. 51, INCISO XII, DO CDC. ENCARGOS AFASTADOS. TARIFAS DE SEGURO E SEGURO AUTO. </w:t>
      </w:r>
      <w:r w:rsidRPr="00182BC8">
        <w:rPr>
          <w:rFonts w:eastAsia="Times New Roman"/>
          <w:b/>
          <w:bCs/>
          <w:highlight w:val="green"/>
        </w:rPr>
        <w:t>VENDA CASADA. APLICAÇÃO DO ART. 39, INCISO I, DO CÓDIGO DE DEFESA DO CONSUMIDOR. INEXISTÊNCIA DE APÓLICE DE SEGURO OU TERMO DE ADESÃO LIVREMENTE ASSINADO PELO CONSUMIDOR. COBRANÇA AFASTADA.</w:t>
      </w:r>
      <w:r w:rsidRPr="00182BC8">
        <w:rPr>
          <w:rFonts w:eastAsia="Times New Roman"/>
          <w:highlight w:val="green"/>
        </w:rPr>
        <w:t xml:space="preserve"> TARIFA DE CADASTRO. AUSÊNCIA DE CUMULAÇÃO DA COBRANÇA COM OUTROS ENCARGOS. POSSIBILIDADE DA COBRANÇA. REPETIÇÃO DE INDÉBITO NA FORMA SIMPLES. AUSÊNCIA DE MÁ-FÉ. RECURSO CONHECIDO E PARCIALMENTE PROVIDO. (TJSC, Apelação Cível n. 2013.028128-4, de </w:t>
      </w:r>
      <w:proofErr w:type="spellStart"/>
      <w:r w:rsidRPr="00182BC8">
        <w:rPr>
          <w:rFonts w:eastAsia="Times New Roman"/>
          <w:highlight w:val="green"/>
        </w:rPr>
        <w:t>Mondaí</w:t>
      </w:r>
      <w:proofErr w:type="spellEnd"/>
      <w:r w:rsidRPr="00182BC8">
        <w:rPr>
          <w:rFonts w:eastAsia="Times New Roman"/>
          <w:highlight w:val="green"/>
        </w:rPr>
        <w:t>, rel. Des. Paulo Ricardo Bruschi, Câmara Especial Regional de Chapecó, j. 28-04-2014).</w:t>
      </w:r>
    </w:p>
    <w:p w14:paraId="62B63C1C" w14:textId="27B1A4CC" w:rsidR="00E97F95" w:rsidRDefault="00E97F95" w:rsidP="00E97F95">
      <w:pPr>
        <w:rPr>
          <w:rFonts w:eastAsia="Times New Roman"/>
          <w:u w:val="single"/>
        </w:rPr>
      </w:pPr>
      <w:r>
        <w:rPr>
          <w:rFonts w:eastAsia="Times New Roman"/>
          <w:u w:val="single"/>
        </w:rPr>
        <w:t>Tarifa</w:t>
      </w:r>
    </w:p>
    <w:p w14:paraId="46E2B7AF" w14:textId="34B38207" w:rsidR="00AA7C48" w:rsidRDefault="00AA7C48" w:rsidP="00AA7C48">
      <w:pPr>
        <w:rPr>
          <w:rFonts w:eastAsia="Times New Roman"/>
        </w:rPr>
      </w:pPr>
      <w:r>
        <w:rPr>
          <w:rFonts w:eastAsia="Times New Roman"/>
        </w:rPr>
        <w:t>Ademais, no contrato e na ficha gráfica da operação</w:t>
      </w:r>
      <w:r w:rsidR="006F04E9">
        <w:rPr>
          <w:rFonts w:eastAsia="Times New Roman"/>
        </w:rPr>
        <w:t xml:space="preserve"> em análise</w:t>
      </w:r>
      <w:r>
        <w:rPr>
          <w:rFonts w:eastAsia="Times New Roman"/>
        </w:rPr>
        <w:t xml:space="preserve">, foi identificada a cobrança de R$ </w:t>
      </w:r>
      <w:proofErr w:type="spellStart"/>
      <w:r w:rsidR="0096469B">
        <w:rPr>
          <w:rFonts w:eastAsia="Times New Roman"/>
        </w:rPr>
        <w:t>xxxx</w:t>
      </w:r>
      <w:proofErr w:type="spellEnd"/>
      <w:r w:rsidR="0096469B">
        <w:rPr>
          <w:rFonts w:eastAsia="Times New Roman"/>
        </w:rPr>
        <w:t xml:space="preserve"> </w:t>
      </w:r>
      <w:r>
        <w:rPr>
          <w:rFonts w:eastAsia="Times New Roman"/>
        </w:rPr>
        <w:t>referentes à Tarifa de Estudo de Operações. Vejamos: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837"/>
      </w:tblGrid>
      <w:tr w:rsidR="001021D5" w14:paraId="0C73BF28" w14:textId="77777777" w:rsidTr="001021D5">
        <w:trPr>
          <w:trHeight w:val="482"/>
        </w:trPr>
        <w:tc>
          <w:tcPr>
            <w:tcW w:w="6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9AFA2" w14:textId="77777777" w:rsidR="001021D5" w:rsidRDefault="001021D5" w:rsidP="002C7A8E">
            <w:pPr>
              <w:spacing w:before="120" w:after="120" w:line="240" w:lineRule="auto"/>
              <w:ind w:firstLine="0"/>
              <w:jc w:val="left"/>
              <w:rPr>
                <w:sz w:val="20"/>
              </w:rPr>
            </w:pPr>
          </w:p>
        </w:tc>
      </w:tr>
    </w:tbl>
    <w:p w14:paraId="4F792B2F" w14:textId="1B289A19" w:rsidR="001021D5" w:rsidRDefault="001021D5" w:rsidP="001021D5">
      <w:pPr>
        <w:spacing w:before="0" w:line="240" w:lineRule="auto"/>
        <w:ind w:firstLine="0"/>
        <w:rPr>
          <w:rFonts w:eastAsia="Times New Roman" w:cs="Times New Roman"/>
          <w:sz w:val="22"/>
          <w:szCs w:val="22"/>
          <w:lang w:eastAsia="pt-BR"/>
        </w:rPr>
      </w:pPr>
      <w:r>
        <w:rPr>
          <w:rFonts w:eastAsia="Times New Roman" w:cs="Times New Roman"/>
          <w:sz w:val="22"/>
          <w:szCs w:val="22"/>
          <w:lang w:eastAsia="pt-BR"/>
        </w:rPr>
        <w:t>Fonte: Contrato</w:t>
      </w:r>
      <w:r w:rsidR="006A0483">
        <w:rPr>
          <w:rFonts w:eastAsia="Times New Roman" w:cs="Times New Roman"/>
          <w:sz w:val="22"/>
          <w:szCs w:val="22"/>
          <w:lang w:eastAsia="pt-BR"/>
        </w:rPr>
        <w:t xml:space="preserve"> nº</w:t>
      </w:r>
      <w:r>
        <w:rPr>
          <w:rFonts w:eastAsia="Times New Roman" w:cs="Times New Roman"/>
          <w:sz w:val="22"/>
          <w:szCs w:val="22"/>
          <w:lang w:eastAsia="pt-BR"/>
        </w:rPr>
        <w:t xml:space="preserve"> </w:t>
      </w:r>
      <w:r>
        <w:t>xyz123</w:t>
      </w:r>
      <w:r>
        <w:rPr>
          <w:rFonts w:eastAsia="Times New Roman" w:cs="Times New Roman"/>
          <w:sz w:val="22"/>
          <w:szCs w:val="22"/>
          <w:lang w:eastAsia="pt-BR"/>
        </w:rPr>
        <w:t>.</w:t>
      </w:r>
    </w:p>
    <w:p w14:paraId="6B1CE36D" w14:textId="21847081" w:rsidR="00AA7C48" w:rsidRDefault="00AA7C48" w:rsidP="00AA7C48">
      <w:pPr>
        <w:rPr>
          <w:rFonts w:eastAsia="Times New Roman"/>
        </w:rPr>
      </w:pPr>
      <w:r>
        <w:rPr>
          <w:rFonts w:eastAsia="Times New Roman"/>
        </w:rPr>
        <w:t xml:space="preserve">Entretanto, </w:t>
      </w:r>
      <w:r w:rsidRPr="0096469B">
        <w:rPr>
          <w:rFonts w:eastAsia="Times New Roman"/>
          <w:highlight w:val="yellow"/>
        </w:rPr>
        <w:t>segundo o produtor</w:t>
      </w:r>
      <w:r>
        <w:rPr>
          <w:rFonts w:eastAsia="Times New Roman"/>
        </w:rPr>
        <w:t>, el</w:t>
      </w:r>
      <w:r w:rsidRPr="0096469B">
        <w:rPr>
          <w:rFonts w:eastAsia="Times New Roman"/>
          <w:highlight w:val="yellow"/>
        </w:rPr>
        <w:t>e</w:t>
      </w:r>
      <w:r>
        <w:rPr>
          <w:rFonts w:eastAsia="Times New Roman"/>
        </w:rPr>
        <w:t xml:space="preserve"> nunca recebeu nenhum estudo sobre a operação solicitada. Além do mais, caso a referida tarifa seja uma análise referente ao crédito disponibilizado </w:t>
      </w:r>
      <w:r w:rsidRPr="001B54E6">
        <w:rPr>
          <w:rFonts w:eastAsia="Times New Roman"/>
          <w:highlight w:val="yellow"/>
        </w:rPr>
        <w:t>ao produtor</w:t>
      </w:r>
      <w:r>
        <w:rPr>
          <w:rFonts w:eastAsia="Times New Roman"/>
        </w:rPr>
        <w:t xml:space="preserve">, entendemos que se trata de um </w:t>
      </w:r>
      <w:r w:rsidRPr="008F4ABF">
        <w:rPr>
          <w:rFonts w:eastAsia="Times New Roman"/>
          <w:b/>
          <w:bCs/>
          <w:u w:val="single"/>
        </w:rPr>
        <w:t>custo interno da instituição financeira</w:t>
      </w:r>
      <w:r>
        <w:rPr>
          <w:rFonts w:eastAsia="Times New Roman"/>
        </w:rPr>
        <w:t xml:space="preserve"> que não pode ser repassado</w:t>
      </w:r>
      <w:r w:rsidR="005343DA">
        <w:rPr>
          <w:rFonts w:eastAsia="Times New Roman"/>
        </w:rPr>
        <w:t xml:space="preserve"> ao contratante – nesse caso, </w:t>
      </w:r>
      <w:r w:rsidRPr="001B54E6">
        <w:rPr>
          <w:rFonts w:eastAsia="Times New Roman"/>
          <w:highlight w:val="yellow"/>
        </w:rPr>
        <w:t>ao produtor</w:t>
      </w:r>
      <w:r>
        <w:rPr>
          <w:rFonts w:eastAsia="Times New Roman"/>
        </w:rPr>
        <w:t xml:space="preserve">. </w:t>
      </w:r>
    </w:p>
    <w:p w14:paraId="4E4DCAB4" w14:textId="77777777" w:rsidR="00AA7C48" w:rsidRPr="003C0A8D" w:rsidRDefault="00AA7C48" w:rsidP="00AA7C48">
      <w:pPr>
        <w:rPr>
          <w:rFonts w:eastAsia="Times New Roman" w:cs="Times New Roman"/>
          <w:sz w:val="22"/>
          <w:szCs w:val="22"/>
        </w:rPr>
      </w:pPr>
      <w:r w:rsidRPr="003C0A8D">
        <w:rPr>
          <w:rFonts w:eastAsia="Times New Roman" w:cs="Times New Roman"/>
          <w:sz w:val="22"/>
          <w:szCs w:val="22"/>
        </w:rPr>
        <w:t xml:space="preserve">Segundo o Banco Central do Brasil (BACEN), em sua Resolução n°3954 de 24/02/2011: </w:t>
      </w:r>
    </w:p>
    <w:p w14:paraId="196629D8" w14:textId="77777777" w:rsidR="00AA7C48" w:rsidRPr="003C0A8D" w:rsidRDefault="00AA7C48" w:rsidP="00AA7C48">
      <w:pPr>
        <w:pBdr>
          <w:bottom w:val="single" w:sz="4" w:space="1" w:color="auto"/>
        </w:pBdr>
        <w:spacing w:line="240" w:lineRule="auto"/>
        <w:ind w:left="2268" w:firstLine="0"/>
        <w:rPr>
          <w:rFonts w:eastAsia="Times New Roman" w:cs="Times New Roman"/>
          <w:color w:val="002060"/>
          <w:sz w:val="22"/>
          <w:szCs w:val="22"/>
        </w:rPr>
      </w:pPr>
      <w:r w:rsidRPr="003C0A8D">
        <w:rPr>
          <w:rFonts w:eastAsia="Times New Roman" w:cs="Times New Roman"/>
          <w:color w:val="002060"/>
          <w:sz w:val="22"/>
          <w:szCs w:val="22"/>
        </w:rPr>
        <w:lastRenderedPageBreak/>
        <w:t xml:space="preserve">Art. 17. </w:t>
      </w:r>
      <w:r w:rsidRPr="00434A81">
        <w:rPr>
          <w:rFonts w:eastAsia="Times New Roman" w:cs="Times New Roman"/>
          <w:b/>
          <w:bCs/>
          <w:color w:val="002060"/>
          <w:sz w:val="22"/>
          <w:szCs w:val="22"/>
        </w:rPr>
        <w:t>É vedada a cobrança</w:t>
      </w:r>
      <w:r w:rsidRPr="003C0A8D">
        <w:rPr>
          <w:rFonts w:eastAsia="Times New Roman" w:cs="Times New Roman"/>
          <w:color w:val="002060"/>
          <w:sz w:val="22"/>
          <w:szCs w:val="22"/>
        </w:rPr>
        <w:t xml:space="preserve">, pela instituição contratante, de clientes atendidos pelo correspondente, de tarifa, comissão, valores referentes a ressarcimento de serviços prestados por terceiros ou qualquer outra forma de remuneração, </w:t>
      </w:r>
      <w:r w:rsidRPr="00434A81">
        <w:rPr>
          <w:rFonts w:eastAsia="Times New Roman" w:cs="Times New Roman"/>
          <w:b/>
          <w:bCs/>
          <w:color w:val="002060"/>
          <w:sz w:val="22"/>
          <w:szCs w:val="22"/>
        </w:rPr>
        <w:t>pelo fornecimento de produtos ou serviços de responsabilidade da referida instituição</w:t>
      </w:r>
      <w:r w:rsidRPr="003C0A8D">
        <w:rPr>
          <w:rFonts w:eastAsia="Times New Roman" w:cs="Times New Roman"/>
          <w:color w:val="002060"/>
          <w:sz w:val="22"/>
          <w:szCs w:val="22"/>
        </w:rPr>
        <w:t xml:space="preserve">, ressalvadas as tarifas constantes da tabela adotada pela instituição contratante, de acordo com a Resolução No- 3.518, de 6 de dezembro de 2007, e com a Resolução No- 3.919, de 25 de </w:t>
      </w:r>
      <w:r>
        <w:rPr>
          <w:rFonts w:eastAsia="Times New Roman" w:cs="Times New Roman"/>
          <w:color w:val="002060"/>
          <w:sz w:val="22"/>
          <w:szCs w:val="22"/>
        </w:rPr>
        <w:t>novembro de 2010. [G.N.</w:t>
      </w:r>
      <w:r w:rsidRPr="003C0A8D">
        <w:rPr>
          <w:rFonts w:eastAsia="Times New Roman" w:cs="Times New Roman"/>
          <w:color w:val="002060"/>
          <w:sz w:val="22"/>
          <w:szCs w:val="22"/>
        </w:rPr>
        <w:t xml:space="preserve">] </w:t>
      </w:r>
    </w:p>
    <w:p w14:paraId="7F5FFDC2" w14:textId="77777777" w:rsidR="00AA7C48" w:rsidRPr="00BF7D05" w:rsidRDefault="00AA7C48" w:rsidP="00AA7C48">
      <w:pPr>
        <w:rPr>
          <w:rFonts w:eastAsia="Times New Roman"/>
        </w:rPr>
      </w:pPr>
      <w:r w:rsidRPr="00E562BB">
        <w:rPr>
          <w:rFonts w:eastAsia="Times New Roman"/>
        </w:rPr>
        <w:t>Nesse sentido, procedemos o estorno do</w:t>
      </w:r>
      <w:r>
        <w:rPr>
          <w:rFonts w:eastAsia="Times New Roman"/>
        </w:rPr>
        <w:t>s</w:t>
      </w:r>
      <w:r w:rsidRPr="00E562BB">
        <w:rPr>
          <w:rFonts w:eastAsia="Times New Roman"/>
        </w:rPr>
        <w:t xml:space="preserve"> valor</w:t>
      </w:r>
      <w:r>
        <w:rPr>
          <w:rFonts w:eastAsia="Times New Roman"/>
        </w:rPr>
        <w:t>es</w:t>
      </w:r>
      <w:r w:rsidRPr="00E562BB">
        <w:rPr>
          <w:rFonts w:eastAsia="Times New Roman"/>
        </w:rPr>
        <w:t xml:space="preserve"> cobrado</w:t>
      </w:r>
      <w:r>
        <w:rPr>
          <w:rFonts w:eastAsia="Times New Roman"/>
        </w:rPr>
        <w:t>s</w:t>
      </w:r>
      <w:r w:rsidRPr="00E562BB">
        <w:rPr>
          <w:rFonts w:eastAsia="Times New Roman"/>
        </w:rPr>
        <w:t>.</w:t>
      </w:r>
    </w:p>
    <w:p w14:paraId="7A149C47" w14:textId="77777777" w:rsidR="00D236BB" w:rsidRDefault="00D236BB" w:rsidP="00D236BB">
      <w:pPr>
        <w:pStyle w:val="Ttulo2"/>
        <w:rPr>
          <w:rFonts w:eastAsia="Times New Roman"/>
        </w:rPr>
      </w:pPr>
      <w:bookmarkStart w:id="18" w:name="_Toc76632721"/>
      <w:bookmarkStart w:id="19" w:name="_Toc77321468"/>
      <w:bookmarkStart w:id="20" w:name="_Toc102054748"/>
      <w:bookmarkStart w:id="21" w:name="_Hlk26861465"/>
      <w:bookmarkEnd w:id="15"/>
      <w:bookmarkEnd w:id="16"/>
      <w:bookmarkEnd w:id="17"/>
      <w:r w:rsidRPr="00550C0F">
        <w:rPr>
          <w:rFonts w:eastAsia="Times New Roman"/>
        </w:rPr>
        <w:t>Encargos de inadimplemento</w:t>
      </w:r>
      <w:r>
        <w:rPr>
          <w:rFonts w:eastAsia="Times New Roman"/>
        </w:rPr>
        <w:t xml:space="preserve"> - Ilegalidade e Onerosidade excessiva</w:t>
      </w:r>
      <w:bookmarkEnd w:id="18"/>
      <w:bookmarkEnd w:id="19"/>
      <w:bookmarkEnd w:id="20"/>
    </w:p>
    <w:p w14:paraId="03BC5BB0" w14:textId="68252FC4" w:rsidR="00D236BB" w:rsidRDefault="00D236BB" w:rsidP="00D236BB">
      <w:pPr>
        <w:rPr>
          <w:rFonts w:eastAsia="Times New Roman"/>
        </w:rPr>
      </w:pPr>
      <w:r w:rsidRPr="00752DD0">
        <w:rPr>
          <w:rFonts w:eastAsia="Times New Roman"/>
        </w:rPr>
        <w:t>No</w:t>
      </w:r>
      <w:r>
        <w:rPr>
          <w:rFonts w:eastAsia="Times New Roman"/>
        </w:rPr>
        <w:t xml:space="preserve"> contrato de crédito rural nº </w:t>
      </w:r>
      <w:r w:rsidR="00520C39">
        <w:t>xyz123</w:t>
      </w:r>
      <w:r>
        <w:rPr>
          <w:rFonts w:eastAsia="Times New Roman"/>
        </w:rPr>
        <w:t xml:space="preserve">, em análise neste Parecer, </w:t>
      </w:r>
      <w:r w:rsidRPr="0096469B">
        <w:rPr>
          <w:rFonts w:eastAsia="Times New Roman"/>
          <w:highlight w:val="yellow"/>
        </w:rPr>
        <w:t xml:space="preserve">o agricultor </w:t>
      </w:r>
      <w:r>
        <w:rPr>
          <w:rFonts w:eastAsia="Times New Roman"/>
        </w:rPr>
        <w:t>esteve sujeit</w:t>
      </w:r>
      <w:r w:rsidRPr="0096469B">
        <w:rPr>
          <w:rFonts w:eastAsia="Times New Roman"/>
          <w:highlight w:val="yellow"/>
        </w:rPr>
        <w:t>o</w:t>
      </w:r>
      <w:r>
        <w:rPr>
          <w:rFonts w:eastAsia="Times New Roman"/>
        </w:rPr>
        <w:t xml:space="preserve"> à aplicação de Comissão de Permanência caso ficasse inadimplente. Vejamos: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837"/>
      </w:tblGrid>
      <w:tr w:rsidR="00164A9A" w14:paraId="79BE9B65" w14:textId="77777777" w:rsidTr="00027B4E">
        <w:trPr>
          <w:trHeight w:val="482"/>
        </w:trPr>
        <w:tc>
          <w:tcPr>
            <w:tcW w:w="6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4EB2C" w14:textId="77777777" w:rsidR="00164A9A" w:rsidRDefault="00164A9A" w:rsidP="00027B4E">
            <w:pPr>
              <w:spacing w:before="0" w:after="0" w:line="240" w:lineRule="auto"/>
              <w:ind w:firstLine="0"/>
              <w:jc w:val="left"/>
              <w:rPr>
                <w:sz w:val="20"/>
              </w:rPr>
            </w:pPr>
          </w:p>
        </w:tc>
      </w:tr>
    </w:tbl>
    <w:p w14:paraId="205C7C89" w14:textId="5932D1DF" w:rsidR="00164A9A" w:rsidRDefault="00164A9A" w:rsidP="00164A9A">
      <w:pPr>
        <w:spacing w:before="0" w:line="240" w:lineRule="auto"/>
        <w:ind w:firstLine="0"/>
        <w:rPr>
          <w:rFonts w:eastAsia="Times New Roman" w:cs="Times New Roman"/>
          <w:sz w:val="22"/>
          <w:szCs w:val="22"/>
          <w:lang w:eastAsia="pt-BR"/>
        </w:rPr>
      </w:pPr>
      <w:r>
        <w:rPr>
          <w:rFonts w:eastAsia="Times New Roman" w:cs="Times New Roman"/>
          <w:sz w:val="22"/>
          <w:szCs w:val="22"/>
          <w:lang w:eastAsia="pt-BR"/>
        </w:rPr>
        <w:t>Fonte: Contrato</w:t>
      </w:r>
      <w:r w:rsidR="006A0483">
        <w:rPr>
          <w:rFonts w:eastAsia="Times New Roman" w:cs="Times New Roman"/>
          <w:sz w:val="22"/>
          <w:szCs w:val="22"/>
          <w:lang w:eastAsia="pt-BR"/>
        </w:rPr>
        <w:t xml:space="preserve"> nº</w:t>
      </w:r>
      <w:r>
        <w:rPr>
          <w:rFonts w:eastAsia="Times New Roman" w:cs="Times New Roman"/>
          <w:sz w:val="22"/>
          <w:szCs w:val="22"/>
          <w:lang w:eastAsia="pt-BR"/>
        </w:rPr>
        <w:t xml:space="preserve"> </w:t>
      </w:r>
      <w:r>
        <w:t>xyz123</w:t>
      </w:r>
      <w:r>
        <w:rPr>
          <w:rFonts w:eastAsia="Times New Roman" w:cs="Times New Roman"/>
          <w:sz w:val="22"/>
          <w:szCs w:val="22"/>
          <w:lang w:eastAsia="pt-BR"/>
        </w:rPr>
        <w:t>.</w:t>
      </w:r>
    </w:p>
    <w:p w14:paraId="65F68463" w14:textId="77777777" w:rsidR="00D236BB" w:rsidRDefault="00D236BB" w:rsidP="00D236BB">
      <w:pPr>
        <w:rPr>
          <w:rFonts w:eastAsia="Times New Roman"/>
        </w:rPr>
      </w:pPr>
      <w:r>
        <w:rPr>
          <w:rFonts w:eastAsia="Times New Roman"/>
          <w:lang w:eastAsia="pt-BR"/>
        </w:rPr>
        <w:t>No entanto,</w:t>
      </w:r>
      <w:r w:rsidRPr="007C2761">
        <w:rPr>
          <w:rFonts w:eastAsia="Times New Roman"/>
          <w:lang w:eastAsia="pt-BR"/>
        </w:rPr>
        <w:t xml:space="preserve"> </w:t>
      </w:r>
      <w:r>
        <w:rPr>
          <w:rFonts w:eastAsia="Times New Roman"/>
          <w:lang w:eastAsia="pt-BR"/>
        </w:rPr>
        <w:t>destaca-se que os encargos moratórios devidos para esse tipo de operação de crédito rural estão apregoados n</w:t>
      </w:r>
      <w:r>
        <w:rPr>
          <w:rFonts w:eastAsia="Times New Roman"/>
        </w:rPr>
        <w:t xml:space="preserve">o </w:t>
      </w:r>
      <w:r w:rsidRPr="00E562BB">
        <w:rPr>
          <w:rFonts w:eastAsia="Times New Roman"/>
        </w:rPr>
        <w:t>Decreto-Lei n. 167/67</w:t>
      </w:r>
      <w:r>
        <w:rPr>
          <w:rFonts w:eastAsia="Times New Roman"/>
        </w:rPr>
        <w:t>, parágrafo único do art. 5º., que</w:t>
      </w:r>
      <w:r w:rsidRPr="00E562BB">
        <w:rPr>
          <w:rFonts w:eastAsia="Times New Roman"/>
        </w:rPr>
        <w:t xml:space="preserve"> dispõe</w:t>
      </w:r>
      <w:r>
        <w:rPr>
          <w:rFonts w:eastAsia="Times New Roman"/>
        </w:rPr>
        <w:t xml:space="preserve"> que</w:t>
      </w:r>
      <w:r w:rsidRPr="00E562BB">
        <w:rPr>
          <w:rFonts w:eastAsia="Times New Roman"/>
        </w:rPr>
        <w:t>:</w:t>
      </w:r>
    </w:p>
    <w:p w14:paraId="3D41B8A2" w14:textId="77777777" w:rsidR="00D236BB" w:rsidRDefault="00D236BB" w:rsidP="005343DA">
      <w:pPr>
        <w:pStyle w:val="Citaodireta"/>
        <w:rPr>
          <w:rFonts w:eastAsia="Times New Roman"/>
          <w:lang w:eastAsia="pt-BR"/>
        </w:rPr>
      </w:pPr>
      <w:r w:rsidRPr="00942B49">
        <w:rPr>
          <w:rFonts w:eastAsia="Times New Roman"/>
          <w:lang w:eastAsia="pt-BR"/>
        </w:rPr>
        <w:t>Em caso de mora, a taxa de juros constante da cédula será elevável de 1% (um por cento) ao ano.</w:t>
      </w:r>
    </w:p>
    <w:p w14:paraId="1D55038F" w14:textId="77777777" w:rsidR="00D236BB" w:rsidRDefault="00D236BB" w:rsidP="00D236BB">
      <w:pPr>
        <w:rPr>
          <w:rFonts w:eastAsia="Times New Roman" w:cs="Times New Roman"/>
          <w:sz w:val="22"/>
          <w:szCs w:val="22"/>
          <w:lang w:eastAsia="pt-BR"/>
        </w:rPr>
      </w:pPr>
      <w:r>
        <w:rPr>
          <w:rFonts w:eastAsia="Times New Roman"/>
          <w:lang w:eastAsia="pt-BR"/>
        </w:rPr>
        <w:t xml:space="preserve">Sabendo da irregularidade, na ficha gráfica da operação, a instituição financeira pratica no período de inadimplemento encargos compostos pelos juros remuneratórios de normalidade, juros de mora de 1,00% a.a. e multa contratual de 2,00%. </w:t>
      </w:r>
      <w:r>
        <w:rPr>
          <w:rFonts w:eastAsia="Times New Roman" w:cs="Times New Roman"/>
          <w:sz w:val="22"/>
          <w:szCs w:val="22"/>
          <w:lang w:eastAsia="pt-BR"/>
        </w:rPr>
        <w:t xml:space="preserve">Vejamos: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837"/>
      </w:tblGrid>
      <w:tr w:rsidR="00164A9A" w14:paraId="6A7BC1A8" w14:textId="77777777" w:rsidTr="00027B4E">
        <w:trPr>
          <w:trHeight w:val="482"/>
        </w:trPr>
        <w:tc>
          <w:tcPr>
            <w:tcW w:w="6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1DB6D" w14:textId="77777777" w:rsidR="00164A9A" w:rsidRDefault="00164A9A" w:rsidP="00027B4E">
            <w:pPr>
              <w:spacing w:before="0" w:after="0" w:line="240" w:lineRule="auto"/>
              <w:ind w:firstLine="0"/>
              <w:jc w:val="left"/>
              <w:rPr>
                <w:sz w:val="20"/>
              </w:rPr>
            </w:pPr>
          </w:p>
        </w:tc>
      </w:tr>
    </w:tbl>
    <w:p w14:paraId="28C13ACD" w14:textId="025B518B" w:rsidR="00164A9A" w:rsidRDefault="00164A9A" w:rsidP="00164A9A">
      <w:pPr>
        <w:spacing w:before="0" w:line="240" w:lineRule="auto"/>
        <w:ind w:firstLine="0"/>
        <w:rPr>
          <w:rFonts w:eastAsia="Times New Roman" w:cs="Times New Roman"/>
          <w:sz w:val="22"/>
          <w:szCs w:val="22"/>
          <w:lang w:eastAsia="pt-BR"/>
        </w:rPr>
      </w:pPr>
      <w:r>
        <w:rPr>
          <w:rFonts w:eastAsia="Times New Roman" w:cs="Times New Roman"/>
          <w:sz w:val="22"/>
          <w:szCs w:val="22"/>
          <w:lang w:eastAsia="pt-BR"/>
        </w:rPr>
        <w:t xml:space="preserve">Fonte: </w:t>
      </w:r>
      <w:r w:rsidR="006A0483">
        <w:rPr>
          <w:rFonts w:eastAsia="Times New Roman" w:cs="Times New Roman"/>
          <w:sz w:val="22"/>
          <w:szCs w:val="22"/>
          <w:lang w:eastAsia="pt-BR"/>
        </w:rPr>
        <w:t>Ficha Gráfica nº</w:t>
      </w:r>
      <w:r>
        <w:rPr>
          <w:rFonts w:eastAsia="Times New Roman" w:cs="Times New Roman"/>
          <w:sz w:val="22"/>
          <w:szCs w:val="22"/>
          <w:lang w:eastAsia="pt-BR"/>
        </w:rPr>
        <w:t xml:space="preserve"> </w:t>
      </w:r>
      <w:r>
        <w:t>xyz123</w:t>
      </w:r>
      <w:r>
        <w:rPr>
          <w:rFonts w:eastAsia="Times New Roman" w:cs="Times New Roman"/>
          <w:sz w:val="22"/>
          <w:szCs w:val="22"/>
          <w:lang w:eastAsia="pt-BR"/>
        </w:rPr>
        <w:t>.</w:t>
      </w:r>
    </w:p>
    <w:p w14:paraId="33ED8377" w14:textId="5DE7224C" w:rsidR="00817807" w:rsidRDefault="00817807" w:rsidP="00817807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No </w:t>
      </w:r>
      <w:r w:rsidRPr="00326A2D">
        <w:rPr>
          <w:rFonts w:eastAsia="Times New Roman"/>
          <w:lang w:eastAsia="pt-BR"/>
        </w:rPr>
        <w:t>REsp 1431572/SC</w:t>
      </w:r>
      <w:r w:rsidR="00DE394C">
        <w:rPr>
          <w:rFonts w:eastAsia="Times New Roman"/>
          <w:lang w:eastAsia="pt-BR"/>
        </w:rPr>
        <w:t xml:space="preserve"> (</w:t>
      </w:r>
      <w:r w:rsidRPr="00326A2D">
        <w:rPr>
          <w:rFonts w:eastAsia="Times New Roman"/>
          <w:lang w:eastAsia="pt-BR"/>
        </w:rPr>
        <w:t xml:space="preserve">Rel. Ministro Ricardo Villas Bôas </w:t>
      </w:r>
      <w:proofErr w:type="spellStart"/>
      <w:r w:rsidRPr="00326A2D">
        <w:rPr>
          <w:rFonts w:eastAsia="Times New Roman"/>
          <w:lang w:eastAsia="pt-BR"/>
        </w:rPr>
        <w:t>Cueva</w:t>
      </w:r>
      <w:proofErr w:type="spellEnd"/>
      <w:r w:rsidRPr="00326A2D">
        <w:rPr>
          <w:rFonts w:eastAsia="Times New Roman"/>
          <w:lang w:eastAsia="pt-BR"/>
        </w:rPr>
        <w:t>,</w:t>
      </w:r>
      <w:r>
        <w:rPr>
          <w:rFonts w:eastAsia="Times New Roman"/>
          <w:lang w:eastAsia="pt-BR"/>
        </w:rPr>
        <w:t xml:space="preserve"> </w:t>
      </w:r>
      <w:r w:rsidR="00DE394C" w:rsidRPr="00326A2D">
        <w:rPr>
          <w:rFonts w:eastAsia="Times New Roman"/>
          <w:lang w:eastAsia="pt-BR"/>
        </w:rPr>
        <w:t>Terceira Turma</w:t>
      </w:r>
      <w:r w:rsidRPr="00326A2D">
        <w:rPr>
          <w:rFonts w:eastAsia="Times New Roman"/>
          <w:lang w:eastAsia="pt-BR"/>
        </w:rPr>
        <w:t xml:space="preserve">, julgado em 07/06/2016, </w:t>
      </w:r>
      <w:proofErr w:type="spellStart"/>
      <w:r w:rsidRPr="00326A2D">
        <w:rPr>
          <w:rFonts w:eastAsia="Times New Roman"/>
          <w:lang w:eastAsia="pt-BR"/>
        </w:rPr>
        <w:t>DJe</w:t>
      </w:r>
      <w:proofErr w:type="spellEnd"/>
      <w:r w:rsidRPr="00326A2D">
        <w:rPr>
          <w:rFonts w:eastAsia="Times New Roman"/>
          <w:lang w:eastAsia="pt-BR"/>
        </w:rPr>
        <w:t xml:space="preserve"> 20/06/2016)</w:t>
      </w:r>
      <w:r>
        <w:rPr>
          <w:rFonts w:eastAsia="Times New Roman"/>
          <w:lang w:eastAsia="pt-BR"/>
        </w:rPr>
        <w:t>, destaca</w:t>
      </w:r>
      <w:r w:rsidR="00DE394C">
        <w:rPr>
          <w:rFonts w:eastAsia="Times New Roman"/>
          <w:lang w:eastAsia="pt-BR"/>
        </w:rPr>
        <w:t>-se</w:t>
      </w:r>
      <w:r>
        <w:rPr>
          <w:rFonts w:eastAsia="Times New Roman"/>
          <w:lang w:eastAsia="pt-BR"/>
        </w:rPr>
        <w:t xml:space="preserve"> que independente de pactuação</w:t>
      </w:r>
      <w:r w:rsidR="00DE394C">
        <w:rPr>
          <w:rFonts w:eastAsia="Times New Roman"/>
          <w:lang w:eastAsia="pt-BR"/>
        </w:rPr>
        <w:t>,</w:t>
      </w:r>
      <w:r>
        <w:rPr>
          <w:rFonts w:eastAsia="Times New Roman"/>
          <w:lang w:eastAsia="pt-BR"/>
        </w:rPr>
        <w:t xml:space="preserve"> os juros moratórios são devidos por imposição legal, em caso de atraso no pagamento</w:t>
      </w:r>
      <w:r w:rsidR="00DE394C">
        <w:rPr>
          <w:rFonts w:eastAsia="Times New Roman"/>
          <w:lang w:eastAsia="pt-BR"/>
        </w:rPr>
        <w:t>.</w:t>
      </w:r>
      <w:r>
        <w:rPr>
          <w:rFonts w:eastAsia="Times New Roman"/>
          <w:lang w:eastAsia="pt-BR"/>
        </w:rPr>
        <w:t xml:space="preserve"> </w:t>
      </w:r>
      <w:r w:rsidR="00DE394C">
        <w:rPr>
          <w:rFonts w:eastAsia="Times New Roman"/>
          <w:lang w:eastAsia="pt-BR"/>
        </w:rPr>
        <w:t>J</w:t>
      </w:r>
      <w:r>
        <w:rPr>
          <w:rFonts w:eastAsia="Times New Roman"/>
          <w:lang w:eastAsia="pt-BR"/>
        </w:rPr>
        <w:t>á no que se refere à multa contratual</w:t>
      </w:r>
      <w:r w:rsidR="00DE394C">
        <w:rPr>
          <w:rFonts w:eastAsia="Times New Roman"/>
          <w:lang w:eastAsia="pt-BR"/>
        </w:rPr>
        <w:t xml:space="preserve">, sua cobrança </w:t>
      </w:r>
      <w:r w:rsidR="008D5F8C">
        <w:rPr>
          <w:rFonts w:eastAsia="Times New Roman"/>
          <w:lang w:eastAsia="pt-BR"/>
        </w:rPr>
        <w:t>está sujeita à</w:t>
      </w:r>
      <w:r>
        <w:rPr>
          <w:rFonts w:eastAsia="Times New Roman"/>
          <w:lang w:eastAsia="pt-BR"/>
        </w:rPr>
        <w:t xml:space="preserve"> expressa pactuação, pois se trata de uma cláusula penal</w:t>
      </w:r>
      <w:r w:rsidR="00DE394C">
        <w:rPr>
          <w:rFonts w:eastAsia="Times New Roman"/>
          <w:lang w:eastAsia="pt-BR"/>
        </w:rPr>
        <w:t xml:space="preserve"> </w:t>
      </w:r>
      <w:r w:rsidR="008D5F8C">
        <w:rPr>
          <w:rFonts w:eastAsia="Times New Roman"/>
          <w:lang w:eastAsia="pt-BR"/>
        </w:rPr>
        <w:t xml:space="preserve">dependente da </w:t>
      </w:r>
      <w:r>
        <w:rPr>
          <w:rFonts w:eastAsia="Times New Roman"/>
          <w:lang w:eastAsia="pt-BR"/>
        </w:rPr>
        <w:t>manifestação de vontade entre as partes.</w:t>
      </w:r>
    </w:p>
    <w:p w14:paraId="39D94073" w14:textId="77777777" w:rsidR="00817807" w:rsidRPr="00714CB3" w:rsidRDefault="00817807" w:rsidP="00817807">
      <w:pPr>
        <w:pStyle w:val="Citaodireta"/>
        <w:spacing w:after="0"/>
        <w:rPr>
          <w:rFonts w:eastAsia="Times New Roman"/>
          <w:lang w:eastAsia="pt-BR"/>
        </w:rPr>
      </w:pPr>
      <w:r w:rsidRPr="00714CB3">
        <w:rPr>
          <w:rFonts w:eastAsia="Times New Roman"/>
          <w:lang w:eastAsia="pt-BR"/>
        </w:rPr>
        <w:t xml:space="preserve">RECURSO ESPECIAL. PROCESSUAL CIVIL E CIVIL. CONTRATOS BANCÁRIOS. AÇÃO REVISIONAL. JUNTADA DO CONTRATO. AUSÊNCIA. ART. </w:t>
      </w:r>
      <w:r w:rsidRPr="00714CB3">
        <w:rPr>
          <w:rFonts w:eastAsia="Times New Roman"/>
          <w:lang w:eastAsia="pt-BR"/>
        </w:rPr>
        <w:lastRenderedPageBreak/>
        <w:t>359/CPC/1973. EFEITOS. PRESUNÇÃO DE VERACIDADE. JUROS DE MORA. COBRANÇA. POSSIBILIDADE. MULTA MORATÓRIA. PACTUAÇÃO. NECESSIDADE.</w:t>
      </w:r>
    </w:p>
    <w:p w14:paraId="5E8A5BE9" w14:textId="77777777" w:rsidR="00817807" w:rsidRPr="00714CB3" w:rsidRDefault="00817807" w:rsidP="00817807">
      <w:pPr>
        <w:pStyle w:val="Citaodireta"/>
        <w:spacing w:after="0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[...] </w:t>
      </w:r>
      <w:r w:rsidRPr="00714CB3">
        <w:rPr>
          <w:rFonts w:eastAsia="Times New Roman"/>
          <w:lang w:eastAsia="pt-BR"/>
        </w:rPr>
        <w:t>2. Necessidade de aferir se a incidência dos consectários da mora depende de expressa pactuação entre as partes ou se decorre da própria lei e/ou da natureza do contrato.</w:t>
      </w:r>
    </w:p>
    <w:p w14:paraId="7CF4D534" w14:textId="77777777" w:rsidR="00817807" w:rsidRPr="00714CB3" w:rsidRDefault="00817807" w:rsidP="00817807">
      <w:pPr>
        <w:pStyle w:val="Citaodireta"/>
        <w:spacing w:after="0"/>
        <w:rPr>
          <w:rFonts w:eastAsia="Times New Roman"/>
          <w:lang w:eastAsia="pt-BR"/>
        </w:rPr>
      </w:pPr>
      <w:r w:rsidRPr="00714CB3">
        <w:rPr>
          <w:rFonts w:eastAsia="Times New Roman"/>
          <w:lang w:eastAsia="pt-BR"/>
        </w:rPr>
        <w:t xml:space="preserve">3. </w:t>
      </w:r>
      <w:r w:rsidRPr="001C25BF">
        <w:rPr>
          <w:rFonts w:eastAsia="Times New Roman"/>
          <w:b/>
          <w:bCs/>
          <w:lang w:eastAsia="pt-BR"/>
        </w:rPr>
        <w:t>Independentemente de pactuação entre as partes</w:t>
      </w:r>
      <w:r w:rsidRPr="00714CB3">
        <w:rPr>
          <w:rFonts w:eastAsia="Times New Roman"/>
          <w:lang w:eastAsia="pt-BR"/>
        </w:rPr>
        <w:t xml:space="preserve"> contratantes</w:t>
      </w:r>
      <w:r w:rsidRPr="001C25BF">
        <w:rPr>
          <w:rFonts w:eastAsia="Times New Roman"/>
          <w:b/>
          <w:bCs/>
          <w:lang w:eastAsia="pt-BR"/>
        </w:rPr>
        <w:t>, os juros moratórios, por expressa imposição legal</w:t>
      </w:r>
      <w:r w:rsidRPr="00714CB3">
        <w:rPr>
          <w:rFonts w:eastAsia="Times New Roman"/>
          <w:lang w:eastAsia="pt-BR"/>
        </w:rPr>
        <w:t xml:space="preserve">, </w:t>
      </w:r>
      <w:r w:rsidRPr="001C25BF">
        <w:rPr>
          <w:rFonts w:eastAsia="Times New Roman"/>
          <w:b/>
          <w:bCs/>
          <w:lang w:eastAsia="pt-BR"/>
        </w:rPr>
        <w:t>são devidos em caso de retardamento na restituição do capital emprestado</w:t>
      </w:r>
      <w:r w:rsidRPr="00714CB3">
        <w:rPr>
          <w:rFonts w:eastAsia="Times New Roman"/>
          <w:lang w:eastAsia="pt-BR"/>
        </w:rPr>
        <w:t>, decorrendo sua exigibilidade, atualmente, da norma prevista no art. 406 do Código Civil.</w:t>
      </w:r>
    </w:p>
    <w:p w14:paraId="57A42ABE" w14:textId="77777777" w:rsidR="00817807" w:rsidRDefault="00817807" w:rsidP="00817807">
      <w:pPr>
        <w:pStyle w:val="Citaodireta"/>
        <w:spacing w:after="0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[...] </w:t>
      </w:r>
      <w:r w:rsidRPr="00714CB3">
        <w:rPr>
          <w:rFonts w:eastAsia="Times New Roman"/>
          <w:lang w:eastAsia="pt-BR"/>
        </w:rPr>
        <w:t xml:space="preserve">6. </w:t>
      </w:r>
      <w:r w:rsidRPr="008071BA">
        <w:rPr>
          <w:rFonts w:eastAsia="Times New Roman"/>
          <w:b/>
          <w:bCs/>
          <w:u w:val="single"/>
          <w:lang w:eastAsia="pt-BR"/>
        </w:rPr>
        <w:t>A multa moratória, espécie de cláusula penal</w:t>
      </w:r>
      <w:r w:rsidRPr="00714CB3">
        <w:rPr>
          <w:rFonts w:eastAsia="Times New Roman"/>
          <w:lang w:eastAsia="pt-BR"/>
        </w:rPr>
        <w:t xml:space="preserve"> (ou pena convencional), </w:t>
      </w:r>
      <w:r w:rsidRPr="00B82FED">
        <w:rPr>
          <w:rFonts w:eastAsia="Times New Roman"/>
          <w:b/>
          <w:bCs/>
          <w:u w:val="single"/>
          <w:lang w:eastAsia="pt-BR"/>
        </w:rPr>
        <w:t>é estipulada contra aquele que retarda o cumprimento do ato ou fato a que se obrigou, dependendo sua exigibilidade, portanto, de prévia convenção contratual</w:t>
      </w:r>
      <w:r w:rsidRPr="00714CB3">
        <w:rPr>
          <w:rFonts w:eastAsia="Times New Roman"/>
          <w:lang w:eastAsia="pt-BR"/>
        </w:rPr>
        <w:t>.</w:t>
      </w:r>
      <w:r>
        <w:rPr>
          <w:rFonts w:eastAsia="Times New Roman"/>
          <w:lang w:eastAsia="pt-BR"/>
        </w:rPr>
        <w:t xml:space="preserve"> [...] </w:t>
      </w:r>
      <w:r w:rsidRPr="00714CB3">
        <w:rPr>
          <w:rFonts w:eastAsia="Times New Roman"/>
          <w:lang w:eastAsia="pt-BR"/>
        </w:rPr>
        <w:t>8. Recurso especial provido.</w:t>
      </w:r>
      <w:r>
        <w:rPr>
          <w:rFonts w:eastAsia="Times New Roman"/>
          <w:lang w:eastAsia="pt-BR"/>
        </w:rPr>
        <w:t xml:space="preserve"> [G.N]</w:t>
      </w:r>
    </w:p>
    <w:p w14:paraId="24F7F580" w14:textId="3370B7AD" w:rsidR="00DE394C" w:rsidRDefault="00DE394C" w:rsidP="00D236BB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Desse modo, a cobrança da multa de 2,00% no caso concreto é indevida, uma vez que sua cobrança não foi expressa e claramente pactuada entre as partes no contrato.</w:t>
      </w:r>
    </w:p>
    <w:p w14:paraId="4A944F98" w14:textId="77777777" w:rsidR="00BD754D" w:rsidRDefault="00BD754D" w:rsidP="00BD754D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--------------------</w:t>
      </w:r>
    </w:p>
    <w:p w14:paraId="36BE55DB" w14:textId="3104570E" w:rsidR="00BD754D" w:rsidRDefault="00BD754D" w:rsidP="00BD754D">
      <w:pPr>
        <w:rPr>
          <w:rFonts w:eastAsia="Times New Roman"/>
        </w:rPr>
      </w:pPr>
      <w:r>
        <w:rPr>
          <w:rFonts w:eastAsia="Times New Roman"/>
        </w:rPr>
        <w:t xml:space="preserve">No contrato de crédito rural nº </w:t>
      </w:r>
      <w:r>
        <w:rPr>
          <w:rFonts w:eastAsia="Times New Roman" w:cs="Times New Roman"/>
          <w:sz w:val="22"/>
          <w:szCs w:val="22"/>
          <w:lang w:eastAsia="pt-BR"/>
        </w:rPr>
        <w:t>xyz123</w:t>
      </w:r>
      <w:r>
        <w:rPr>
          <w:rFonts w:eastAsia="Times New Roman"/>
        </w:rPr>
        <w:t xml:space="preserve">, em análise neste Parecer, </w:t>
      </w:r>
      <w:r>
        <w:rPr>
          <w:rFonts w:eastAsia="Times New Roman"/>
          <w:highlight w:val="yellow"/>
        </w:rPr>
        <w:t xml:space="preserve">o agricultor </w:t>
      </w:r>
      <w:r>
        <w:rPr>
          <w:rFonts w:eastAsia="Times New Roman"/>
        </w:rPr>
        <w:t>esteve sujeit</w:t>
      </w:r>
      <w:r>
        <w:rPr>
          <w:rFonts w:eastAsia="Times New Roman"/>
          <w:highlight w:val="yellow"/>
        </w:rPr>
        <w:t>o</w:t>
      </w:r>
      <w:r>
        <w:rPr>
          <w:rFonts w:eastAsia="Times New Roman"/>
        </w:rPr>
        <w:t xml:space="preserve"> à aplicação de juros moratórios de 1,00% a.a. e multa de 2,00%, além dos juros remuneratórios do período de normalidade, caso ficasse inadimplente. Vejamos: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837"/>
      </w:tblGrid>
      <w:tr w:rsidR="00164A9A" w14:paraId="21A47A03" w14:textId="77777777" w:rsidTr="00027B4E">
        <w:trPr>
          <w:trHeight w:val="482"/>
        </w:trPr>
        <w:tc>
          <w:tcPr>
            <w:tcW w:w="6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D0C10" w14:textId="77777777" w:rsidR="00164A9A" w:rsidRDefault="00164A9A" w:rsidP="00027B4E">
            <w:pPr>
              <w:spacing w:before="0" w:after="0" w:line="240" w:lineRule="auto"/>
              <w:ind w:firstLine="0"/>
              <w:jc w:val="left"/>
              <w:rPr>
                <w:sz w:val="20"/>
              </w:rPr>
            </w:pPr>
          </w:p>
        </w:tc>
      </w:tr>
    </w:tbl>
    <w:p w14:paraId="3DE98168" w14:textId="311BD9AB" w:rsidR="00164A9A" w:rsidRDefault="00164A9A" w:rsidP="00164A9A">
      <w:pPr>
        <w:spacing w:before="0" w:line="240" w:lineRule="auto"/>
        <w:ind w:firstLine="0"/>
        <w:rPr>
          <w:rFonts w:eastAsia="Times New Roman" w:cs="Times New Roman"/>
          <w:sz w:val="22"/>
          <w:szCs w:val="22"/>
          <w:lang w:eastAsia="pt-BR"/>
        </w:rPr>
      </w:pPr>
      <w:r>
        <w:rPr>
          <w:rFonts w:eastAsia="Times New Roman" w:cs="Times New Roman"/>
          <w:sz w:val="22"/>
          <w:szCs w:val="22"/>
          <w:lang w:eastAsia="pt-BR"/>
        </w:rPr>
        <w:t>Fonte: Contrato</w:t>
      </w:r>
      <w:r w:rsidR="006A0483">
        <w:rPr>
          <w:rFonts w:eastAsia="Times New Roman" w:cs="Times New Roman"/>
          <w:sz w:val="22"/>
          <w:szCs w:val="22"/>
          <w:lang w:eastAsia="pt-BR"/>
        </w:rPr>
        <w:t xml:space="preserve"> nº</w:t>
      </w:r>
      <w:r>
        <w:rPr>
          <w:rFonts w:eastAsia="Times New Roman" w:cs="Times New Roman"/>
          <w:sz w:val="22"/>
          <w:szCs w:val="22"/>
          <w:lang w:eastAsia="pt-BR"/>
        </w:rPr>
        <w:t xml:space="preserve"> </w:t>
      </w:r>
      <w:r>
        <w:t>xyz123</w:t>
      </w:r>
      <w:r>
        <w:rPr>
          <w:rFonts w:eastAsia="Times New Roman" w:cs="Times New Roman"/>
          <w:sz w:val="22"/>
          <w:szCs w:val="22"/>
          <w:lang w:eastAsia="pt-BR"/>
        </w:rPr>
        <w:t>.</w:t>
      </w:r>
    </w:p>
    <w:p w14:paraId="75FD28CC" w14:textId="77777777" w:rsidR="00BD754D" w:rsidRDefault="00BD754D" w:rsidP="00BD754D">
      <w:pPr>
        <w:rPr>
          <w:rFonts w:eastAsia="Times New Roman"/>
        </w:rPr>
      </w:pPr>
      <w:r>
        <w:rPr>
          <w:rFonts w:eastAsia="Times New Roman"/>
          <w:lang w:eastAsia="pt-BR"/>
        </w:rPr>
        <w:t xml:space="preserve">Verificamos na ficha gráfica que a instituição financeira praticou os encargos do período de inadimplência conforme foi pactuado. Destaca-se ainda que os encargos moratórios pactuados e praticados para esse tipo de operação de crédito rural estão de acordo com a legislação vigente, notadamente no que diz respeito ao </w:t>
      </w:r>
      <w:r>
        <w:rPr>
          <w:rFonts w:eastAsia="Times New Roman"/>
        </w:rPr>
        <w:t>Decreto-Lei n. 167/67, parágrafo único do art. 5º., que dispõe que:</w:t>
      </w:r>
    </w:p>
    <w:p w14:paraId="0C1310A6" w14:textId="77777777" w:rsidR="00BD754D" w:rsidRDefault="00BD754D" w:rsidP="00BD754D">
      <w:pPr>
        <w:pStyle w:val="Citaodireta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Em caso de mora, a taxa de juros constante da cédula será elevável de 1% (um por cento) ao ano.</w:t>
      </w:r>
    </w:p>
    <w:p w14:paraId="52727191" w14:textId="77777777" w:rsidR="00BD754D" w:rsidRDefault="00BD754D" w:rsidP="00BD754D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--------------------</w:t>
      </w:r>
    </w:p>
    <w:p w14:paraId="0A7C8AB6" w14:textId="7A88DA0E" w:rsidR="00D236BB" w:rsidRDefault="00D236BB" w:rsidP="00D236BB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lastRenderedPageBreak/>
        <w:t>Note também que os juros remuneratórios aplicados para o período de inadimplemento da operação foram capitalizados com periodicidade mensal. Vejamos: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837"/>
      </w:tblGrid>
      <w:tr w:rsidR="00164A9A" w14:paraId="3F5EE74F" w14:textId="77777777" w:rsidTr="00027B4E">
        <w:trPr>
          <w:trHeight w:val="482"/>
        </w:trPr>
        <w:tc>
          <w:tcPr>
            <w:tcW w:w="6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403B3" w14:textId="2BDCDE21" w:rsidR="00164A9A" w:rsidRDefault="00164A9A" w:rsidP="00203CB7">
            <w:pPr>
              <w:spacing w:before="120" w:after="120" w:line="240" w:lineRule="auto"/>
              <w:ind w:firstLine="0"/>
              <w:jc w:val="left"/>
              <w:rPr>
                <w:sz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73B91478" wp14:editId="3FD17097">
                      <wp:simplePos x="0" y="0"/>
                      <wp:positionH relativeFrom="column">
                        <wp:posOffset>2584864</wp:posOffset>
                      </wp:positionH>
                      <wp:positionV relativeFrom="paragraph">
                        <wp:posOffset>52511</wp:posOffset>
                      </wp:positionV>
                      <wp:extent cx="1745273" cy="384595"/>
                      <wp:effectExtent l="57150" t="38100" r="64770" b="130175"/>
                      <wp:wrapNone/>
                      <wp:docPr id="3" name="Seta: para a Direita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5273" cy="38459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/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91D287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Seta: para a Direita 3" o:spid="_x0000_s1026" type="#_x0000_t13" style="position:absolute;margin-left:203.55pt;margin-top:4.15pt;width:137.4pt;height:30.3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" adj="19220" fillcolor="#f8dcd3 [665]" strokecolor="#df5327 [3209]" strokeweight="1pt">
                      <v:shadow on="t" color="black" opacity="26214f" origin=",-.5" offset="0,3pt"/>
                    </v:shape>
                  </w:pict>
                </mc:Fallback>
              </mc:AlternateContent>
            </w:r>
          </w:p>
        </w:tc>
      </w:tr>
    </w:tbl>
    <w:p w14:paraId="36DC9026" w14:textId="7FA9FA58" w:rsidR="00164A9A" w:rsidRDefault="00164A9A" w:rsidP="00164A9A">
      <w:pPr>
        <w:spacing w:before="0" w:line="240" w:lineRule="auto"/>
        <w:ind w:firstLine="0"/>
        <w:rPr>
          <w:rFonts w:eastAsia="Times New Roman" w:cs="Times New Roman"/>
          <w:sz w:val="22"/>
          <w:szCs w:val="22"/>
          <w:lang w:eastAsia="pt-BR"/>
        </w:rPr>
      </w:pPr>
      <w:r>
        <w:rPr>
          <w:rFonts w:eastAsia="Times New Roman" w:cs="Times New Roman"/>
          <w:sz w:val="22"/>
          <w:szCs w:val="22"/>
          <w:lang w:eastAsia="pt-BR"/>
        </w:rPr>
        <w:t xml:space="preserve">Fonte: </w:t>
      </w:r>
      <w:r w:rsidR="00DA0E4A">
        <w:rPr>
          <w:rFonts w:eastAsia="Times New Roman" w:cs="Times New Roman"/>
          <w:sz w:val="22"/>
          <w:szCs w:val="22"/>
          <w:lang w:eastAsia="pt-BR"/>
        </w:rPr>
        <w:t>Ficha gráfica</w:t>
      </w:r>
      <w:r w:rsidR="006A0483">
        <w:rPr>
          <w:rFonts w:eastAsia="Times New Roman" w:cs="Times New Roman"/>
          <w:sz w:val="22"/>
          <w:szCs w:val="22"/>
          <w:lang w:eastAsia="pt-BR"/>
        </w:rPr>
        <w:t xml:space="preserve"> nº</w:t>
      </w:r>
      <w:r w:rsidR="00DA0E4A">
        <w:rPr>
          <w:rFonts w:eastAsia="Times New Roman" w:cs="Times New Roman"/>
          <w:sz w:val="22"/>
          <w:szCs w:val="22"/>
          <w:lang w:eastAsia="pt-BR"/>
        </w:rPr>
        <w:t xml:space="preserve"> </w:t>
      </w:r>
      <w:r>
        <w:t>xyz123</w:t>
      </w:r>
      <w:r>
        <w:rPr>
          <w:rFonts w:eastAsia="Times New Roman" w:cs="Times New Roman"/>
          <w:sz w:val="22"/>
          <w:szCs w:val="22"/>
          <w:lang w:eastAsia="pt-BR"/>
        </w:rPr>
        <w:t>.</w:t>
      </w:r>
    </w:p>
    <w:p w14:paraId="4377AC6D" w14:textId="69BFDC13" w:rsidR="00D236BB" w:rsidRDefault="00D236BB" w:rsidP="00D236BB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Assim, entendemos que os juros remuneratórios do inadimplemento devem seguir o mesmo fluxo de capitalização do período de normalidade, ou seja,</w:t>
      </w:r>
      <w:r w:rsidR="005E1D5D">
        <w:rPr>
          <w:rFonts w:eastAsia="Times New Roman"/>
          <w:lang w:eastAsia="pt-BR"/>
        </w:rPr>
        <w:t xml:space="preserve"> com capitalização</w:t>
      </w:r>
      <w:r>
        <w:rPr>
          <w:rFonts w:eastAsia="Times New Roman"/>
          <w:lang w:eastAsia="pt-BR"/>
        </w:rPr>
        <w:t xml:space="preserve"> </w:t>
      </w:r>
      <w:r w:rsidR="00FA4509">
        <w:rPr>
          <w:rFonts w:eastAsia="Times New Roman"/>
          <w:lang w:eastAsia="pt-BR"/>
        </w:rPr>
        <w:t>afastada</w:t>
      </w:r>
      <w:r>
        <w:rPr>
          <w:rFonts w:eastAsia="Times New Roman"/>
          <w:lang w:eastAsia="pt-BR"/>
        </w:rPr>
        <w:t>.</w:t>
      </w:r>
    </w:p>
    <w:p w14:paraId="611EAC09" w14:textId="77777777" w:rsidR="00D236BB" w:rsidRDefault="00D236BB" w:rsidP="00D236BB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Entretanto, entende-se que os encargos moratórios da operação em tela devem ser descaracterizados, pois o banco praticou abusividades no período de normalidade no que se refere à capitalização de juros sem expressa pactuação e em periodicidade inferior à permitida para contratos de crédito rural.</w:t>
      </w:r>
    </w:p>
    <w:p w14:paraId="70BAB852" w14:textId="06909AB4" w:rsidR="00D236BB" w:rsidRPr="002A74C2" w:rsidRDefault="00D236BB" w:rsidP="00D236BB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De acordo com o </w:t>
      </w:r>
      <w:proofErr w:type="spellStart"/>
      <w:r>
        <w:rPr>
          <w:rFonts w:eastAsia="Times New Roman"/>
          <w:b/>
          <w:lang w:eastAsia="pt-BR"/>
        </w:rPr>
        <w:t>Resp</w:t>
      </w:r>
      <w:proofErr w:type="spellEnd"/>
      <w:r>
        <w:rPr>
          <w:rFonts w:eastAsia="Times New Roman"/>
          <w:b/>
          <w:lang w:eastAsia="pt-BR"/>
        </w:rPr>
        <w:t xml:space="preserve"> 1061530 RS 2008/0119992-4</w:t>
      </w:r>
      <w:r>
        <w:rPr>
          <w:rFonts w:eastAsia="Times New Roman"/>
          <w:lang w:eastAsia="pt-BR"/>
        </w:rPr>
        <w:t xml:space="preserve">, a mora da operação é descaracterizada quando é verificada abusividade nos encargos exigidos </w:t>
      </w:r>
      <w:r w:rsidR="00871DD0">
        <w:rPr>
          <w:rFonts w:eastAsia="Times New Roman"/>
          <w:lang w:eastAsia="pt-BR"/>
        </w:rPr>
        <w:t>na</w:t>
      </w:r>
      <w:r>
        <w:rPr>
          <w:rFonts w:eastAsia="Times New Roman"/>
          <w:lang w:eastAsia="pt-BR"/>
        </w:rPr>
        <w:t xml:space="preserve"> normalidade.</w:t>
      </w:r>
    </w:p>
    <w:p w14:paraId="463E26F0" w14:textId="77777777" w:rsidR="00D236BB" w:rsidRPr="00FB4A70" w:rsidRDefault="00D236BB" w:rsidP="0096469B">
      <w:pPr>
        <w:pStyle w:val="Citaodireta"/>
      </w:pPr>
      <w:r w:rsidRPr="00FB4A70">
        <w:t>CONFIGURAÇÃO DA MORA</w:t>
      </w:r>
    </w:p>
    <w:p w14:paraId="5968967C" w14:textId="69FB7D5E" w:rsidR="00D236BB" w:rsidRPr="00FB4A70" w:rsidRDefault="00D236BB" w:rsidP="0096469B">
      <w:pPr>
        <w:pStyle w:val="Citaodireta"/>
      </w:pPr>
      <w:r w:rsidRPr="00FB4A70">
        <w:t xml:space="preserve">O reconhecimento da abusividade nos encargos exigidos no período da normalidade contratual (juros remuneratórios e </w:t>
      </w:r>
      <w:r w:rsidRPr="00FD251B">
        <w:rPr>
          <w:b/>
          <w:bCs/>
        </w:rPr>
        <w:t>capitalização</w:t>
      </w:r>
      <w:r w:rsidRPr="00FB4A70">
        <w:t>) descaracteriza a mora [G. N.]</w:t>
      </w:r>
      <w:r w:rsidR="0096469B">
        <w:t>.</w:t>
      </w:r>
    </w:p>
    <w:p w14:paraId="1C61EFF6" w14:textId="4B92F854" w:rsidR="00D236BB" w:rsidRDefault="00D236BB" w:rsidP="00D236BB">
      <w:pPr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 xml:space="preserve">Desse modo, </w:t>
      </w:r>
      <w:r w:rsidRPr="00752DD0">
        <w:rPr>
          <w:rFonts w:eastAsia="Times New Roman"/>
          <w:lang w:eastAsia="pt-BR"/>
        </w:rPr>
        <w:t xml:space="preserve">procedemos os recálculos </w:t>
      </w:r>
      <w:r>
        <w:rPr>
          <w:rFonts w:eastAsia="Times New Roman"/>
          <w:lang w:eastAsia="pt-BR"/>
        </w:rPr>
        <w:t>des</w:t>
      </w:r>
      <w:r w:rsidRPr="00752DD0">
        <w:rPr>
          <w:rFonts w:eastAsia="Times New Roman"/>
          <w:lang w:eastAsia="pt-BR"/>
        </w:rPr>
        <w:t xml:space="preserve">considerando os encargos </w:t>
      </w:r>
      <w:r>
        <w:rPr>
          <w:rFonts w:eastAsia="Times New Roman"/>
          <w:lang w:eastAsia="pt-BR"/>
        </w:rPr>
        <w:t>moratórios</w:t>
      </w:r>
      <w:r w:rsidRPr="00752DD0">
        <w:rPr>
          <w:rFonts w:eastAsia="Times New Roman"/>
          <w:lang w:eastAsia="pt-BR"/>
        </w:rPr>
        <w:t>.</w:t>
      </w:r>
    </w:p>
    <w:p w14:paraId="64E93181" w14:textId="77777777" w:rsidR="005F7D5E" w:rsidRDefault="005F7D5E" w:rsidP="005F7D5E">
      <w:pPr>
        <w:pStyle w:val="Ttulo1"/>
      </w:pPr>
      <w:bookmarkStart w:id="22" w:name="_Toc76632722"/>
      <w:bookmarkStart w:id="23" w:name="_Toc77321469"/>
      <w:bookmarkStart w:id="24" w:name="_Toc102054749"/>
      <w:bookmarkEnd w:id="21"/>
      <w:r>
        <w:t>CONsiderações finais</w:t>
      </w:r>
      <w:bookmarkEnd w:id="22"/>
      <w:bookmarkEnd w:id="23"/>
      <w:bookmarkEnd w:id="24"/>
    </w:p>
    <w:p w14:paraId="611D0751" w14:textId="401939A8" w:rsidR="005F7D5E" w:rsidRPr="006F31F8" w:rsidRDefault="005F7D5E" w:rsidP="005F7D5E">
      <w:r w:rsidRPr="006F31F8">
        <w:t>O presente Parecer Técnico teve como finalidade a análise da operaç</w:t>
      </w:r>
      <w:r>
        <w:t>ão</w:t>
      </w:r>
      <w:r w:rsidRPr="006F31F8">
        <w:t xml:space="preserve"> de crédito rural nº </w:t>
      </w:r>
      <w:r w:rsidR="0096469B">
        <w:t>xyz</w:t>
      </w:r>
      <w:r w:rsidR="00C33676">
        <w:t>123</w:t>
      </w:r>
      <w:r w:rsidRPr="006F31F8">
        <w:t>, cuj</w:t>
      </w:r>
      <w:r w:rsidRPr="00871DD0">
        <w:rPr>
          <w:highlight w:val="yellow"/>
        </w:rPr>
        <w:t>o</w:t>
      </w:r>
      <w:r w:rsidR="00871DD0">
        <w:t>/</w:t>
      </w:r>
      <w:r w:rsidR="00871DD0" w:rsidRPr="00871DD0">
        <w:rPr>
          <w:highlight w:val="yellow"/>
        </w:rPr>
        <w:t>a</w:t>
      </w:r>
      <w:r w:rsidRPr="006F31F8">
        <w:t xml:space="preserve"> emitente é </w:t>
      </w:r>
      <w:r w:rsidR="00C33676">
        <w:rPr>
          <w:highlight w:val="yellow"/>
        </w:rPr>
        <w:t>a</w:t>
      </w:r>
      <w:r w:rsidRPr="00C33676">
        <w:rPr>
          <w:highlight w:val="yellow"/>
        </w:rPr>
        <w:t xml:space="preserve"> agricultor</w:t>
      </w:r>
      <w:r w:rsidR="00871DD0">
        <w:rPr>
          <w:highlight w:val="yellow"/>
        </w:rPr>
        <w:t>a / o agricultor</w:t>
      </w:r>
      <w:r w:rsidRPr="00C33676">
        <w:rPr>
          <w:highlight w:val="yellow"/>
        </w:rPr>
        <w:t xml:space="preserve"> </w:t>
      </w:r>
      <w:proofErr w:type="spellStart"/>
      <w:r w:rsidR="00871DD0" w:rsidRPr="00871DD0">
        <w:rPr>
          <w:highlight w:val="yellow"/>
        </w:rPr>
        <w:t>xxxxx</w:t>
      </w:r>
      <w:proofErr w:type="spellEnd"/>
      <w:r w:rsidRPr="006F31F8">
        <w:t>. A operaç</w:t>
      </w:r>
      <w:r>
        <w:t>ão</w:t>
      </w:r>
      <w:r w:rsidRPr="006F31F8">
        <w:t xml:space="preserve"> </w:t>
      </w:r>
      <w:r>
        <w:t xml:space="preserve">teve </w:t>
      </w:r>
      <w:r w:rsidRPr="006F31F8">
        <w:t>como finalidade</w:t>
      </w:r>
      <w:r>
        <w:t xml:space="preserve"> </w:t>
      </w:r>
      <w:r w:rsidR="00C33676" w:rsidRPr="00C33676">
        <w:rPr>
          <w:highlight w:val="yellow"/>
        </w:rPr>
        <w:t>a aquisição, o custeio</w:t>
      </w:r>
      <w:r w:rsidR="00C33676">
        <w:t xml:space="preserve"> </w:t>
      </w:r>
      <w:r>
        <w:t xml:space="preserve">para uso na propriedade </w:t>
      </w:r>
      <w:r w:rsidRPr="00C33676">
        <w:rPr>
          <w:highlight w:val="yellow"/>
        </w:rPr>
        <w:t xml:space="preserve">do agricultor </w:t>
      </w:r>
      <w:r>
        <w:t xml:space="preserve">e foi garantida por </w:t>
      </w:r>
      <w:r w:rsidRPr="00C33676">
        <w:rPr>
          <w:highlight w:val="yellow"/>
        </w:rPr>
        <w:t>penhor cedular de primeiro grau e aval</w:t>
      </w:r>
      <w:r w:rsidRPr="006F31F8">
        <w:t>.</w:t>
      </w:r>
    </w:p>
    <w:p w14:paraId="7DAA5EA2" w14:textId="59E4BD1A" w:rsidR="00447A6D" w:rsidRDefault="005F7D5E" w:rsidP="00447A6D">
      <w:r>
        <w:t xml:space="preserve">Verificou-se que foi realizada a capitalização mensal dos juros remuneratórios de normalidade. Em todo caso, após a análise das condições para a expressa pactuação da capitalização e sua periodicidade, verificou-se que o contrato não atendeu simultaneamente às prerrogativas para praticar a capitalização em nenhuma periodicidade. </w:t>
      </w:r>
      <w:r w:rsidR="00447A6D">
        <w:t>Desse modo, a cobrança de juros remuneratórios capitalizados foi afastada</w:t>
      </w:r>
      <w:r w:rsidR="00256EDE">
        <w:t>.</w:t>
      </w:r>
    </w:p>
    <w:p w14:paraId="0BFD7167" w14:textId="6C51E6CE" w:rsidR="00447A6D" w:rsidRDefault="00447A6D" w:rsidP="00447A6D">
      <w:r>
        <w:t xml:space="preserve">Ademais, considerando se tratar de crédito rural, deve-se observar a legislação específica para esse tipo de operação que apregoa que a periodicidade mínima para capitalização dos juros </w:t>
      </w:r>
      <w:r>
        <w:lastRenderedPageBreak/>
        <w:t>remuneratórios é no vencimento das parcelas. Desse modo, caso o entendimento sobre o afastamento da capitalização divirja do apresentado, os juros remuneratórios de normalidade devem ser capitalizados na mesma periodicidade que o venci</w:t>
      </w:r>
      <w:r w:rsidR="00EC5450">
        <w:t>mento d</w:t>
      </w:r>
      <w:r>
        <w:t>as parcelas.</w:t>
      </w:r>
    </w:p>
    <w:p w14:paraId="1A50A917" w14:textId="77777777" w:rsidR="00204BE5" w:rsidRPr="005F77B4" w:rsidRDefault="00204BE5" w:rsidP="00204BE5">
      <w:r w:rsidRPr="00D57B20">
        <w:t xml:space="preserve">Ainda, foi constatada a cobrança de </w:t>
      </w:r>
      <w:r w:rsidRPr="002A2088">
        <w:rPr>
          <w:highlight w:val="yellow"/>
        </w:rPr>
        <w:t>seguros diversos</w:t>
      </w:r>
      <w:r>
        <w:t xml:space="preserve"> na operação, como condição de liberação de crédito </w:t>
      </w:r>
      <w:r w:rsidRPr="00C965B8">
        <w:rPr>
          <w:highlight w:val="yellow"/>
        </w:rPr>
        <w:t>ao produtor</w:t>
      </w:r>
      <w:r w:rsidRPr="00D57B20">
        <w:t xml:space="preserve">. Tal prática, além de encarecer o acesso ao crédito para o </w:t>
      </w:r>
      <w:r w:rsidRPr="00C965B8">
        <w:rPr>
          <w:highlight w:val="yellow"/>
        </w:rPr>
        <w:t>custeio</w:t>
      </w:r>
      <w:r w:rsidRPr="00D57B20">
        <w:t xml:space="preserve">, é considerada venda casada. Também não há informações claras sobre as condições da contratação. Foi identificada também a cobrança de tarifa de estudos de operações, sobre a qual se entende que se trata de um custo da instituição que não pode ser repassado </w:t>
      </w:r>
      <w:r w:rsidRPr="00C965B8">
        <w:rPr>
          <w:highlight w:val="yellow"/>
        </w:rPr>
        <w:t>ao produtor.</w:t>
      </w:r>
      <w:r w:rsidRPr="00D57B20">
        <w:t xml:space="preserve"> Diante de tais irregularidades, as cobranças foram estornadas no recálculo da operação.</w:t>
      </w:r>
    </w:p>
    <w:p w14:paraId="4D5EAEA6" w14:textId="1E97FDF4" w:rsidR="009E67DA" w:rsidRDefault="005F7D5E" w:rsidP="00DE394C">
      <w:r>
        <w:t>Para o período de inadimplemento da operação, o banco pactuou a cobrança de comissão de permanência, mas sabendo do desacordo com a legislação para crédito rural, a instituição financeira realizou, na ficha gráfica apresentada, a apuração do inadimplemento com juros remuneratórios de normalidade, juros moratórios de 1,00% a.a. e multa contratual de 2,00%.</w:t>
      </w:r>
      <w:r w:rsidR="009E67DA">
        <w:t xml:space="preserve"> Enquanto a cobrança de </w:t>
      </w:r>
      <w:r w:rsidR="009E67DA" w:rsidRPr="009E67DA">
        <w:t>juros moratórios independe de previsão contratual para sua aplicação</w:t>
      </w:r>
      <w:r w:rsidR="009E67DA">
        <w:t xml:space="preserve"> - diante de </w:t>
      </w:r>
      <w:r w:rsidR="009E67DA" w:rsidRPr="009E67DA">
        <w:t>imposição legal, a multa contratual se trata de uma cláusula penal para quem atrasa o pagamento, devendo estar expressamente pactuada em contrato, o que não ocorreu no caso em tela</w:t>
      </w:r>
      <w:r w:rsidR="00E50F08">
        <w:t xml:space="preserve">, de modo que </w:t>
      </w:r>
      <w:r w:rsidR="00DE394C">
        <w:t xml:space="preserve">a cobrança da multa de 2,00% </w:t>
      </w:r>
      <w:r w:rsidR="00E50F08">
        <w:t>é</w:t>
      </w:r>
      <w:r w:rsidR="00DE394C">
        <w:t xml:space="preserve"> indevida</w:t>
      </w:r>
      <w:r w:rsidR="00E50F08">
        <w:t>.</w:t>
      </w:r>
      <w:r w:rsidR="009043EB">
        <w:t xml:space="preserve"> </w:t>
      </w:r>
    </w:p>
    <w:p w14:paraId="0F582E42" w14:textId="45684CFF" w:rsidR="005F7D5E" w:rsidRDefault="005F7D5E" w:rsidP="00DE394C">
      <w:r>
        <w:t xml:space="preserve">Destaca-se ainda que os juros remuneratórios cobrados no período de inadimplemento também foram capitalizados mensalmente, mas ressalta-se que eles </w:t>
      </w:r>
      <w:r w:rsidRPr="008B1DD7">
        <w:t>devem seguir o mesmo fluxo de capitalização do período de normalidade</w:t>
      </w:r>
      <w:r>
        <w:t xml:space="preserve"> </w:t>
      </w:r>
      <w:r w:rsidR="00EC5450">
        <w:t>–</w:t>
      </w:r>
      <w:r>
        <w:t xml:space="preserve"> </w:t>
      </w:r>
      <w:r w:rsidR="00EC5450">
        <w:t>isto é, a capitalização deve ser afastada</w:t>
      </w:r>
      <w:r>
        <w:t>.</w:t>
      </w:r>
    </w:p>
    <w:p w14:paraId="5F4C8A65" w14:textId="77777777" w:rsidR="007C324E" w:rsidRDefault="007C324E" w:rsidP="007C324E">
      <w:r>
        <w:t>----</w:t>
      </w:r>
    </w:p>
    <w:p w14:paraId="16663BC1" w14:textId="77777777" w:rsidR="007C324E" w:rsidRDefault="007C324E" w:rsidP="007C324E">
      <w:r>
        <w:t>Para o período de inadimplemento da operação, o banco pactuou e praticou a cobrança de juros remuneratórios de normalidade, juros moratórios de 1,00% a.a. e multa contratual de 2,00%, o que está de acordo com a legislação. Destaca-se, porém, que os juros remuneratórios cobrados no período de inadimplemento também foram capitalizados mensalmente, mas ressalta-se que eles devem seguir o mesmo fluxo de capitalização do período de normalidade - isto é, a capitalização deve ser afastada.</w:t>
      </w:r>
    </w:p>
    <w:p w14:paraId="6B0F26A4" w14:textId="77777777" w:rsidR="007C324E" w:rsidRDefault="007C324E" w:rsidP="007C324E">
      <w:r>
        <w:t>----</w:t>
      </w:r>
    </w:p>
    <w:p w14:paraId="44F3558B" w14:textId="55FC506F" w:rsidR="005F7D5E" w:rsidRDefault="005F7D5E" w:rsidP="005F7D5E">
      <w:r>
        <w:t>Entretanto, entende-se que os encargos moratórios devem ser descaracterizados da operaç</w:t>
      </w:r>
      <w:r w:rsidR="00EC5450">
        <w:t>ão</w:t>
      </w:r>
      <w:r>
        <w:t xml:space="preserve">, pois a instituição financeira praticou abusividades no período de normalidade no que </w:t>
      </w:r>
      <w:r>
        <w:lastRenderedPageBreak/>
        <w:t>se refere à capitalização dos juros remuneratórios sem a expressa e clara pactuação e em periodicidade inferior à permitida para contratos de crédito rural.</w:t>
      </w:r>
    </w:p>
    <w:p w14:paraId="1AA25AFA" w14:textId="77777777" w:rsidR="007B72D6" w:rsidRDefault="007B72D6" w:rsidP="007B72D6">
      <w:pPr>
        <w:pStyle w:val="Ttulo1"/>
      </w:pPr>
      <w:bookmarkStart w:id="25" w:name="_Toc102054394"/>
      <w:bookmarkEnd w:id="5"/>
      <w:r w:rsidRPr="008F09B9">
        <w:t xml:space="preserve">VALORES APURADOS </w:t>
      </w:r>
      <w:r>
        <w:t xml:space="preserve">(ANEXO </w:t>
      </w:r>
      <w:r w:rsidRPr="00296C7A">
        <w:rPr>
          <w:highlight w:val="green"/>
        </w:rPr>
        <w:t>X)</w:t>
      </w:r>
      <w:bookmarkEnd w:id="25"/>
    </w:p>
    <w:p w14:paraId="6188F29F" w14:textId="77777777" w:rsidR="007B72D6" w:rsidRDefault="007B72D6" w:rsidP="007B72D6">
      <w:pPr>
        <w:pStyle w:val="PargrafodaLista"/>
        <w:spacing w:before="0" w:after="120" w:line="240" w:lineRule="auto"/>
        <w:ind w:left="1066" w:firstLine="0"/>
        <w:contextualSpacing w:val="0"/>
        <w:rPr>
          <w:rFonts w:eastAsia="Times New Roman" w:cs="Times New Roman"/>
          <w:b/>
          <w:color w:val="FF0000"/>
          <w:szCs w:val="23"/>
        </w:rPr>
      </w:pPr>
      <w:r w:rsidRPr="00A57E01">
        <w:rPr>
          <w:rFonts w:eastAsia="Times New Roman" w:cs="Times New Roman"/>
          <w:szCs w:val="23"/>
        </w:rPr>
        <w:t xml:space="preserve">Valor apurado (incontroverso): </w:t>
      </w:r>
      <w:r w:rsidRPr="006D570B">
        <w:rPr>
          <w:rFonts w:eastAsia="Times New Roman" w:cs="Times New Roman"/>
          <w:b/>
          <w:color w:val="FF0000"/>
          <w:szCs w:val="23"/>
          <w:highlight w:val="green"/>
        </w:rPr>
        <w:t>- R$ </w:t>
      </w:r>
      <w:proofErr w:type="spellStart"/>
      <w:r w:rsidRPr="006D570B">
        <w:rPr>
          <w:rFonts w:eastAsia="Times New Roman" w:cs="Times New Roman"/>
          <w:b/>
          <w:color w:val="FF0000"/>
          <w:szCs w:val="23"/>
          <w:highlight w:val="green"/>
        </w:rPr>
        <w:t>xxxx</w:t>
      </w:r>
      <w:proofErr w:type="spellEnd"/>
    </w:p>
    <w:p w14:paraId="5DD0BABE" w14:textId="77777777" w:rsidR="007B72D6" w:rsidRPr="00532480" w:rsidRDefault="007B72D6" w:rsidP="007B72D6">
      <w:pPr>
        <w:pStyle w:val="PargrafodaLista"/>
        <w:spacing w:before="0" w:after="120" w:line="240" w:lineRule="auto"/>
        <w:ind w:left="1066" w:firstLine="0"/>
        <w:contextualSpacing w:val="0"/>
        <w:rPr>
          <w:rFonts w:eastAsia="Times New Roman" w:cs="Times New Roman"/>
          <w:b/>
          <w:sz w:val="16"/>
          <w:szCs w:val="16"/>
        </w:rPr>
      </w:pPr>
    </w:p>
    <w:p w14:paraId="2B98E3F7" w14:textId="77777777" w:rsidR="007B72D6" w:rsidRPr="00A57E01" w:rsidRDefault="007B72D6" w:rsidP="007B72D6">
      <w:pPr>
        <w:pStyle w:val="PargrafodaLista"/>
        <w:spacing w:before="0" w:after="120" w:line="240" w:lineRule="auto"/>
        <w:ind w:left="0" w:firstLine="1134"/>
        <w:contextualSpacing w:val="0"/>
        <w:rPr>
          <w:rFonts w:eastAsia="Times New Roman" w:cs="Times New Roman"/>
          <w:szCs w:val="23"/>
        </w:rPr>
      </w:pPr>
      <w:r w:rsidRPr="00A57E01">
        <w:rPr>
          <w:rFonts w:eastAsia="Times New Roman" w:cs="Times New Roman"/>
          <w:szCs w:val="23"/>
        </w:rPr>
        <w:t xml:space="preserve">Valor </w:t>
      </w:r>
      <w:r w:rsidRPr="00DC71CB">
        <w:rPr>
          <w:rFonts w:eastAsia="Times New Roman" w:cs="Times New Roman"/>
          <w:szCs w:val="23"/>
          <w:highlight w:val="yellow"/>
        </w:rPr>
        <w:t>executado/cobrado</w:t>
      </w:r>
      <w:r>
        <w:rPr>
          <w:rFonts w:eastAsia="Times New Roman" w:cs="Times New Roman"/>
          <w:szCs w:val="23"/>
        </w:rPr>
        <w:t xml:space="preserve"> (controverso)</w:t>
      </w:r>
      <w:r w:rsidRPr="00A57E01">
        <w:rPr>
          <w:rFonts w:eastAsia="Times New Roman" w:cs="Times New Roman"/>
          <w:szCs w:val="23"/>
        </w:rPr>
        <w:t xml:space="preserve">: </w:t>
      </w:r>
      <w:r w:rsidRPr="006D570B">
        <w:rPr>
          <w:rFonts w:eastAsia="Times New Roman" w:cs="Times New Roman"/>
          <w:szCs w:val="23"/>
          <w:highlight w:val="yellow"/>
          <w:u w:val="single"/>
        </w:rPr>
        <w:t>-R$ </w:t>
      </w:r>
      <w:proofErr w:type="spellStart"/>
      <w:r w:rsidRPr="006D570B">
        <w:rPr>
          <w:rFonts w:eastAsia="Times New Roman" w:cs="Times New Roman"/>
          <w:szCs w:val="23"/>
          <w:highlight w:val="yellow"/>
          <w:u w:val="single"/>
        </w:rPr>
        <w:t>xxxx</w:t>
      </w:r>
      <w:proofErr w:type="spellEnd"/>
    </w:p>
    <w:p w14:paraId="236E4583" w14:textId="77777777" w:rsidR="007B72D6" w:rsidRDefault="007B72D6" w:rsidP="007B72D6">
      <w:pPr>
        <w:pStyle w:val="PargrafodaLista"/>
        <w:spacing w:before="0" w:after="120" w:line="240" w:lineRule="auto"/>
        <w:ind w:left="0" w:firstLine="1134"/>
        <w:contextualSpacing w:val="0"/>
        <w:rPr>
          <w:rFonts w:eastAsia="Times New Roman" w:cs="Times New Roman"/>
          <w:b/>
          <w:bCs/>
          <w:szCs w:val="23"/>
          <w:u w:val="single"/>
        </w:rPr>
      </w:pPr>
      <w:r w:rsidRPr="0007009E">
        <w:rPr>
          <w:rFonts w:eastAsia="Times New Roman" w:cs="Times New Roman"/>
          <w:b/>
          <w:bCs/>
          <w:szCs w:val="23"/>
        </w:rPr>
        <w:t xml:space="preserve">Excesso de </w:t>
      </w:r>
      <w:r w:rsidRPr="00DC71CB">
        <w:rPr>
          <w:rFonts w:eastAsia="Times New Roman" w:cs="Times New Roman"/>
          <w:b/>
          <w:bCs/>
          <w:szCs w:val="23"/>
          <w:highlight w:val="yellow"/>
        </w:rPr>
        <w:t>execução/cobrança</w:t>
      </w:r>
      <w:r w:rsidRPr="0007009E">
        <w:rPr>
          <w:rFonts w:eastAsia="Times New Roman" w:cs="Times New Roman"/>
          <w:b/>
          <w:bCs/>
          <w:szCs w:val="23"/>
        </w:rPr>
        <w:t xml:space="preserve">: </w:t>
      </w:r>
      <w:r w:rsidRPr="006D570B">
        <w:rPr>
          <w:rFonts w:eastAsia="Times New Roman" w:cs="Times New Roman"/>
          <w:b/>
          <w:bCs/>
          <w:szCs w:val="23"/>
          <w:highlight w:val="green"/>
          <w:u w:val="single"/>
        </w:rPr>
        <w:t>R$ </w:t>
      </w:r>
      <w:proofErr w:type="spellStart"/>
      <w:r w:rsidRPr="006D570B">
        <w:rPr>
          <w:rFonts w:eastAsia="Times New Roman" w:cs="Times New Roman"/>
          <w:b/>
          <w:bCs/>
          <w:szCs w:val="23"/>
          <w:highlight w:val="green"/>
          <w:u w:val="single"/>
        </w:rPr>
        <w:t>xxxxxx</w:t>
      </w:r>
      <w:proofErr w:type="spellEnd"/>
    </w:p>
    <w:p w14:paraId="586D70B4" w14:textId="77777777" w:rsidR="007B72D6" w:rsidRDefault="007B72D6" w:rsidP="007B72D6">
      <w:pPr>
        <w:pStyle w:val="PargrafodaLista"/>
        <w:spacing w:before="0" w:after="120" w:line="240" w:lineRule="auto"/>
        <w:ind w:left="0" w:firstLine="1134"/>
        <w:rPr>
          <w:rFonts w:eastAsia="Times New Roman" w:cs="Times New Roman"/>
          <w:bCs/>
          <w:i/>
          <w:iCs/>
          <w:szCs w:val="23"/>
        </w:rPr>
      </w:pPr>
      <w:r>
        <w:rPr>
          <w:rFonts w:eastAsia="Times New Roman" w:cs="Times New Roman"/>
          <w:bCs/>
          <w:i/>
          <w:iCs/>
          <w:szCs w:val="23"/>
        </w:rPr>
        <w:t>Proveito econômico pretendido.</w:t>
      </w:r>
    </w:p>
    <w:p w14:paraId="7989997B" w14:textId="77777777" w:rsidR="007B72D6" w:rsidRDefault="007B72D6" w:rsidP="007B72D6">
      <w:pPr>
        <w:ind w:firstLine="0"/>
        <w:rPr>
          <w:i/>
        </w:rPr>
      </w:pPr>
      <w:r w:rsidRPr="00C97857">
        <w:rPr>
          <w:i/>
        </w:rPr>
        <w:t>Obs.</w:t>
      </w:r>
      <w:r>
        <w:rPr>
          <w:i/>
        </w:rPr>
        <w:t>:</w:t>
      </w:r>
      <w:r w:rsidRPr="00C97857">
        <w:rPr>
          <w:i/>
        </w:rPr>
        <w:t xml:space="preserve"> Valores apurados na data do cálculo d</w:t>
      </w:r>
      <w:r>
        <w:rPr>
          <w:i/>
        </w:rPr>
        <w:t>a</w:t>
      </w:r>
      <w:r w:rsidRPr="00C97857">
        <w:rPr>
          <w:i/>
        </w:rPr>
        <w:t xml:space="preserve"> </w:t>
      </w:r>
      <w:r w:rsidRPr="00DC71CB">
        <w:rPr>
          <w:i/>
          <w:highlight w:val="yellow"/>
        </w:rPr>
        <w:t>execução/cobrança</w:t>
      </w:r>
      <w:r>
        <w:rPr>
          <w:i/>
        </w:rPr>
        <w:t xml:space="preserve">: </w:t>
      </w:r>
      <w:r w:rsidRPr="006D570B">
        <w:rPr>
          <w:i/>
          <w:highlight w:val="yellow"/>
        </w:rPr>
        <w:t>mês/ano</w:t>
      </w:r>
      <w:r>
        <w:rPr>
          <w:i/>
        </w:rPr>
        <w:t>.</w:t>
      </w:r>
    </w:p>
    <w:p w14:paraId="178A07CF" w14:textId="622B659D" w:rsidR="00F16107" w:rsidRDefault="00F16107" w:rsidP="00F16107">
      <w:pPr>
        <w:ind w:firstLine="0"/>
      </w:pPr>
      <w:r>
        <w:t>É o parecer</w:t>
      </w:r>
      <w:r w:rsidR="0007009E">
        <w:t>.</w:t>
      </w:r>
    </w:p>
    <w:p w14:paraId="255A4088" w14:textId="4A7DDE42" w:rsidR="007E1851" w:rsidRDefault="00C761C0" w:rsidP="007E1851">
      <w:pPr>
        <w:spacing w:before="0" w:after="120" w:line="240" w:lineRule="auto"/>
        <w:ind w:firstLine="0"/>
        <w:rPr>
          <w:rFonts w:eastAsia="Times New Roman" w:cs="Times New Roman"/>
          <w:szCs w:val="23"/>
        </w:rPr>
      </w:pPr>
      <w:r>
        <w:rPr>
          <w:rFonts w:eastAsia="Times New Roman" w:cs="Times New Roman"/>
          <w:szCs w:val="23"/>
        </w:rPr>
        <w:t>Cascavel,</w:t>
      </w:r>
      <w:r w:rsidR="00793F8C">
        <w:rPr>
          <w:rFonts w:eastAsia="Times New Roman" w:cs="Times New Roman"/>
          <w:szCs w:val="23"/>
        </w:rPr>
        <w:t xml:space="preserve"> </w:t>
      </w:r>
      <w:r w:rsidR="00793F8C">
        <w:rPr>
          <w:rFonts w:eastAsia="Times New Roman" w:cs="Times New Roman"/>
          <w:szCs w:val="23"/>
        </w:rPr>
        <w:fldChar w:fldCharType="begin"/>
      </w:r>
      <w:r w:rsidR="00793F8C">
        <w:rPr>
          <w:rFonts w:eastAsia="Times New Roman" w:cs="Times New Roman"/>
          <w:szCs w:val="23"/>
        </w:rPr>
        <w:instrText xml:space="preserve"> TIME \@ "d' de 'MMMM' de 'yyyy" </w:instrText>
      </w:r>
      <w:r w:rsidR="00793F8C">
        <w:rPr>
          <w:rFonts w:eastAsia="Times New Roman" w:cs="Times New Roman"/>
          <w:szCs w:val="23"/>
        </w:rPr>
        <w:fldChar w:fldCharType="separate"/>
      </w:r>
      <w:r w:rsidR="00023502">
        <w:rPr>
          <w:rFonts w:eastAsia="Times New Roman" w:cs="Times New Roman"/>
          <w:noProof/>
          <w:szCs w:val="23"/>
        </w:rPr>
        <w:t>11 de março de 2026</w:t>
      </w:r>
      <w:r w:rsidR="00793F8C">
        <w:rPr>
          <w:rFonts w:eastAsia="Times New Roman" w:cs="Times New Roman"/>
          <w:szCs w:val="23"/>
        </w:rPr>
        <w:fldChar w:fldCharType="end"/>
      </w:r>
      <w:r w:rsidR="00D939BF">
        <w:rPr>
          <w:rFonts w:eastAsia="Times New Roman" w:cs="Times New Roman"/>
          <w:szCs w:val="23"/>
        </w:rPr>
        <w:t>.</w:t>
      </w:r>
      <w:r w:rsidR="00D90543" w:rsidRPr="00D90543">
        <w:rPr>
          <w:rFonts w:eastAsia="Times New Roman" w:cs="Times New Roman"/>
          <w:noProof/>
          <w:sz w:val="24"/>
          <w:szCs w:val="23"/>
        </w:rPr>
        <w:t xml:space="preserve"> </w:t>
      </w:r>
    </w:p>
    <w:p w14:paraId="6CCEBC90" w14:textId="77777777" w:rsidR="003B3717" w:rsidRDefault="003B3717" w:rsidP="003B3717">
      <w:pPr>
        <w:spacing w:line="240" w:lineRule="auto"/>
        <w:ind w:firstLine="0"/>
        <w:contextualSpacing/>
        <w:rPr>
          <w:rFonts w:eastAsia="Times New Roman" w:cs="Times New Roman"/>
          <w:b/>
          <w:szCs w:val="23"/>
        </w:rPr>
      </w:pPr>
      <w:r w:rsidRPr="00D90543">
        <w:rPr>
          <w:rFonts w:eastAsia="Times New Roman" w:cs="Times New Roman"/>
          <w:noProof/>
          <w:sz w:val="24"/>
          <w:szCs w:val="23"/>
        </w:rPr>
        <w:drawing>
          <wp:anchor distT="0" distB="0" distL="114300" distR="114300" simplePos="0" relativeHeight="251746304" behindDoc="1" locked="0" layoutInCell="1" allowOverlap="1" wp14:anchorId="2E945B1C" wp14:editId="0C781864">
            <wp:simplePos x="0" y="0"/>
            <wp:positionH relativeFrom="column">
              <wp:posOffset>-15875</wp:posOffset>
            </wp:positionH>
            <wp:positionV relativeFrom="paragraph">
              <wp:posOffset>145225</wp:posOffset>
            </wp:positionV>
            <wp:extent cx="2419350" cy="823595"/>
            <wp:effectExtent l="0" t="0" r="0" b="0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82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24D726" w14:textId="77777777" w:rsidR="003B3717" w:rsidRDefault="003B3717" w:rsidP="003B3717">
      <w:pPr>
        <w:spacing w:line="240" w:lineRule="auto"/>
        <w:ind w:firstLine="0"/>
        <w:contextualSpacing/>
        <w:rPr>
          <w:rFonts w:eastAsia="Times New Roman" w:cs="Times New Roman"/>
          <w:szCs w:val="23"/>
        </w:rPr>
      </w:pPr>
    </w:p>
    <w:p w14:paraId="6A5EA9F0" w14:textId="77777777" w:rsidR="003B3717" w:rsidRDefault="003B3717" w:rsidP="003B3717">
      <w:pPr>
        <w:spacing w:line="240" w:lineRule="auto"/>
        <w:ind w:firstLine="0"/>
        <w:contextualSpacing/>
        <w:rPr>
          <w:rFonts w:eastAsia="Times New Roman" w:cs="Times New Roman"/>
          <w:szCs w:val="23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8"/>
        <w:gridCol w:w="4868"/>
      </w:tblGrid>
      <w:tr w:rsidR="003B3717" w14:paraId="5169FE8F" w14:textId="77777777" w:rsidTr="001A79AF">
        <w:tc>
          <w:tcPr>
            <w:tcW w:w="4868" w:type="dxa"/>
          </w:tcPr>
          <w:p w14:paraId="4CAA53EC" w14:textId="77777777" w:rsidR="003B3717" w:rsidRPr="001F7E0B" w:rsidRDefault="003B3717" w:rsidP="001A79AF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szCs w:val="23"/>
              </w:rPr>
            </w:pPr>
            <w:r>
              <w:rPr>
                <w:rFonts w:eastAsia="Times New Roman" w:cs="Times New Roman"/>
                <w:b/>
                <w:szCs w:val="23"/>
              </w:rPr>
              <w:t>Willian Mussolin</w:t>
            </w:r>
          </w:p>
          <w:p w14:paraId="3D62689D" w14:textId="77777777" w:rsidR="003B3717" w:rsidRPr="001F7E0B" w:rsidRDefault="003B3717" w:rsidP="001A79AF">
            <w:pPr>
              <w:spacing w:line="240" w:lineRule="auto"/>
              <w:ind w:firstLine="0"/>
              <w:contextualSpacing/>
              <w:rPr>
                <w:rFonts w:eastAsia="Times New Roman" w:cs="Times New Roman"/>
                <w:szCs w:val="23"/>
              </w:rPr>
            </w:pPr>
            <w:r w:rsidRPr="001F7E0B">
              <w:rPr>
                <w:rFonts w:eastAsia="Times New Roman" w:cs="Times New Roman"/>
                <w:szCs w:val="23"/>
              </w:rPr>
              <w:t>Perito Economista</w:t>
            </w:r>
          </w:p>
          <w:p w14:paraId="03542DC0" w14:textId="77777777" w:rsidR="003B3717" w:rsidRDefault="003B3717" w:rsidP="001A79AF">
            <w:pPr>
              <w:spacing w:line="240" w:lineRule="auto"/>
              <w:ind w:firstLine="0"/>
              <w:contextualSpacing/>
              <w:rPr>
                <w:rFonts w:eastAsia="Times New Roman" w:cs="Times New Roman"/>
                <w:szCs w:val="23"/>
              </w:rPr>
            </w:pPr>
            <w:r w:rsidRPr="001F7E0B">
              <w:rPr>
                <w:rFonts w:eastAsia="Times New Roman" w:cs="Times New Roman"/>
                <w:szCs w:val="23"/>
              </w:rPr>
              <w:t>CORECON/PR</w:t>
            </w:r>
            <w:r w:rsidRPr="001F7E0B">
              <w:rPr>
                <w:rFonts w:eastAsia="Times New Roman" w:cs="Times New Roman"/>
                <w:szCs w:val="23"/>
                <w:vertAlign w:val="superscript"/>
              </w:rPr>
              <w:footnoteReference w:id="2"/>
            </w:r>
            <w:r w:rsidRPr="001F7E0B">
              <w:rPr>
                <w:rFonts w:eastAsia="Times New Roman" w:cs="Times New Roman"/>
                <w:szCs w:val="23"/>
              </w:rPr>
              <w:t xml:space="preserve"> nº </w:t>
            </w:r>
            <w:r>
              <w:rPr>
                <w:rFonts w:eastAsia="Times New Roman" w:cs="Times New Roman"/>
                <w:szCs w:val="23"/>
              </w:rPr>
              <w:t>8.386</w:t>
            </w:r>
          </w:p>
          <w:p w14:paraId="4F6BC2A4" w14:textId="77777777" w:rsidR="003B3717" w:rsidRPr="00E07B6A" w:rsidRDefault="003B3717" w:rsidP="001A79AF">
            <w:pPr>
              <w:spacing w:line="240" w:lineRule="auto"/>
              <w:ind w:firstLine="0"/>
              <w:contextualSpacing/>
              <w:rPr>
                <w:rFonts w:eastAsia="Times New Roman" w:cs="Times New Roman"/>
                <w:szCs w:val="23"/>
              </w:rPr>
            </w:pPr>
            <w:r>
              <w:rPr>
                <w:rFonts w:eastAsia="Times New Roman" w:cs="Times New Roman"/>
                <w:szCs w:val="23"/>
              </w:rPr>
              <w:t>CNPEF/COFECON</w:t>
            </w:r>
            <w:r w:rsidRPr="001F7E0B">
              <w:rPr>
                <w:rFonts w:eastAsia="Times New Roman" w:cs="Times New Roman"/>
                <w:szCs w:val="23"/>
                <w:vertAlign w:val="superscript"/>
              </w:rPr>
              <w:footnoteReference w:id="3"/>
            </w:r>
            <w:r>
              <w:rPr>
                <w:rFonts w:eastAsia="Times New Roman" w:cs="Times New Roman"/>
                <w:szCs w:val="23"/>
              </w:rPr>
              <w:t xml:space="preserve"> n° 393</w:t>
            </w:r>
          </w:p>
        </w:tc>
        <w:tc>
          <w:tcPr>
            <w:tcW w:w="4868" w:type="dxa"/>
          </w:tcPr>
          <w:p w14:paraId="7416E7A4" w14:textId="77777777" w:rsidR="003B3717" w:rsidRDefault="003B3717" w:rsidP="001A79AF">
            <w:pPr>
              <w:spacing w:before="0" w:after="0" w:line="240" w:lineRule="auto"/>
              <w:ind w:firstLine="0"/>
              <w:rPr>
                <w:b/>
                <w:bCs/>
                <w:szCs w:val="23"/>
              </w:rPr>
            </w:pPr>
            <w:r w:rsidRPr="003F0840">
              <w:rPr>
                <w:rFonts w:eastAsia="Times New Roman" w:cs="Times New Roman"/>
                <w:noProof/>
                <w:szCs w:val="23"/>
              </w:rPr>
              <w:drawing>
                <wp:anchor distT="0" distB="0" distL="114300" distR="114300" simplePos="0" relativeHeight="251747328" behindDoc="1" locked="0" layoutInCell="1" allowOverlap="1" wp14:anchorId="764C7849" wp14:editId="6EAF7F0E">
                  <wp:simplePos x="0" y="0"/>
                  <wp:positionH relativeFrom="column">
                    <wp:posOffset>-198076</wp:posOffset>
                  </wp:positionH>
                  <wp:positionV relativeFrom="paragraph">
                    <wp:posOffset>-391087</wp:posOffset>
                  </wp:positionV>
                  <wp:extent cx="2849245" cy="723235"/>
                  <wp:effectExtent l="38100" t="95250" r="27305" b="96520"/>
                  <wp:wrapNone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215951">
                            <a:off x="0" y="0"/>
                            <a:ext cx="2849245" cy="723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  <w:szCs w:val="23"/>
              </w:rPr>
              <w:t>Magno José Bezerra</w:t>
            </w:r>
          </w:p>
          <w:p w14:paraId="2DC17C29" w14:textId="77777777" w:rsidR="003B3717" w:rsidRDefault="003B3717" w:rsidP="001A79AF">
            <w:pPr>
              <w:spacing w:before="0" w:after="0" w:line="240" w:lineRule="auto"/>
              <w:ind w:firstLine="0"/>
              <w:rPr>
                <w:szCs w:val="23"/>
              </w:rPr>
            </w:pPr>
            <w:r>
              <w:rPr>
                <w:szCs w:val="23"/>
              </w:rPr>
              <w:t>Perito Contador</w:t>
            </w:r>
          </w:p>
          <w:p w14:paraId="72C4F4DA" w14:textId="77777777" w:rsidR="003B3717" w:rsidRDefault="003B3717" w:rsidP="001A79AF">
            <w:pPr>
              <w:spacing w:before="0" w:after="0" w:line="240" w:lineRule="auto"/>
              <w:ind w:firstLine="0"/>
              <w:rPr>
                <w:szCs w:val="23"/>
              </w:rPr>
            </w:pPr>
            <w:r>
              <w:rPr>
                <w:szCs w:val="23"/>
              </w:rPr>
              <w:t>PR-076243/O-7</w:t>
            </w:r>
          </w:p>
          <w:p w14:paraId="08F245BC" w14:textId="77777777" w:rsidR="003B3717" w:rsidRPr="00E07B6A" w:rsidRDefault="003B3717" w:rsidP="001A79AF">
            <w:pPr>
              <w:spacing w:before="0" w:after="0" w:line="240" w:lineRule="auto"/>
              <w:ind w:firstLine="0"/>
              <w:rPr>
                <w:szCs w:val="23"/>
              </w:rPr>
            </w:pPr>
            <w:r>
              <w:rPr>
                <w:szCs w:val="23"/>
              </w:rPr>
              <w:t>CRC/PR</w:t>
            </w:r>
            <w:r w:rsidRPr="001F7E0B">
              <w:rPr>
                <w:rFonts w:eastAsia="Times New Roman" w:cs="Times New Roman"/>
                <w:szCs w:val="23"/>
                <w:vertAlign w:val="superscript"/>
              </w:rPr>
              <w:footnoteReference w:id="4"/>
            </w:r>
          </w:p>
        </w:tc>
      </w:tr>
      <w:tr w:rsidR="003B3717" w14:paraId="4B6544C7" w14:textId="77777777" w:rsidTr="001A79AF">
        <w:tc>
          <w:tcPr>
            <w:tcW w:w="4868" w:type="dxa"/>
          </w:tcPr>
          <w:p w14:paraId="6A5795CE" w14:textId="77777777" w:rsidR="003B3717" w:rsidRDefault="003B3717" w:rsidP="001A79AF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szCs w:val="23"/>
              </w:rPr>
            </w:pPr>
          </w:p>
        </w:tc>
        <w:tc>
          <w:tcPr>
            <w:tcW w:w="4868" w:type="dxa"/>
          </w:tcPr>
          <w:p w14:paraId="3D1AE238" w14:textId="77777777" w:rsidR="003B3717" w:rsidRPr="003F0840" w:rsidRDefault="003B3717" w:rsidP="001A79AF">
            <w:pPr>
              <w:spacing w:before="0" w:after="0" w:line="240" w:lineRule="auto"/>
              <w:ind w:firstLine="0"/>
              <w:rPr>
                <w:rFonts w:eastAsia="Times New Roman" w:cs="Times New Roman"/>
                <w:noProof/>
                <w:szCs w:val="23"/>
              </w:rPr>
            </w:pPr>
          </w:p>
        </w:tc>
      </w:tr>
      <w:tr w:rsidR="00D85EF9" w14:paraId="00674762" w14:textId="77777777" w:rsidTr="001A79AF">
        <w:tc>
          <w:tcPr>
            <w:tcW w:w="4868" w:type="dxa"/>
          </w:tcPr>
          <w:p w14:paraId="4880BF14" w14:textId="77777777" w:rsidR="00D85EF9" w:rsidRPr="00B251E8" w:rsidRDefault="00D85EF9" w:rsidP="00D85EF9">
            <w:pPr>
              <w:spacing w:line="240" w:lineRule="auto"/>
              <w:ind w:firstLine="0"/>
              <w:contextualSpacing/>
              <w:rPr>
                <w:b/>
              </w:rPr>
            </w:pPr>
            <w:r w:rsidRPr="00B251E8">
              <w:rPr>
                <w:b/>
              </w:rPr>
              <w:t>Kaio Arlei Strelow</w:t>
            </w:r>
          </w:p>
          <w:p w14:paraId="0E2F3FB4" w14:textId="77777777" w:rsidR="00D85EF9" w:rsidRPr="00B251E8" w:rsidRDefault="00D85EF9" w:rsidP="00D85EF9">
            <w:pPr>
              <w:spacing w:line="240" w:lineRule="auto"/>
              <w:ind w:firstLine="0"/>
              <w:contextualSpacing/>
              <w:rPr>
                <w:bCs/>
              </w:rPr>
            </w:pPr>
            <w:r>
              <w:rPr>
                <w:bCs/>
              </w:rPr>
              <w:t>Economista</w:t>
            </w:r>
          </w:p>
          <w:p w14:paraId="08948801" w14:textId="45ABA346" w:rsidR="00D85EF9" w:rsidRPr="00C53FC4" w:rsidRDefault="00D85EF9" w:rsidP="00D85EF9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szCs w:val="23"/>
              </w:rPr>
            </w:pPr>
            <w:r w:rsidRPr="00B251E8">
              <w:rPr>
                <w:bCs/>
              </w:rPr>
              <w:t xml:space="preserve">CORECON/PR n° </w:t>
            </w:r>
            <w:r>
              <w:rPr>
                <w:bCs/>
              </w:rPr>
              <w:t>8914</w:t>
            </w:r>
          </w:p>
        </w:tc>
        <w:tc>
          <w:tcPr>
            <w:tcW w:w="4868" w:type="dxa"/>
          </w:tcPr>
          <w:p w14:paraId="726B3FD0" w14:textId="77777777" w:rsidR="00792E0E" w:rsidRDefault="00792E0E" w:rsidP="00792E0E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szCs w:val="23"/>
              </w:rPr>
            </w:pPr>
            <w:r w:rsidRPr="00C23561">
              <w:rPr>
                <w:rFonts w:eastAsia="Times New Roman" w:cs="Times New Roman"/>
                <w:b/>
                <w:szCs w:val="23"/>
              </w:rPr>
              <w:t>Carlos Daniel Giacomassa Bezerra</w:t>
            </w:r>
          </w:p>
          <w:p w14:paraId="7148CDCE" w14:textId="77777777" w:rsidR="00D85EF9" w:rsidRDefault="00792E0E" w:rsidP="00792E0E">
            <w:pPr>
              <w:spacing w:before="0" w:after="0" w:line="240" w:lineRule="auto"/>
              <w:ind w:firstLine="0"/>
              <w:rPr>
                <w:rFonts w:eastAsia="Times New Roman" w:cs="Times New Roman"/>
                <w:bCs/>
                <w:szCs w:val="23"/>
              </w:rPr>
            </w:pPr>
            <w:r>
              <w:rPr>
                <w:rFonts w:eastAsia="Times New Roman" w:cs="Times New Roman"/>
                <w:bCs/>
                <w:szCs w:val="23"/>
              </w:rPr>
              <w:t>Estudante de Ciências Econômicas</w:t>
            </w:r>
          </w:p>
          <w:p w14:paraId="1D309C48" w14:textId="77777777" w:rsidR="00FF08D9" w:rsidRDefault="00FF08D9" w:rsidP="00792E0E">
            <w:pPr>
              <w:spacing w:before="0" w:after="0" w:line="240" w:lineRule="auto"/>
              <w:ind w:firstLine="0"/>
              <w:rPr>
                <w:rFonts w:eastAsia="Times New Roman" w:cs="Times New Roman"/>
                <w:bCs/>
                <w:noProof/>
                <w:szCs w:val="23"/>
              </w:rPr>
            </w:pPr>
          </w:p>
          <w:p w14:paraId="52E28838" w14:textId="77777777" w:rsidR="00FF08D9" w:rsidRPr="00FF08D9" w:rsidRDefault="00FF08D9" w:rsidP="00FF08D9">
            <w:pPr>
              <w:spacing w:before="0" w:after="0" w:line="240" w:lineRule="auto"/>
              <w:ind w:firstLine="0"/>
              <w:rPr>
                <w:rFonts w:eastAsia="Times New Roman" w:cs="Times New Roman"/>
                <w:b/>
                <w:szCs w:val="23"/>
              </w:rPr>
            </w:pPr>
            <w:r w:rsidRPr="00FF08D9">
              <w:rPr>
                <w:rFonts w:eastAsia="Times New Roman" w:cs="Times New Roman"/>
                <w:b/>
                <w:szCs w:val="23"/>
              </w:rPr>
              <w:t>Giselia Araujo Santos Eberhart</w:t>
            </w:r>
          </w:p>
          <w:p w14:paraId="5790BB76" w14:textId="77777777" w:rsidR="00FF08D9" w:rsidRPr="00B82962" w:rsidRDefault="00FF08D9" w:rsidP="00FF08D9">
            <w:pPr>
              <w:spacing w:before="0" w:after="0" w:line="240" w:lineRule="auto"/>
              <w:ind w:firstLine="0"/>
              <w:rPr>
                <w:rFonts w:eastAsia="Times New Roman" w:cs="Times New Roman"/>
                <w:bCs/>
                <w:szCs w:val="23"/>
              </w:rPr>
            </w:pPr>
            <w:r w:rsidRPr="00B82962">
              <w:rPr>
                <w:rFonts w:eastAsia="Times New Roman" w:cs="Times New Roman"/>
                <w:bCs/>
                <w:szCs w:val="23"/>
              </w:rPr>
              <w:t>Estudante de Ciências Econômicas</w:t>
            </w:r>
          </w:p>
          <w:p w14:paraId="66748604" w14:textId="77777777" w:rsidR="00FF08D9" w:rsidRDefault="00FF08D9" w:rsidP="00FF08D9">
            <w:pPr>
              <w:spacing w:before="0" w:after="0" w:line="240" w:lineRule="auto"/>
              <w:ind w:firstLine="0"/>
            </w:pPr>
            <w:r w:rsidRPr="00FF08D9">
              <w:rPr>
                <w:rFonts w:eastAsia="Times New Roman" w:cs="Times New Roman"/>
                <w:bCs/>
                <w:szCs w:val="23"/>
              </w:rPr>
              <w:t>CORECON/PR nº</w:t>
            </w:r>
            <w:r w:rsidRPr="00B82962">
              <w:rPr>
                <w:bCs/>
              </w:rPr>
              <w:t xml:space="preserve"> E-3139</w:t>
            </w:r>
          </w:p>
          <w:p w14:paraId="18AD7EB4" w14:textId="77777777" w:rsidR="00FF08D9" w:rsidRDefault="00FF08D9" w:rsidP="00792E0E">
            <w:pPr>
              <w:spacing w:before="0" w:after="0" w:line="240" w:lineRule="auto"/>
              <w:ind w:firstLine="0"/>
              <w:rPr>
                <w:rFonts w:eastAsia="Times New Roman" w:cs="Times New Roman"/>
                <w:noProof/>
                <w:szCs w:val="23"/>
              </w:rPr>
            </w:pPr>
          </w:p>
          <w:p w14:paraId="6DC7DE19" w14:textId="77777777" w:rsidR="00D5407E" w:rsidRPr="00D5407E" w:rsidRDefault="00D5407E" w:rsidP="00D5407E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szCs w:val="23"/>
              </w:rPr>
            </w:pPr>
            <w:r w:rsidRPr="00D5407E">
              <w:rPr>
                <w:rFonts w:eastAsia="Times New Roman" w:cs="Times New Roman"/>
                <w:b/>
                <w:szCs w:val="23"/>
              </w:rPr>
              <w:t xml:space="preserve">Thainá Gabriela </w:t>
            </w:r>
            <w:proofErr w:type="spellStart"/>
            <w:r w:rsidRPr="00D5407E">
              <w:rPr>
                <w:rFonts w:eastAsia="Times New Roman" w:cs="Times New Roman"/>
                <w:b/>
                <w:szCs w:val="23"/>
              </w:rPr>
              <w:t>Colpani</w:t>
            </w:r>
            <w:proofErr w:type="spellEnd"/>
            <w:r w:rsidRPr="00D5407E">
              <w:rPr>
                <w:rFonts w:eastAsia="Times New Roman" w:cs="Times New Roman"/>
                <w:b/>
                <w:szCs w:val="23"/>
              </w:rPr>
              <w:t xml:space="preserve"> Bezerra</w:t>
            </w:r>
          </w:p>
          <w:p w14:paraId="5BEC068E" w14:textId="27A05135" w:rsidR="00FF08D9" w:rsidRDefault="00D5407E" w:rsidP="00D5407E">
            <w:pPr>
              <w:spacing w:before="0" w:after="0" w:line="240" w:lineRule="auto"/>
              <w:ind w:firstLine="0"/>
              <w:rPr>
                <w:rFonts w:eastAsia="Times New Roman" w:cs="Times New Roman"/>
                <w:bCs/>
                <w:szCs w:val="23"/>
              </w:rPr>
            </w:pPr>
            <w:r w:rsidRPr="00D5407E">
              <w:rPr>
                <w:rFonts w:eastAsia="Times New Roman" w:cs="Times New Roman"/>
                <w:bCs/>
                <w:szCs w:val="23"/>
              </w:rPr>
              <w:t>Estudante de Ciências Econômicas</w:t>
            </w:r>
          </w:p>
          <w:p w14:paraId="4783B8A5" w14:textId="368B2104" w:rsidR="00D5407E" w:rsidRDefault="00587642" w:rsidP="00D5407E">
            <w:pPr>
              <w:spacing w:before="0" w:after="0" w:line="240" w:lineRule="auto"/>
              <w:ind w:firstLine="0"/>
              <w:rPr>
                <w:bCs/>
              </w:rPr>
            </w:pPr>
            <w:r w:rsidRPr="00713419">
              <w:rPr>
                <w:bCs/>
              </w:rPr>
              <w:t>CORECON/PR n° E-3101</w:t>
            </w:r>
          </w:p>
          <w:p w14:paraId="53310254" w14:textId="77777777" w:rsidR="00587642" w:rsidRDefault="00587642" w:rsidP="00D5407E">
            <w:pPr>
              <w:spacing w:before="0" w:after="0" w:line="240" w:lineRule="auto"/>
              <w:ind w:firstLine="0"/>
              <w:rPr>
                <w:rFonts w:eastAsia="Times New Roman" w:cs="Times New Roman"/>
                <w:bCs/>
                <w:noProof/>
                <w:szCs w:val="23"/>
              </w:rPr>
            </w:pPr>
          </w:p>
          <w:p w14:paraId="7E8462EC" w14:textId="6EDC1347" w:rsidR="00D5407E" w:rsidRPr="00D5407E" w:rsidRDefault="00D5407E" w:rsidP="00D5407E">
            <w:pPr>
              <w:spacing w:line="240" w:lineRule="auto"/>
              <w:ind w:firstLine="0"/>
              <w:contextualSpacing/>
              <w:rPr>
                <w:rFonts w:eastAsia="Times New Roman" w:cs="Times New Roman"/>
                <w:b/>
                <w:szCs w:val="23"/>
              </w:rPr>
            </w:pPr>
            <w:r>
              <w:rPr>
                <w:rFonts w:eastAsia="Times New Roman" w:cs="Times New Roman"/>
                <w:b/>
                <w:szCs w:val="23"/>
              </w:rPr>
              <w:t xml:space="preserve">José Ilan </w:t>
            </w:r>
            <w:r w:rsidRPr="00D5407E">
              <w:rPr>
                <w:rFonts w:eastAsia="Times New Roman" w:cs="Times New Roman"/>
                <w:b/>
                <w:szCs w:val="23"/>
              </w:rPr>
              <w:t>Bezerra</w:t>
            </w:r>
            <w:r>
              <w:rPr>
                <w:rFonts w:eastAsia="Times New Roman" w:cs="Times New Roman"/>
                <w:b/>
                <w:szCs w:val="23"/>
              </w:rPr>
              <w:t xml:space="preserve"> Pinto</w:t>
            </w:r>
          </w:p>
          <w:p w14:paraId="0D11D6BA" w14:textId="3F817A58" w:rsidR="00FF08D9" w:rsidRPr="003F0840" w:rsidRDefault="00D5407E" w:rsidP="00792E0E">
            <w:pPr>
              <w:spacing w:before="0" w:after="0" w:line="240" w:lineRule="auto"/>
              <w:ind w:firstLine="0"/>
              <w:rPr>
                <w:rFonts w:eastAsia="Times New Roman" w:cs="Times New Roman"/>
                <w:noProof/>
                <w:szCs w:val="23"/>
              </w:rPr>
            </w:pPr>
            <w:r w:rsidRPr="00D5407E">
              <w:rPr>
                <w:rFonts w:eastAsia="Times New Roman" w:cs="Times New Roman"/>
                <w:bCs/>
                <w:szCs w:val="23"/>
              </w:rPr>
              <w:lastRenderedPageBreak/>
              <w:t>Estudante de Ciências Econômicas</w:t>
            </w:r>
          </w:p>
        </w:tc>
      </w:tr>
    </w:tbl>
    <w:p w14:paraId="7EE13633" w14:textId="3A450EBA" w:rsidR="00752DD0" w:rsidRDefault="00752DD0" w:rsidP="003B3717">
      <w:pPr>
        <w:tabs>
          <w:tab w:val="left" w:pos="5490"/>
        </w:tabs>
        <w:spacing w:before="0" w:after="120" w:line="240" w:lineRule="auto"/>
        <w:ind w:firstLine="0"/>
        <w:rPr>
          <w:rFonts w:eastAsia="Times New Roman" w:cs="Times New Roman"/>
          <w:szCs w:val="23"/>
        </w:rPr>
      </w:pPr>
    </w:p>
    <w:p w14:paraId="0652C7B2" w14:textId="77777777" w:rsidR="00214A6E" w:rsidRDefault="00214A6E" w:rsidP="003B3717">
      <w:pPr>
        <w:tabs>
          <w:tab w:val="left" w:pos="5490"/>
        </w:tabs>
        <w:spacing w:before="0" w:after="120" w:line="240" w:lineRule="auto"/>
        <w:ind w:firstLine="0"/>
        <w:rPr>
          <w:rFonts w:eastAsia="Times New Roman" w:cs="Times New Roman"/>
          <w:szCs w:val="23"/>
        </w:rPr>
      </w:pPr>
    </w:p>
    <w:sectPr w:rsidR="00214A6E" w:rsidSect="00B74C44">
      <w:headerReference w:type="default" r:id="rId11"/>
      <w:footerReference w:type="default" r:id="rId12"/>
      <w:pgSz w:w="11906" w:h="16838" w:code="9"/>
      <w:pgMar w:top="1440" w:right="1080" w:bottom="1440" w:left="1080" w:header="0" w:footer="26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26B0B" w14:textId="77777777" w:rsidR="00033E97" w:rsidRDefault="00033E97" w:rsidP="001C38E8">
      <w:r>
        <w:separator/>
      </w:r>
    </w:p>
  </w:endnote>
  <w:endnote w:type="continuationSeparator" w:id="0">
    <w:p w14:paraId="2659AC30" w14:textId="77777777" w:rsidR="00033E97" w:rsidRDefault="00033E97" w:rsidP="001C38E8">
      <w:r>
        <w:continuationSeparator/>
      </w:r>
    </w:p>
  </w:endnote>
  <w:endnote w:id="1">
    <w:p w14:paraId="2B24D2E3" w14:textId="77777777" w:rsidR="00D236BB" w:rsidRDefault="00D236BB" w:rsidP="00D236BB">
      <w:pPr>
        <w:pStyle w:val="SRecuo"/>
      </w:pPr>
      <w:r>
        <w:rPr>
          <w:rStyle w:val="Refdenotadefim"/>
        </w:rPr>
        <w:endnoteRef/>
      </w:r>
      <w:r>
        <w:t xml:space="preserve"> Correção Monetária. </w:t>
      </w:r>
      <w:r>
        <w:rPr>
          <w:b/>
        </w:rPr>
        <w:t>Danos Financeiros Irreparáveis</w:t>
      </w:r>
      <w:r>
        <w:t>. Editora Del Rey, Belo Horizonte, 3ª edição, 2003, p. 38.</w:t>
      </w:r>
    </w:p>
  </w:endnote>
  <w:endnote w:id="2">
    <w:p w14:paraId="401DAA39" w14:textId="77777777" w:rsidR="00A716CC" w:rsidRPr="002A11CA" w:rsidRDefault="00A716CC" w:rsidP="00A716CC">
      <w:pPr>
        <w:pStyle w:val="Textodenotadefim"/>
        <w:spacing w:after="240"/>
        <w:rPr>
          <w:sz w:val="22"/>
          <w:szCs w:val="22"/>
        </w:rPr>
      </w:pPr>
      <w:r w:rsidRPr="002A11CA">
        <w:rPr>
          <w:rStyle w:val="Refdenotadefim"/>
          <w:sz w:val="22"/>
          <w:szCs w:val="22"/>
        </w:rPr>
        <w:endnoteRef/>
      </w:r>
      <w:r w:rsidRPr="002A11CA">
        <w:rPr>
          <w:sz w:val="22"/>
          <w:szCs w:val="22"/>
        </w:rPr>
        <w:t xml:space="preserve"> LAPPONI, Juan Carlos. </w:t>
      </w:r>
      <w:r w:rsidRPr="002A11CA">
        <w:rPr>
          <w:b/>
          <w:bCs/>
          <w:sz w:val="22"/>
          <w:szCs w:val="22"/>
        </w:rPr>
        <w:t xml:space="preserve">Matemática Financeira. </w:t>
      </w:r>
      <w:r w:rsidRPr="002A11CA">
        <w:rPr>
          <w:sz w:val="22"/>
          <w:szCs w:val="22"/>
        </w:rPr>
        <w:t>3ª edição. Rio de Janeiro: Elsevier, 2014.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bel B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F80FE" w14:textId="77777777" w:rsidR="00D7524A" w:rsidRDefault="00D7524A" w:rsidP="00462D03">
    <w:pPr>
      <w:pStyle w:val="RodapM"/>
    </w:pPr>
    <w:r>
      <w:t>_____________________________________________________________________________________________________________________</w:t>
    </w:r>
  </w:p>
  <w:p w14:paraId="638FD1EE" w14:textId="77777777" w:rsidR="00462D03" w:rsidRPr="00C37001" w:rsidRDefault="00462D03" w:rsidP="00462D03">
    <w:pPr>
      <w:pStyle w:val="RodapM"/>
    </w:pPr>
    <w:r w:rsidRPr="00C37001">
      <w:fldChar w:fldCharType="begin"/>
    </w:r>
    <w:r w:rsidRPr="00C37001">
      <w:instrText>PAGE</w:instrText>
    </w:r>
    <w:r w:rsidRPr="00C37001">
      <w:fldChar w:fldCharType="separate"/>
    </w:r>
    <w:r>
      <w:t>1</w:t>
    </w:r>
    <w:r w:rsidRPr="00C37001">
      <w:fldChar w:fldCharType="end"/>
    </w:r>
    <w:r w:rsidRPr="00C37001">
      <w:t>/</w:t>
    </w:r>
    <w:r w:rsidRPr="00C37001">
      <w:fldChar w:fldCharType="begin"/>
    </w:r>
    <w:r w:rsidRPr="00C37001">
      <w:instrText>NUMPAGES</w:instrText>
    </w:r>
    <w:r w:rsidRPr="00C37001">
      <w:fldChar w:fldCharType="separate"/>
    </w:r>
    <w:r>
      <w:t>112</w:t>
    </w:r>
    <w:r w:rsidRPr="00C37001">
      <w:fldChar w:fldCharType="end"/>
    </w:r>
  </w:p>
  <w:p w14:paraId="1F758BAD" w14:textId="77777777" w:rsidR="00462D03" w:rsidRDefault="00462D03" w:rsidP="00D05779">
    <w:pPr>
      <w:pStyle w:val="RodapM"/>
      <w:jc w:val="left"/>
    </w:pPr>
    <w:r>
      <w:t xml:space="preserve">Contato: (45) 3306-8566 | </w:t>
    </w:r>
    <w:r w:rsidRPr="00C37001">
      <w:t xml:space="preserve">(45) </w:t>
    </w:r>
    <w:r>
      <w:t>9 9971-1533</w:t>
    </w:r>
    <w:r w:rsidRPr="00C37001">
      <w:t xml:space="preserve"> </w:t>
    </w:r>
    <w:r>
      <w:t>| contato</w:t>
    </w:r>
    <w:r w:rsidRPr="00C37001">
      <w:t>@</w:t>
    </w:r>
    <w:r>
      <w:t>valorefetivo</w:t>
    </w:r>
    <w:r w:rsidRPr="00C37001">
      <w:t>.</w:t>
    </w:r>
    <w:r>
      <w:t>com</w:t>
    </w:r>
    <w:r w:rsidRPr="00C37001">
      <w:t>.br</w:t>
    </w:r>
  </w:p>
  <w:p w14:paraId="281EFDF1" w14:textId="69AD4627" w:rsidR="00D7524A" w:rsidRPr="008317B0" w:rsidRDefault="00462D03" w:rsidP="00D05779">
    <w:pPr>
      <w:pStyle w:val="RodapM"/>
      <w:jc w:val="left"/>
    </w:pPr>
    <w:r>
      <w:t>Av. Rocha Pombo, 501 – Sala 01</w:t>
    </w:r>
    <w:r w:rsidRPr="00C37001">
      <w:t xml:space="preserve"> </w:t>
    </w:r>
    <w:r>
      <w:t xml:space="preserve">| São Cristóvão </w:t>
    </w:r>
    <w:r w:rsidRPr="00C37001">
      <w:t>- Cascavel/PR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36E84" w14:textId="77777777" w:rsidR="00033E97" w:rsidRDefault="00033E97" w:rsidP="001C38E8">
      <w:r>
        <w:separator/>
      </w:r>
    </w:p>
  </w:footnote>
  <w:footnote w:type="continuationSeparator" w:id="0">
    <w:p w14:paraId="1DA52F4B" w14:textId="77777777" w:rsidR="00033E97" w:rsidRDefault="00033E97" w:rsidP="001C38E8">
      <w:r>
        <w:continuationSeparator/>
      </w:r>
    </w:p>
  </w:footnote>
  <w:footnote w:id="1">
    <w:p w14:paraId="4B48BA3E" w14:textId="5E62DDC2" w:rsidR="00A716CC" w:rsidRDefault="00A716CC" w:rsidP="00A716CC">
      <w:pPr>
        <w:pStyle w:val="Textodenotaderodap"/>
        <w:spacing w:before="0" w:after="0" w:line="240" w:lineRule="auto"/>
        <w:ind w:firstLine="0"/>
      </w:pPr>
      <w:r w:rsidRPr="00553379">
        <w:rPr>
          <w:rStyle w:val="Refdenotaderodap"/>
          <w:sz w:val="20"/>
        </w:rPr>
        <w:footnoteRef/>
      </w:r>
      <w:r w:rsidRPr="00553379">
        <w:rPr>
          <w:sz w:val="20"/>
        </w:rPr>
        <w:t xml:space="preserve"> Juan Carlos Lapponi é engenheiro pela Faculdade de Engenharia da Universidade de Buenos Aires e Doutor em Engenharia pela Escola Politécnica da Universidade de São Paulo. Professor dos cursos de MBA em Finanças Corporativas e MBA em Gestão Empresarial da FGV Management da Fundação Getúlio Vargas, e do MBA em Administração para Engenheiros do IMT-Instituto Mauá de Tecnologia. Autor de diversos livros de matemática financeira</w:t>
      </w:r>
      <w:r>
        <w:rPr>
          <w:sz w:val="20"/>
        </w:rPr>
        <w:t>.</w:t>
      </w:r>
    </w:p>
  </w:footnote>
  <w:footnote w:id="2">
    <w:p w14:paraId="5DAA23B6" w14:textId="77777777" w:rsidR="003B3717" w:rsidRDefault="003B3717" w:rsidP="003B3717">
      <w:pPr>
        <w:pStyle w:val="Textodenotaderodap"/>
        <w:spacing w:before="0" w:after="0" w:line="240" w:lineRule="auto"/>
        <w:ind w:firstLine="0"/>
      </w:pPr>
      <w:r>
        <w:rPr>
          <w:rStyle w:val="Refdenotaderodap"/>
        </w:rPr>
        <w:footnoteRef/>
      </w:r>
      <w:r>
        <w:t xml:space="preserve"> CORECON/PR (Conselho Regional de Economia do Paraná)</w:t>
      </w:r>
    </w:p>
  </w:footnote>
  <w:footnote w:id="3">
    <w:p w14:paraId="6328DF0C" w14:textId="77777777" w:rsidR="003B3717" w:rsidRDefault="003B3717" w:rsidP="003B3717">
      <w:pPr>
        <w:pStyle w:val="Textodenotaderodap"/>
        <w:spacing w:before="0" w:after="0" w:line="240" w:lineRule="auto"/>
        <w:ind w:firstLine="0"/>
      </w:pPr>
      <w:r>
        <w:rPr>
          <w:rStyle w:val="Refdenotaderodap"/>
        </w:rPr>
        <w:footnoteRef/>
      </w:r>
      <w:r>
        <w:t xml:space="preserve"> CNPEF (Cadastro Nacional de Peritos de Economia e Finanças / Conselho Federal de Economia)</w:t>
      </w:r>
    </w:p>
  </w:footnote>
  <w:footnote w:id="4">
    <w:p w14:paraId="3201B8B6" w14:textId="77777777" w:rsidR="003B3717" w:rsidRDefault="003B3717" w:rsidP="003B3717">
      <w:pPr>
        <w:pStyle w:val="Textodenotaderodap"/>
        <w:spacing w:before="0" w:after="0" w:line="240" w:lineRule="auto"/>
        <w:ind w:firstLine="0"/>
      </w:pPr>
      <w:r>
        <w:rPr>
          <w:rStyle w:val="Refdenotaderodap"/>
        </w:rPr>
        <w:footnoteRef/>
      </w:r>
      <w:r>
        <w:t xml:space="preserve"> CRC/PR (Conselho Regional de Contabilidade)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4C9D1" w14:textId="77777777" w:rsidR="00D05779" w:rsidRDefault="00D05779" w:rsidP="0022139D">
    <w:pPr>
      <w:pStyle w:val="Cabealho"/>
      <w:spacing w:before="0" w:after="0" w:line="240" w:lineRule="auto"/>
      <w:jc w:val="right"/>
      <w:rPr>
        <w:rFonts w:eastAsiaTheme="minorEastAsia"/>
      </w:rPr>
    </w:pPr>
  </w:p>
  <w:p w14:paraId="6DEF8F3A" w14:textId="77777777" w:rsidR="00D05779" w:rsidRDefault="00D05779" w:rsidP="0022139D">
    <w:pPr>
      <w:pStyle w:val="Cabealho"/>
      <w:spacing w:before="0" w:after="0" w:line="240" w:lineRule="auto"/>
      <w:jc w:val="right"/>
      <w:rPr>
        <w:rFonts w:eastAsiaTheme="minorEastAsia"/>
      </w:rPr>
    </w:pPr>
  </w:p>
  <w:p w14:paraId="4F08B10C" w14:textId="2CEF2873" w:rsidR="00D7524A" w:rsidRDefault="00D7524A" w:rsidP="0022139D">
    <w:pPr>
      <w:pStyle w:val="Cabealho"/>
      <w:spacing w:before="0" w:after="0" w:line="240" w:lineRule="auto"/>
      <w:jc w:val="right"/>
      <w:rPr>
        <w:rFonts w:eastAsiaTheme="minorEastAsia"/>
      </w:rPr>
    </w:pPr>
    <w:r>
      <w:rPr>
        <w:rFonts w:eastAsiaTheme="minorEastAsia"/>
        <w:noProof/>
      </w:rPr>
      <w:drawing>
        <wp:anchor distT="0" distB="0" distL="114300" distR="114300" simplePos="0" relativeHeight="251658240" behindDoc="1" locked="0" layoutInCell="1" allowOverlap="1" wp14:anchorId="2DBCEA2B" wp14:editId="437050FB">
          <wp:simplePos x="0" y="0"/>
          <wp:positionH relativeFrom="column">
            <wp:posOffset>-542078</wp:posOffset>
          </wp:positionH>
          <wp:positionV relativeFrom="paragraph">
            <wp:posOffset>-352425</wp:posOffset>
          </wp:positionV>
          <wp:extent cx="2533650" cy="1553729"/>
          <wp:effectExtent l="0" t="0" r="0" b="889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Valor Efetivo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3650" cy="15537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7CF5F9" w14:textId="77777777" w:rsidR="00D7524A" w:rsidRPr="007D59DA" w:rsidRDefault="00D7524A" w:rsidP="005D749E">
    <w:pPr>
      <w:pStyle w:val="Cabealho"/>
      <w:spacing w:before="0" w:after="0" w:line="240" w:lineRule="auto"/>
      <w:jc w:val="right"/>
      <w:rPr>
        <w:rFonts w:ascii="Kabel Bk BT" w:eastAsiaTheme="minorEastAsia" w:hAnsi="Kabel Bk BT"/>
        <w:sz w:val="24"/>
        <w:szCs w:val="24"/>
      </w:rPr>
    </w:pPr>
    <w:r w:rsidRPr="007D59DA">
      <w:rPr>
        <w:rFonts w:ascii="Kabel Bk BT" w:eastAsiaTheme="minorEastAsia" w:hAnsi="Kabel Bk BT"/>
        <w:b/>
        <w:sz w:val="24"/>
        <w:szCs w:val="24"/>
      </w:rPr>
      <w:t>Willian</w:t>
    </w:r>
    <w:r w:rsidRPr="007D59DA">
      <w:rPr>
        <w:rFonts w:ascii="Kabel Bk BT" w:eastAsiaTheme="minorEastAsia" w:hAnsi="Kabel Bk BT"/>
        <w:sz w:val="24"/>
        <w:szCs w:val="24"/>
      </w:rPr>
      <w:t xml:space="preserve"> Mussolin </w:t>
    </w:r>
  </w:p>
  <w:p w14:paraId="23F5186B" w14:textId="77777777" w:rsidR="00D7524A" w:rsidRPr="0065766D" w:rsidRDefault="00D7524A" w:rsidP="005D749E">
    <w:pPr>
      <w:pStyle w:val="Cabealho"/>
      <w:spacing w:before="0" w:after="0" w:line="240" w:lineRule="auto"/>
      <w:jc w:val="right"/>
      <w:rPr>
        <w:rFonts w:ascii="Kabel Bk BT" w:eastAsiaTheme="minorEastAsia" w:hAnsi="Kabel Bk BT"/>
        <w:b/>
        <w:sz w:val="24"/>
        <w:szCs w:val="24"/>
      </w:rPr>
    </w:pPr>
    <w:r w:rsidRPr="000E03A0">
      <w:rPr>
        <w:rFonts w:ascii="Kabel Bk BT" w:eastAsiaTheme="minorEastAsia" w:hAnsi="Kabel Bk BT"/>
        <w:sz w:val="24"/>
        <w:szCs w:val="24"/>
      </w:rPr>
      <w:t xml:space="preserve">Perito </w:t>
    </w:r>
    <w:r w:rsidRPr="000E03A0">
      <w:rPr>
        <w:rFonts w:ascii="Kabel Bk BT" w:eastAsiaTheme="minorEastAsia" w:hAnsi="Kabel Bk BT"/>
        <w:b/>
        <w:sz w:val="24"/>
        <w:szCs w:val="24"/>
      </w:rPr>
      <w:t>Economista</w:t>
    </w:r>
    <w:r>
      <w:rPr>
        <w:rFonts w:ascii="Kabel Bk BT" w:eastAsiaTheme="minorEastAsia" w:hAnsi="Kabel Bk BT"/>
        <w:b/>
        <w:sz w:val="24"/>
        <w:szCs w:val="24"/>
      </w:rPr>
      <w:t xml:space="preserve"> </w:t>
    </w:r>
    <w:r>
      <w:t>______________________________________________________________________________________________________</w:t>
    </w:r>
  </w:p>
  <w:p w14:paraId="0CB674E0" w14:textId="77777777" w:rsidR="00D7524A" w:rsidRPr="007436C1" w:rsidRDefault="00D7524A" w:rsidP="00F0048C">
    <w:pPr>
      <w:pStyle w:val="Cabealho"/>
      <w:tabs>
        <w:tab w:val="clear" w:pos="4252"/>
        <w:tab w:val="clear" w:pos="8504"/>
        <w:tab w:val="left" w:pos="-709"/>
        <w:tab w:val="left" w:pos="6946"/>
      </w:tabs>
      <w:spacing w:before="0" w:after="0" w:line="240" w:lineRule="auto"/>
      <w:ind w:right="-285" w:firstLine="0"/>
      <w:jc w:val="right"/>
      <w:rPr>
        <w:rFonts w:ascii="Century Gothic" w:eastAsiaTheme="minorEastAsia" w:hAnsi="Century Gothic"/>
        <w:i/>
      </w:rPr>
    </w:pPr>
    <w:r>
      <w:rPr>
        <w:rFonts w:ascii="Century Gothic" w:eastAsiaTheme="minorEastAsia" w:hAnsi="Century Gothic"/>
        <w:i/>
      </w:rPr>
      <w:t xml:space="preserve">                                                       </w:t>
    </w:r>
    <w:r>
      <w:rPr>
        <w:rFonts w:ascii="Century Gothic" w:eastAsiaTheme="minorEastAsia" w:hAnsi="Century Gothic"/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2F94"/>
    <w:multiLevelType w:val="hybridMultilevel"/>
    <w:tmpl w:val="EC1A3C5C"/>
    <w:lvl w:ilvl="0" w:tplc="0416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3C95D24"/>
    <w:multiLevelType w:val="hybridMultilevel"/>
    <w:tmpl w:val="EEBC64F0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6A17DF5"/>
    <w:multiLevelType w:val="hybridMultilevel"/>
    <w:tmpl w:val="0BAAB638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CEF660E"/>
    <w:multiLevelType w:val="hybridMultilevel"/>
    <w:tmpl w:val="DE1A1246"/>
    <w:lvl w:ilvl="0" w:tplc="405A4B66">
      <w:start w:val="1"/>
      <w:numFmt w:val="bullet"/>
      <w:pStyle w:val="Lista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279BD"/>
    <w:multiLevelType w:val="hybridMultilevel"/>
    <w:tmpl w:val="209C455A"/>
    <w:lvl w:ilvl="0" w:tplc="0C486ED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3C7EC7"/>
    <w:multiLevelType w:val="hybridMultilevel"/>
    <w:tmpl w:val="E75C6F48"/>
    <w:lvl w:ilvl="0" w:tplc="0C486ED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45595"/>
    <w:multiLevelType w:val="hybridMultilevel"/>
    <w:tmpl w:val="D49CDB12"/>
    <w:lvl w:ilvl="0" w:tplc="0416000B">
      <w:start w:val="1"/>
      <w:numFmt w:val="bullet"/>
      <w:lvlText w:val=""/>
      <w:lvlJc w:val="left"/>
      <w:pPr>
        <w:ind w:left="142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7" w15:restartNumberingAfterBreak="0">
    <w:nsid w:val="13EE4E94"/>
    <w:multiLevelType w:val="multilevel"/>
    <w:tmpl w:val="6CBABE66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7F65DFB"/>
    <w:multiLevelType w:val="hybridMultilevel"/>
    <w:tmpl w:val="4AC26F42"/>
    <w:lvl w:ilvl="0" w:tplc="0416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0AE4F3A"/>
    <w:multiLevelType w:val="hybridMultilevel"/>
    <w:tmpl w:val="4B62604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220540"/>
    <w:multiLevelType w:val="hybridMultilevel"/>
    <w:tmpl w:val="2658507A"/>
    <w:lvl w:ilvl="0" w:tplc="B810ED48">
      <w:start w:val="1"/>
      <w:numFmt w:val="bullet"/>
      <w:pStyle w:val="Lista21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0F2E88"/>
    <w:multiLevelType w:val="hybridMultilevel"/>
    <w:tmpl w:val="B3B47CC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736057"/>
    <w:multiLevelType w:val="hybridMultilevel"/>
    <w:tmpl w:val="848EBC76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1162D9A"/>
    <w:multiLevelType w:val="hybridMultilevel"/>
    <w:tmpl w:val="382C7A1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D90450"/>
    <w:multiLevelType w:val="hybridMultilevel"/>
    <w:tmpl w:val="29AAA4A2"/>
    <w:lvl w:ilvl="0" w:tplc="0C486ED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9420CE"/>
    <w:multiLevelType w:val="hybridMultilevel"/>
    <w:tmpl w:val="680E60C6"/>
    <w:lvl w:ilvl="0" w:tplc="0416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6" w15:restartNumberingAfterBreak="0">
    <w:nsid w:val="4F483662"/>
    <w:multiLevelType w:val="hybridMultilevel"/>
    <w:tmpl w:val="3B34907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FAB2989"/>
    <w:multiLevelType w:val="hybridMultilevel"/>
    <w:tmpl w:val="28BAABA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927A96"/>
    <w:multiLevelType w:val="multilevel"/>
    <w:tmpl w:val="06DA397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52C7617F"/>
    <w:multiLevelType w:val="hybridMultilevel"/>
    <w:tmpl w:val="28BAABA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DF788D"/>
    <w:multiLevelType w:val="hybridMultilevel"/>
    <w:tmpl w:val="04B63C6A"/>
    <w:lvl w:ilvl="0" w:tplc="0C486EDC">
      <w:start w:val="1"/>
      <w:numFmt w:val="bullet"/>
      <w:lvlText w:val=""/>
      <w:lvlJc w:val="left"/>
      <w:pPr>
        <w:ind w:left="102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85" w:hanging="360"/>
      </w:pPr>
      <w:rPr>
        <w:rFonts w:ascii="Wingdings" w:hAnsi="Wingdings" w:hint="default"/>
      </w:rPr>
    </w:lvl>
  </w:abstractNum>
  <w:abstractNum w:abstractNumId="21" w15:restartNumberingAfterBreak="0">
    <w:nsid w:val="5E2F6E8A"/>
    <w:multiLevelType w:val="hybridMultilevel"/>
    <w:tmpl w:val="D1BC901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1848A4"/>
    <w:multiLevelType w:val="hybridMultilevel"/>
    <w:tmpl w:val="23F6EE98"/>
    <w:lvl w:ilvl="0" w:tplc="04160001">
      <w:start w:val="1"/>
      <w:numFmt w:val="bullet"/>
      <w:lvlText w:val=""/>
      <w:lvlJc w:val="left"/>
      <w:pPr>
        <w:ind w:left="143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23" w15:restartNumberingAfterBreak="0">
    <w:nsid w:val="609325E1"/>
    <w:multiLevelType w:val="hybridMultilevel"/>
    <w:tmpl w:val="E2882B06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63B55285"/>
    <w:multiLevelType w:val="hybridMultilevel"/>
    <w:tmpl w:val="FF66A14E"/>
    <w:lvl w:ilvl="0" w:tplc="0416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683750B6"/>
    <w:multiLevelType w:val="hybridMultilevel"/>
    <w:tmpl w:val="21F2BE98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89904B6"/>
    <w:multiLevelType w:val="hybridMultilevel"/>
    <w:tmpl w:val="1604E5DE"/>
    <w:lvl w:ilvl="0" w:tplc="24BCB1E4">
      <w:start w:val="1"/>
      <w:numFmt w:val="decimal"/>
      <w:lvlText w:val="%1)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7" w15:restartNumberingAfterBreak="0">
    <w:nsid w:val="6A3842F1"/>
    <w:multiLevelType w:val="hybridMultilevel"/>
    <w:tmpl w:val="8EC23CAE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8" w15:restartNumberingAfterBreak="0">
    <w:nsid w:val="6D4B124E"/>
    <w:multiLevelType w:val="hybridMultilevel"/>
    <w:tmpl w:val="EBFE20F4"/>
    <w:lvl w:ilvl="0" w:tplc="0C486EDC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73152AF2"/>
    <w:multiLevelType w:val="hybridMultilevel"/>
    <w:tmpl w:val="6214F41A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522E39"/>
    <w:multiLevelType w:val="hybridMultilevel"/>
    <w:tmpl w:val="F15052E0"/>
    <w:lvl w:ilvl="0" w:tplc="0416000F">
      <w:start w:val="1"/>
      <w:numFmt w:val="decimal"/>
      <w:lvlText w:val="%1."/>
      <w:lvlJc w:val="left"/>
      <w:pPr>
        <w:ind w:left="1571" w:hanging="360"/>
      </w:pPr>
    </w:lvl>
    <w:lvl w:ilvl="1" w:tplc="04160019">
      <w:start w:val="1"/>
      <w:numFmt w:val="lowerLetter"/>
      <w:lvlText w:val="%2."/>
      <w:lvlJc w:val="left"/>
      <w:pPr>
        <w:ind w:left="2291" w:hanging="360"/>
      </w:pPr>
    </w:lvl>
    <w:lvl w:ilvl="2" w:tplc="0416001B">
      <w:start w:val="1"/>
      <w:numFmt w:val="lowerRoman"/>
      <w:lvlText w:val="%3."/>
      <w:lvlJc w:val="right"/>
      <w:pPr>
        <w:ind w:left="3011" w:hanging="180"/>
      </w:pPr>
    </w:lvl>
    <w:lvl w:ilvl="3" w:tplc="0416000F">
      <w:start w:val="1"/>
      <w:numFmt w:val="decimal"/>
      <w:lvlText w:val="%4."/>
      <w:lvlJc w:val="left"/>
      <w:pPr>
        <w:ind w:left="3731" w:hanging="360"/>
      </w:pPr>
    </w:lvl>
    <w:lvl w:ilvl="4" w:tplc="04160019">
      <w:start w:val="1"/>
      <w:numFmt w:val="lowerLetter"/>
      <w:lvlText w:val="%5."/>
      <w:lvlJc w:val="left"/>
      <w:pPr>
        <w:ind w:left="4451" w:hanging="360"/>
      </w:pPr>
    </w:lvl>
    <w:lvl w:ilvl="5" w:tplc="0416001B">
      <w:start w:val="1"/>
      <w:numFmt w:val="lowerRoman"/>
      <w:lvlText w:val="%6."/>
      <w:lvlJc w:val="right"/>
      <w:pPr>
        <w:ind w:left="5171" w:hanging="180"/>
      </w:pPr>
    </w:lvl>
    <w:lvl w:ilvl="6" w:tplc="0416000F">
      <w:start w:val="1"/>
      <w:numFmt w:val="decimal"/>
      <w:lvlText w:val="%7."/>
      <w:lvlJc w:val="left"/>
      <w:pPr>
        <w:ind w:left="5891" w:hanging="360"/>
      </w:pPr>
    </w:lvl>
    <w:lvl w:ilvl="7" w:tplc="04160019">
      <w:start w:val="1"/>
      <w:numFmt w:val="lowerLetter"/>
      <w:lvlText w:val="%8."/>
      <w:lvlJc w:val="left"/>
      <w:pPr>
        <w:ind w:left="6611" w:hanging="360"/>
      </w:pPr>
    </w:lvl>
    <w:lvl w:ilvl="8" w:tplc="0416001B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74C15247"/>
    <w:multiLevelType w:val="hybridMultilevel"/>
    <w:tmpl w:val="D010700A"/>
    <w:lvl w:ilvl="0" w:tplc="AD2C2378">
      <w:start w:val="1"/>
      <w:numFmt w:val="bullet"/>
      <w:pStyle w:val="List1"/>
      <w:lvlText w:val=""/>
      <w:lvlJc w:val="left"/>
      <w:pPr>
        <w:ind w:left="1212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A749FA"/>
    <w:multiLevelType w:val="hybridMultilevel"/>
    <w:tmpl w:val="7222ECB4"/>
    <w:lvl w:ilvl="0" w:tplc="0C486ED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BB7034"/>
    <w:multiLevelType w:val="hybridMultilevel"/>
    <w:tmpl w:val="B81CAEDE"/>
    <w:lvl w:ilvl="0" w:tplc="0416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num w:numId="1" w16cid:durableId="1710299462">
    <w:abstractNumId w:val="31"/>
  </w:num>
  <w:num w:numId="2" w16cid:durableId="1750037289">
    <w:abstractNumId w:val="10"/>
  </w:num>
  <w:num w:numId="3" w16cid:durableId="1930386691">
    <w:abstractNumId w:val="18"/>
  </w:num>
  <w:num w:numId="4" w16cid:durableId="1830368384">
    <w:abstractNumId w:val="24"/>
  </w:num>
  <w:num w:numId="5" w16cid:durableId="2039157311">
    <w:abstractNumId w:val="3"/>
  </w:num>
  <w:num w:numId="6" w16cid:durableId="717365862">
    <w:abstractNumId w:val="28"/>
  </w:num>
  <w:num w:numId="7" w16cid:durableId="1081366950">
    <w:abstractNumId w:val="7"/>
  </w:num>
  <w:num w:numId="8" w16cid:durableId="352146132">
    <w:abstractNumId w:val="13"/>
  </w:num>
  <w:num w:numId="9" w16cid:durableId="804080476">
    <w:abstractNumId w:val="14"/>
  </w:num>
  <w:num w:numId="10" w16cid:durableId="1489132049">
    <w:abstractNumId w:val="17"/>
  </w:num>
  <w:num w:numId="11" w16cid:durableId="1961913502">
    <w:abstractNumId w:val="6"/>
  </w:num>
  <w:num w:numId="12" w16cid:durableId="495995585">
    <w:abstractNumId w:val="27"/>
  </w:num>
  <w:num w:numId="13" w16cid:durableId="976111180">
    <w:abstractNumId w:val="20"/>
  </w:num>
  <w:num w:numId="14" w16cid:durableId="1604800117">
    <w:abstractNumId w:val="5"/>
  </w:num>
  <w:num w:numId="15" w16cid:durableId="1370491239">
    <w:abstractNumId w:val="11"/>
  </w:num>
  <w:num w:numId="16" w16cid:durableId="396126157">
    <w:abstractNumId w:val="29"/>
  </w:num>
  <w:num w:numId="17" w16cid:durableId="1823156626">
    <w:abstractNumId w:val="21"/>
  </w:num>
  <w:num w:numId="18" w16cid:durableId="43139952">
    <w:abstractNumId w:val="16"/>
  </w:num>
  <w:num w:numId="19" w16cid:durableId="1960648988">
    <w:abstractNumId w:val="26"/>
  </w:num>
  <w:num w:numId="20" w16cid:durableId="496580758">
    <w:abstractNumId w:val="15"/>
  </w:num>
  <w:num w:numId="21" w16cid:durableId="1832406841">
    <w:abstractNumId w:val="31"/>
  </w:num>
  <w:num w:numId="22" w16cid:durableId="1456369506">
    <w:abstractNumId w:val="19"/>
  </w:num>
  <w:num w:numId="23" w16cid:durableId="1781605431">
    <w:abstractNumId w:val="25"/>
  </w:num>
  <w:num w:numId="24" w16cid:durableId="1298532122">
    <w:abstractNumId w:val="2"/>
  </w:num>
  <w:num w:numId="25" w16cid:durableId="865871300">
    <w:abstractNumId w:val="4"/>
  </w:num>
  <w:num w:numId="26" w16cid:durableId="1465737056">
    <w:abstractNumId w:val="32"/>
  </w:num>
  <w:num w:numId="27" w16cid:durableId="1182934718">
    <w:abstractNumId w:val="23"/>
  </w:num>
  <w:num w:numId="28" w16cid:durableId="298729094">
    <w:abstractNumId w:val="0"/>
  </w:num>
  <w:num w:numId="29" w16cid:durableId="1978295514">
    <w:abstractNumId w:val="12"/>
  </w:num>
  <w:num w:numId="30" w16cid:durableId="1597712969">
    <w:abstractNumId w:val="8"/>
  </w:num>
  <w:num w:numId="31" w16cid:durableId="570695921">
    <w:abstractNumId w:val="9"/>
  </w:num>
  <w:num w:numId="32" w16cid:durableId="900025286">
    <w:abstractNumId w:val="22"/>
  </w:num>
  <w:num w:numId="33" w16cid:durableId="511798644">
    <w:abstractNumId w:val="31"/>
  </w:num>
  <w:num w:numId="34" w16cid:durableId="1806847162">
    <w:abstractNumId w:val="7"/>
  </w:num>
  <w:num w:numId="35" w16cid:durableId="466238570">
    <w:abstractNumId w:val="1"/>
  </w:num>
  <w:num w:numId="36" w16cid:durableId="172263474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99411110">
    <w:abstractNumId w:val="3"/>
  </w:num>
  <w:num w:numId="38" w16cid:durableId="41046565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066760926">
    <w:abstractNumId w:val="25"/>
  </w:num>
  <w:num w:numId="40" w16cid:durableId="1483086400">
    <w:abstractNumId w:val="30"/>
  </w:num>
  <w:num w:numId="41" w16cid:durableId="1632900106">
    <w:abstractNumId w:val="3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ocumentProtection w:edit="forms" w:enforcement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191"/>
    <w:rsid w:val="00002845"/>
    <w:rsid w:val="00013E86"/>
    <w:rsid w:val="000153FA"/>
    <w:rsid w:val="000154AC"/>
    <w:rsid w:val="00015E4B"/>
    <w:rsid w:val="000177BF"/>
    <w:rsid w:val="000215EC"/>
    <w:rsid w:val="00023502"/>
    <w:rsid w:val="00023F75"/>
    <w:rsid w:val="00024271"/>
    <w:rsid w:val="00024362"/>
    <w:rsid w:val="000250EE"/>
    <w:rsid w:val="00033E97"/>
    <w:rsid w:val="00035FEB"/>
    <w:rsid w:val="00037DAF"/>
    <w:rsid w:val="00043873"/>
    <w:rsid w:val="00045D6E"/>
    <w:rsid w:val="00047550"/>
    <w:rsid w:val="000502FB"/>
    <w:rsid w:val="00052A8D"/>
    <w:rsid w:val="00052B76"/>
    <w:rsid w:val="00062ED2"/>
    <w:rsid w:val="00064084"/>
    <w:rsid w:val="00065031"/>
    <w:rsid w:val="00066B75"/>
    <w:rsid w:val="00066EED"/>
    <w:rsid w:val="0007009E"/>
    <w:rsid w:val="00072278"/>
    <w:rsid w:val="00072B20"/>
    <w:rsid w:val="00073300"/>
    <w:rsid w:val="00080944"/>
    <w:rsid w:val="00083BD0"/>
    <w:rsid w:val="00086898"/>
    <w:rsid w:val="00094038"/>
    <w:rsid w:val="000A4C3A"/>
    <w:rsid w:val="000A761C"/>
    <w:rsid w:val="000B2B9D"/>
    <w:rsid w:val="000B2F9E"/>
    <w:rsid w:val="000B371D"/>
    <w:rsid w:val="000B3B1B"/>
    <w:rsid w:val="000B714A"/>
    <w:rsid w:val="000C00D6"/>
    <w:rsid w:val="000C1578"/>
    <w:rsid w:val="000C1629"/>
    <w:rsid w:val="000C207F"/>
    <w:rsid w:val="000C6B8A"/>
    <w:rsid w:val="000D0CD8"/>
    <w:rsid w:val="000D0D3F"/>
    <w:rsid w:val="000D17E1"/>
    <w:rsid w:val="000D22CA"/>
    <w:rsid w:val="000D609B"/>
    <w:rsid w:val="000E07FA"/>
    <w:rsid w:val="000E1E55"/>
    <w:rsid w:val="000E3550"/>
    <w:rsid w:val="000E452E"/>
    <w:rsid w:val="000F02FA"/>
    <w:rsid w:val="000F595B"/>
    <w:rsid w:val="00100B84"/>
    <w:rsid w:val="00100F44"/>
    <w:rsid w:val="001021D5"/>
    <w:rsid w:val="00102A77"/>
    <w:rsid w:val="001117EC"/>
    <w:rsid w:val="00112A8E"/>
    <w:rsid w:val="001206D6"/>
    <w:rsid w:val="0012096C"/>
    <w:rsid w:val="00122856"/>
    <w:rsid w:val="00124C42"/>
    <w:rsid w:val="001324FA"/>
    <w:rsid w:val="001328AC"/>
    <w:rsid w:val="00133310"/>
    <w:rsid w:val="00133873"/>
    <w:rsid w:val="001375DC"/>
    <w:rsid w:val="00144446"/>
    <w:rsid w:val="00152805"/>
    <w:rsid w:val="001561DD"/>
    <w:rsid w:val="001628C1"/>
    <w:rsid w:val="001628CF"/>
    <w:rsid w:val="00164A9A"/>
    <w:rsid w:val="001721C2"/>
    <w:rsid w:val="00174129"/>
    <w:rsid w:val="001748E2"/>
    <w:rsid w:val="0017550E"/>
    <w:rsid w:val="00180810"/>
    <w:rsid w:val="00180B6E"/>
    <w:rsid w:val="00182BC8"/>
    <w:rsid w:val="0018301B"/>
    <w:rsid w:val="00185C11"/>
    <w:rsid w:val="00187AB4"/>
    <w:rsid w:val="00191657"/>
    <w:rsid w:val="00196029"/>
    <w:rsid w:val="001A5066"/>
    <w:rsid w:val="001A6FFC"/>
    <w:rsid w:val="001B308E"/>
    <w:rsid w:val="001B3FFA"/>
    <w:rsid w:val="001B54E6"/>
    <w:rsid w:val="001B6099"/>
    <w:rsid w:val="001C37A9"/>
    <w:rsid w:val="001C3883"/>
    <w:rsid w:val="001C38E8"/>
    <w:rsid w:val="001C3B7A"/>
    <w:rsid w:val="001C412A"/>
    <w:rsid w:val="001C44AC"/>
    <w:rsid w:val="001D1B0F"/>
    <w:rsid w:val="001D3CC0"/>
    <w:rsid w:val="001D6C28"/>
    <w:rsid w:val="001E2C47"/>
    <w:rsid w:val="001E2EE0"/>
    <w:rsid w:val="001F243D"/>
    <w:rsid w:val="001F7E0B"/>
    <w:rsid w:val="0020397A"/>
    <w:rsid w:val="00203CB7"/>
    <w:rsid w:val="00204BE5"/>
    <w:rsid w:val="00205A38"/>
    <w:rsid w:val="002066EC"/>
    <w:rsid w:val="00214A6E"/>
    <w:rsid w:val="00220B8F"/>
    <w:rsid w:val="0022139D"/>
    <w:rsid w:val="00233CA7"/>
    <w:rsid w:val="00234B64"/>
    <w:rsid w:val="00236D22"/>
    <w:rsid w:val="002440F8"/>
    <w:rsid w:val="0024778D"/>
    <w:rsid w:val="00254CEF"/>
    <w:rsid w:val="00255FB6"/>
    <w:rsid w:val="002560CA"/>
    <w:rsid w:val="00256ECC"/>
    <w:rsid w:val="00256EDE"/>
    <w:rsid w:val="002711B7"/>
    <w:rsid w:val="00274265"/>
    <w:rsid w:val="0027439A"/>
    <w:rsid w:val="0027439F"/>
    <w:rsid w:val="00274C91"/>
    <w:rsid w:val="0028336C"/>
    <w:rsid w:val="00283F04"/>
    <w:rsid w:val="00287585"/>
    <w:rsid w:val="0029263A"/>
    <w:rsid w:val="002958DA"/>
    <w:rsid w:val="00296C7A"/>
    <w:rsid w:val="00297B70"/>
    <w:rsid w:val="002A0458"/>
    <w:rsid w:val="002A159E"/>
    <w:rsid w:val="002A2088"/>
    <w:rsid w:val="002A2CFC"/>
    <w:rsid w:val="002A62FA"/>
    <w:rsid w:val="002A74C2"/>
    <w:rsid w:val="002B546C"/>
    <w:rsid w:val="002B597B"/>
    <w:rsid w:val="002B63BA"/>
    <w:rsid w:val="002B647D"/>
    <w:rsid w:val="002C3E95"/>
    <w:rsid w:val="002C5C0D"/>
    <w:rsid w:val="002C6286"/>
    <w:rsid w:val="002C7A8E"/>
    <w:rsid w:val="002C7D1E"/>
    <w:rsid w:val="002D002C"/>
    <w:rsid w:val="002E1313"/>
    <w:rsid w:val="002E44A1"/>
    <w:rsid w:val="002E6DC5"/>
    <w:rsid w:val="002E778E"/>
    <w:rsid w:val="002F24C8"/>
    <w:rsid w:val="00305B1C"/>
    <w:rsid w:val="003076A6"/>
    <w:rsid w:val="0031065C"/>
    <w:rsid w:val="00314AC5"/>
    <w:rsid w:val="00315813"/>
    <w:rsid w:val="00315BE8"/>
    <w:rsid w:val="00315BEF"/>
    <w:rsid w:val="00320F01"/>
    <w:rsid w:val="0032271E"/>
    <w:rsid w:val="0032436D"/>
    <w:rsid w:val="0032706A"/>
    <w:rsid w:val="003274D6"/>
    <w:rsid w:val="00330575"/>
    <w:rsid w:val="003350DE"/>
    <w:rsid w:val="00340E98"/>
    <w:rsid w:val="00340F83"/>
    <w:rsid w:val="00347938"/>
    <w:rsid w:val="003507BB"/>
    <w:rsid w:val="00352258"/>
    <w:rsid w:val="003555EB"/>
    <w:rsid w:val="003560CD"/>
    <w:rsid w:val="0036413E"/>
    <w:rsid w:val="00364A58"/>
    <w:rsid w:val="00366471"/>
    <w:rsid w:val="00370D02"/>
    <w:rsid w:val="00372845"/>
    <w:rsid w:val="003734A9"/>
    <w:rsid w:val="00374E59"/>
    <w:rsid w:val="0038038F"/>
    <w:rsid w:val="00380DEB"/>
    <w:rsid w:val="003844BD"/>
    <w:rsid w:val="00387197"/>
    <w:rsid w:val="00394E2D"/>
    <w:rsid w:val="003A1FB2"/>
    <w:rsid w:val="003A2399"/>
    <w:rsid w:val="003B3717"/>
    <w:rsid w:val="003B7349"/>
    <w:rsid w:val="003B7824"/>
    <w:rsid w:val="003C1B86"/>
    <w:rsid w:val="003D0DF5"/>
    <w:rsid w:val="003D1F90"/>
    <w:rsid w:val="003D580E"/>
    <w:rsid w:val="003D6CC6"/>
    <w:rsid w:val="003D7A7F"/>
    <w:rsid w:val="003F030B"/>
    <w:rsid w:val="003F0C48"/>
    <w:rsid w:val="00402A42"/>
    <w:rsid w:val="004076A3"/>
    <w:rsid w:val="00412CB0"/>
    <w:rsid w:val="00424727"/>
    <w:rsid w:val="004247A4"/>
    <w:rsid w:val="00434BEA"/>
    <w:rsid w:val="00435724"/>
    <w:rsid w:val="00436974"/>
    <w:rsid w:val="004403FE"/>
    <w:rsid w:val="0044291B"/>
    <w:rsid w:val="00444587"/>
    <w:rsid w:val="00446900"/>
    <w:rsid w:val="00447A6D"/>
    <w:rsid w:val="00450078"/>
    <w:rsid w:val="0045152B"/>
    <w:rsid w:val="00451839"/>
    <w:rsid w:val="00453747"/>
    <w:rsid w:val="00457537"/>
    <w:rsid w:val="00462D03"/>
    <w:rsid w:val="00465168"/>
    <w:rsid w:val="004653D2"/>
    <w:rsid w:val="00466B52"/>
    <w:rsid w:val="00470F01"/>
    <w:rsid w:val="00471386"/>
    <w:rsid w:val="00471B69"/>
    <w:rsid w:val="00472021"/>
    <w:rsid w:val="00472F9F"/>
    <w:rsid w:val="0047583E"/>
    <w:rsid w:val="00481DD7"/>
    <w:rsid w:val="0049368A"/>
    <w:rsid w:val="00493EE3"/>
    <w:rsid w:val="004979E6"/>
    <w:rsid w:val="004A5EE0"/>
    <w:rsid w:val="004A6BAF"/>
    <w:rsid w:val="004B06A4"/>
    <w:rsid w:val="004B1366"/>
    <w:rsid w:val="004B17FF"/>
    <w:rsid w:val="004B32A4"/>
    <w:rsid w:val="004B5148"/>
    <w:rsid w:val="004B6529"/>
    <w:rsid w:val="004C0781"/>
    <w:rsid w:val="004C1F0F"/>
    <w:rsid w:val="004C3087"/>
    <w:rsid w:val="004C64C2"/>
    <w:rsid w:val="004D4216"/>
    <w:rsid w:val="004E184F"/>
    <w:rsid w:val="004E4A50"/>
    <w:rsid w:val="004E6AB6"/>
    <w:rsid w:val="004F78E8"/>
    <w:rsid w:val="004F7DE1"/>
    <w:rsid w:val="005035E1"/>
    <w:rsid w:val="005075D6"/>
    <w:rsid w:val="00510B39"/>
    <w:rsid w:val="00516234"/>
    <w:rsid w:val="00517271"/>
    <w:rsid w:val="00520C39"/>
    <w:rsid w:val="00522A19"/>
    <w:rsid w:val="00530C40"/>
    <w:rsid w:val="00532480"/>
    <w:rsid w:val="0053392C"/>
    <w:rsid w:val="005343DA"/>
    <w:rsid w:val="00543F57"/>
    <w:rsid w:val="00544394"/>
    <w:rsid w:val="005467C4"/>
    <w:rsid w:val="00550173"/>
    <w:rsid w:val="00550AA5"/>
    <w:rsid w:val="00550C0F"/>
    <w:rsid w:val="00551BC5"/>
    <w:rsid w:val="00551DF8"/>
    <w:rsid w:val="00551F69"/>
    <w:rsid w:val="0055213B"/>
    <w:rsid w:val="005537DF"/>
    <w:rsid w:val="00555177"/>
    <w:rsid w:val="00555D90"/>
    <w:rsid w:val="005573E5"/>
    <w:rsid w:val="00561488"/>
    <w:rsid w:val="00562046"/>
    <w:rsid w:val="00566C06"/>
    <w:rsid w:val="00576535"/>
    <w:rsid w:val="0058213D"/>
    <w:rsid w:val="005844A4"/>
    <w:rsid w:val="00584652"/>
    <w:rsid w:val="005846E6"/>
    <w:rsid w:val="00585FD4"/>
    <w:rsid w:val="00587642"/>
    <w:rsid w:val="00591177"/>
    <w:rsid w:val="00591630"/>
    <w:rsid w:val="00592CA2"/>
    <w:rsid w:val="00593FF5"/>
    <w:rsid w:val="00595CAE"/>
    <w:rsid w:val="005A1BC2"/>
    <w:rsid w:val="005A2FFA"/>
    <w:rsid w:val="005A3CDB"/>
    <w:rsid w:val="005A60CF"/>
    <w:rsid w:val="005B30BB"/>
    <w:rsid w:val="005B5B0E"/>
    <w:rsid w:val="005B5D81"/>
    <w:rsid w:val="005C3EA0"/>
    <w:rsid w:val="005C5F33"/>
    <w:rsid w:val="005C6B2F"/>
    <w:rsid w:val="005D1497"/>
    <w:rsid w:val="005D2478"/>
    <w:rsid w:val="005D749E"/>
    <w:rsid w:val="005E0DE0"/>
    <w:rsid w:val="005E1D30"/>
    <w:rsid w:val="005E1D5D"/>
    <w:rsid w:val="005E31BA"/>
    <w:rsid w:val="005E31F7"/>
    <w:rsid w:val="005F2E38"/>
    <w:rsid w:val="005F6235"/>
    <w:rsid w:val="005F7D5E"/>
    <w:rsid w:val="006003A4"/>
    <w:rsid w:val="006026E4"/>
    <w:rsid w:val="00602F09"/>
    <w:rsid w:val="00603083"/>
    <w:rsid w:val="0060589E"/>
    <w:rsid w:val="00606178"/>
    <w:rsid w:val="0060682B"/>
    <w:rsid w:val="006133FE"/>
    <w:rsid w:val="006144DD"/>
    <w:rsid w:val="00620191"/>
    <w:rsid w:val="006314EA"/>
    <w:rsid w:val="00635A33"/>
    <w:rsid w:val="00636595"/>
    <w:rsid w:val="00640A85"/>
    <w:rsid w:val="0064128C"/>
    <w:rsid w:val="006450E1"/>
    <w:rsid w:val="006541F8"/>
    <w:rsid w:val="0065589C"/>
    <w:rsid w:val="0066484D"/>
    <w:rsid w:val="006662C8"/>
    <w:rsid w:val="00673FE1"/>
    <w:rsid w:val="006740A9"/>
    <w:rsid w:val="006851EC"/>
    <w:rsid w:val="00685250"/>
    <w:rsid w:val="006857CE"/>
    <w:rsid w:val="00686519"/>
    <w:rsid w:val="00690509"/>
    <w:rsid w:val="006927C1"/>
    <w:rsid w:val="00692F5C"/>
    <w:rsid w:val="006937AA"/>
    <w:rsid w:val="0069386A"/>
    <w:rsid w:val="00695876"/>
    <w:rsid w:val="006A02A4"/>
    <w:rsid w:val="006A0483"/>
    <w:rsid w:val="006A1E00"/>
    <w:rsid w:val="006A66E5"/>
    <w:rsid w:val="006A709B"/>
    <w:rsid w:val="006A72E4"/>
    <w:rsid w:val="006A7583"/>
    <w:rsid w:val="006B1B3A"/>
    <w:rsid w:val="006B508B"/>
    <w:rsid w:val="006B5C44"/>
    <w:rsid w:val="006D139F"/>
    <w:rsid w:val="006D5279"/>
    <w:rsid w:val="006E2250"/>
    <w:rsid w:val="006E3C95"/>
    <w:rsid w:val="006E3DD1"/>
    <w:rsid w:val="006F04E9"/>
    <w:rsid w:val="006F1B23"/>
    <w:rsid w:val="006F1C49"/>
    <w:rsid w:val="006F2802"/>
    <w:rsid w:val="006F35C1"/>
    <w:rsid w:val="006F43B6"/>
    <w:rsid w:val="006F4912"/>
    <w:rsid w:val="006F581D"/>
    <w:rsid w:val="006F5BF8"/>
    <w:rsid w:val="006F5E0F"/>
    <w:rsid w:val="00704ED1"/>
    <w:rsid w:val="00705219"/>
    <w:rsid w:val="00707635"/>
    <w:rsid w:val="007109F9"/>
    <w:rsid w:val="00713E16"/>
    <w:rsid w:val="007172C1"/>
    <w:rsid w:val="00720905"/>
    <w:rsid w:val="00726453"/>
    <w:rsid w:val="0073159A"/>
    <w:rsid w:val="00731C64"/>
    <w:rsid w:val="00734B43"/>
    <w:rsid w:val="00737032"/>
    <w:rsid w:val="00737E45"/>
    <w:rsid w:val="007436C1"/>
    <w:rsid w:val="00743A7C"/>
    <w:rsid w:val="00744B5E"/>
    <w:rsid w:val="0075036F"/>
    <w:rsid w:val="00752DD0"/>
    <w:rsid w:val="00756E9B"/>
    <w:rsid w:val="007634A3"/>
    <w:rsid w:val="00765A7A"/>
    <w:rsid w:val="00766790"/>
    <w:rsid w:val="00772499"/>
    <w:rsid w:val="00772552"/>
    <w:rsid w:val="00772A47"/>
    <w:rsid w:val="00774129"/>
    <w:rsid w:val="00775F8E"/>
    <w:rsid w:val="007762DC"/>
    <w:rsid w:val="00777929"/>
    <w:rsid w:val="00787C0C"/>
    <w:rsid w:val="00792E0E"/>
    <w:rsid w:val="00793F8C"/>
    <w:rsid w:val="00794CF1"/>
    <w:rsid w:val="00795CD1"/>
    <w:rsid w:val="0079663C"/>
    <w:rsid w:val="007A024B"/>
    <w:rsid w:val="007B0A42"/>
    <w:rsid w:val="007B13D2"/>
    <w:rsid w:val="007B376F"/>
    <w:rsid w:val="007B4546"/>
    <w:rsid w:val="007B6C2C"/>
    <w:rsid w:val="007B72D6"/>
    <w:rsid w:val="007C2C7D"/>
    <w:rsid w:val="007C324E"/>
    <w:rsid w:val="007C3C81"/>
    <w:rsid w:val="007C64B1"/>
    <w:rsid w:val="007C666D"/>
    <w:rsid w:val="007D024E"/>
    <w:rsid w:val="007D1C3A"/>
    <w:rsid w:val="007D3A82"/>
    <w:rsid w:val="007D69A2"/>
    <w:rsid w:val="007D6C2A"/>
    <w:rsid w:val="007D7C5B"/>
    <w:rsid w:val="007E1851"/>
    <w:rsid w:val="007E2C10"/>
    <w:rsid w:val="007F1D8E"/>
    <w:rsid w:val="007F2319"/>
    <w:rsid w:val="007F23C0"/>
    <w:rsid w:val="007F5310"/>
    <w:rsid w:val="007F7BE2"/>
    <w:rsid w:val="00802BF1"/>
    <w:rsid w:val="00817807"/>
    <w:rsid w:val="00820D20"/>
    <w:rsid w:val="00821C0F"/>
    <w:rsid w:val="00824431"/>
    <w:rsid w:val="00826330"/>
    <w:rsid w:val="00830848"/>
    <w:rsid w:val="008317B0"/>
    <w:rsid w:val="00831A8F"/>
    <w:rsid w:val="00833EB7"/>
    <w:rsid w:val="008348A3"/>
    <w:rsid w:val="0084413B"/>
    <w:rsid w:val="0085185C"/>
    <w:rsid w:val="0085329F"/>
    <w:rsid w:val="008568A6"/>
    <w:rsid w:val="008575DE"/>
    <w:rsid w:val="00857ACD"/>
    <w:rsid w:val="00860251"/>
    <w:rsid w:val="00861411"/>
    <w:rsid w:val="00864C26"/>
    <w:rsid w:val="00865C44"/>
    <w:rsid w:val="0087034D"/>
    <w:rsid w:val="00870BEA"/>
    <w:rsid w:val="00871DD0"/>
    <w:rsid w:val="00873080"/>
    <w:rsid w:val="00874197"/>
    <w:rsid w:val="00880FE6"/>
    <w:rsid w:val="00883308"/>
    <w:rsid w:val="008875FB"/>
    <w:rsid w:val="00890613"/>
    <w:rsid w:val="008926C1"/>
    <w:rsid w:val="00893F27"/>
    <w:rsid w:val="00896BEF"/>
    <w:rsid w:val="008A1150"/>
    <w:rsid w:val="008A1ADD"/>
    <w:rsid w:val="008A2E7D"/>
    <w:rsid w:val="008A4BB8"/>
    <w:rsid w:val="008B083D"/>
    <w:rsid w:val="008B4BE6"/>
    <w:rsid w:val="008C14FD"/>
    <w:rsid w:val="008C345E"/>
    <w:rsid w:val="008C3CF3"/>
    <w:rsid w:val="008C5384"/>
    <w:rsid w:val="008C62DA"/>
    <w:rsid w:val="008D324B"/>
    <w:rsid w:val="008D5F8C"/>
    <w:rsid w:val="008E19E5"/>
    <w:rsid w:val="008E3751"/>
    <w:rsid w:val="008E795D"/>
    <w:rsid w:val="008E7DC7"/>
    <w:rsid w:val="008F1156"/>
    <w:rsid w:val="008F22DE"/>
    <w:rsid w:val="008F791C"/>
    <w:rsid w:val="00901BA0"/>
    <w:rsid w:val="009043EB"/>
    <w:rsid w:val="00906BB9"/>
    <w:rsid w:val="009076A4"/>
    <w:rsid w:val="00910CCF"/>
    <w:rsid w:val="00916126"/>
    <w:rsid w:val="00927095"/>
    <w:rsid w:val="00934FD6"/>
    <w:rsid w:val="009417AD"/>
    <w:rsid w:val="0094783D"/>
    <w:rsid w:val="0095155C"/>
    <w:rsid w:val="00951E7E"/>
    <w:rsid w:val="0095432F"/>
    <w:rsid w:val="00954E4B"/>
    <w:rsid w:val="00957948"/>
    <w:rsid w:val="00957E79"/>
    <w:rsid w:val="0096125E"/>
    <w:rsid w:val="00962E2F"/>
    <w:rsid w:val="00964054"/>
    <w:rsid w:val="0096469B"/>
    <w:rsid w:val="0096627E"/>
    <w:rsid w:val="009745A6"/>
    <w:rsid w:val="00974C52"/>
    <w:rsid w:val="0097623E"/>
    <w:rsid w:val="00976CC7"/>
    <w:rsid w:val="00977C77"/>
    <w:rsid w:val="009801BA"/>
    <w:rsid w:val="00985CAD"/>
    <w:rsid w:val="00985E82"/>
    <w:rsid w:val="00991BA1"/>
    <w:rsid w:val="00992FEF"/>
    <w:rsid w:val="00993820"/>
    <w:rsid w:val="009A300A"/>
    <w:rsid w:val="009A4BD0"/>
    <w:rsid w:val="009A6866"/>
    <w:rsid w:val="009B22E6"/>
    <w:rsid w:val="009B31E2"/>
    <w:rsid w:val="009B408E"/>
    <w:rsid w:val="009B5C06"/>
    <w:rsid w:val="009C6307"/>
    <w:rsid w:val="009D016D"/>
    <w:rsid w:val="009D30B2"/>
    <w:rsid w:val="009E0743"/>
    <w:rsid w:val="009E20A5"/>
    <w:rsid w:val="009E571D"/>
    <w:rsid w:val="009E67DA"/>
    <w:rsid w:val="009E775C"/>
    <w:rsid w:val="009F1553"/>
    <w:rsid w:val="009F3B97"/>
    <w:rsid w:val="009F51A0"/>
    <w:rsid w:val="00A00D39"/>
    <w:rsid w:val="00A03BBE"/>
    <w:rsid w:val="00A13EED"/>
    <w:rsid w:val="00A1621F"/>
    <w:rsid w:val="00A27A92"/>
    <w:rsid w:val="00A32836"/>
    <w:rsid w:val="00A32D76"/>
    <w:rsid w:val="00A37E3E"/>
    <w:rsid w:val="00A405E8"/>
    <w:rsid w:val="00A4216E"/>
    <w:rsid w:val="00A473B9"/>
    <w:rsid w:val="00A47CDA"/>
    <w:rsid w:val="00A531EA"/>
    <w:rsid w:val="00A53AD8"/>
    <w:rsid w:val="00A55BA3"/>
    <w:rsid w:val="00A57E01"/>
    <w:rsid w:val="00A648E7"/>
    <w:rsid w:val="00A710DB"/>
    <w:rsid w:val="00A716CC"/>
    <w:rsid w:val="00A725DD"/>
    <w:rsid w:val="00A761BC"/>
    <w:rsid w:val="00A82642"/>
    <w:rsid w:val="00A85747"/>
    <w:rsid w:val="00A9030D"/>
    <w:rsid w:val="00AA3109"/>
    <w:rsid w:val="00AA34BE"/>
    <w:rsid w:val="00AA3628"/>
    <w:rsid w:val="00AA7C48"/>
    <w:rsid w:val="00AB5393"/>
    <w:rsid w:val="00AB61A7"/>
    <w:rsid w:val="00AB7395"/>
    <w:rsid w:val="00AB7AC1"/>
    <w:rsid w:val="00AC0124"/>
    <w:rsid w:val="00AC2AB1"/>
    <w:rsid w:val="00AC530E"/>
    <w:rsid w:val="00AD216A"/>
    <w:rsid w:val="00AD23DB"/>
    <w:rsid w:val="00AD4A85"/>
    <w:rsid w:val="00AE2A3B"/>
    <w:rsid w:val="00AE2D23"/>
    <w:rsid w:val="00AE6AA9"/>
    <w:rsid w:val="00AE74BE"/>
    <w:rsid w:val="00AF0A1A"/>
    <w:rsid w:val="00AF3059"/>
    <w:rsid w:val="00AF6827"/>
    <w:rsid w:val="00B04029"/>
    <w:rsid w:val="00B04647"/>
    <w:rsid w:val="00B05245"/>
    <w:rsid w:val="00B05D78"/>
    <w:rsid w:val="00B11C3C"/>
    <w:rsid w:val="00B22B62"/>
    <w:rsid w:val="00B252EC"/>
    <w:rsid w:val="00B25747"/>
    <w:rsid w:val="00B278A2"/>
    <w:rsid w:val="00B31ADF"/>
    <w:rsid w:val="00B33EE6"/>
    <w:rsid w:val="00B34A3E"/>
    <w:rsid w:val="00B359AA"/>
    <w:rsid w:val="00B36422"/>
    <w:rsid w:val="00B44D35"/>
    <w:rsid w:val="00B55BD0"/>
    <w:rsid w:val="00B55F22"/>
    <w:rsid w:val="00B62806"/>
    <w:rsid w:val="00B66C41"/>
    <w:rsid w:val="00B745E4"/>
    <w:rsid w:val="00B74C44"/>
    <w:rsid w:val="00B77779"/>
    <w:rsid w:val="00B779A2"/>
    <w:rsid w:val="00B83B3B"/>
    <w:rsid w:val="00B93C72"/>
    <w:rsid w:val="00B9564D"/>
    <w:rsid w:val="00B97DBB"/>
    <w:rsid w:val="00BA0307"/>
    <w:rsid w:val="00BB26CE"/>
    <w:rsid w:val="00BB6506"/>
    <w:rsid w:val="00BC169C"/>
    <w:rsid w:val="00BC2505"/>
    <w:rsid w:val="00BC2650"/>
    <w:rsid w:val="00BC45A0"/>
    <w:rsid w:val="00BC4C20"/>
    <w:rsid w:val="00BC6592"/>
    <w:rsid w:val="00BD0C3E"/>
    <w:rsid w:val="00BD1EE6"/>
    <w:rsid w:val="00BD35E8"/>
    <w:rsid w:val="00BD49A3"/>
    <w:rsid w:val="00BD754D"/>
    <w:rsid w:val="00BE1110"/>
    <w:rsid w:val="00BE552B"/>
    <w:rsid w:val="00BF11EE"/>
    <w:rsid w:val="00BF18A7"/>
    <w:rsid w:val="00BF2080"/>
    <w:rsid w:val="00BF2A0D"/>
    <w:rsid w:val="00BF2E91"/>
    <w:rsid w:val="00BF4800"/>
    <w:rsid w:val="00BF5EBB"/>
    <w:rsid w:val="00BF63D5"/>
    <w:rsid w:val="00BF7D05"/>
    <w:rsid w:val="00C0209D"/>
    <w:rsid w:val="00C06802"/>
    <w:rsid w:val="00C13140"/>
    <w:rsid w:val="00C139B8"/>
    <w:rsid w:val="00C16619"/>
    <w:rsid w:val="00C20B87"/>
    <w:rsid w:val="00C21A9A"/>
    <w:rsid w:val="00C21E11"/>
    <w:rsid w:val="00C22E07"/>
    <w:rsid w:val="00C22E98"/>
    <w:rsid w:val="00C301BB"/>
    <w:rsid w:val="00C32AA2"/>
    <w:rsid w:val="00C33676"/>
    <w:rsid w:val="00C34AEB"/>
    <w:rsid w:val="00C37001"/>
    <w:rsid w:val="00C53FC4"/>
    <w:rsid w:val="00C56AA0"/>
    <w:rsid w:val="00C579C3"/>
    <w:rsid w:val="00C64167"/>
    <w:rsid w:val="00C64353"/>
    <w:rsid w:val="00C712ED"/>
    <w:rsid w:val="00C73633"/>
    <w:rsid w:val="00C74376"/>
    <w:rsid w:val="00C761C0"/>
    <w:rsid w:val="00C80DD4"/>
    <w:rsid w:val="00C814AE"/>
    <w:rsid w:val="00C8179C"/>
    <w:rsid w:val="00C81CA7"/>
    <w:rsid w:val="00C85EDD"/>
    <w:rsid w:val="00C86762"/>
    <w:rsid w:val="00C9380E"/>
    <w:rsid w:val="00C97857"/>
    <w:rsid w:val="00CA3974"/>
    <w:rsid w:val="00CA3A7A"/>
    <w:rsid w:val="00CA6D5D"/>
    <w:rsid w:val="00CB13CC"/>
    <w:rsid w:val="00CB248F"/>
    <w:rsid w:val="00CB4519"/>
    <w:rsid w:val="00CB586E"/>
    <w:rsid w:val="00CB68C5"/>
    <w:rsid w:val="00CB6DA7"/>
    <w:rsid w:val="00CC02B5"/>
    <w:rsid w:val="00CC15A8"/>
    <w:rsid w:val="00CC6646"/>
    <w:rsid w:val="00CD4E55"/>
    <w:rsid w:val="00CE2002"/>
    <w:rsid w:val="00CE3969"/>
    <w:rsid w:val="00CE5B4D"/>
    <w:rsid w:val="00CE5D53"/>
    <w:rsid w:val="00CE69EE"/>
    <w:rsid w:val="00CF01DB"/>
    <w:rsid w:val="00CF54F0"/>
    <w:rsid w:val="00D0009D"/>
    <w:rsid w:val="00D037AA"/>
    <w:rsid w:val="00D05779"/>
    <w:rsid w:val="00D068CA"/>
    <w:rsid w:val="00D12661"/>
    <w:rsid w:val="00D12CA8"/>
    <w:rsid w:val="00D1340E"/>
    <w:rsid w:val="00D17488"/>
    <w:rsid w:val="00D20EF1"/>
    <w:rsid w:val="00D236BB"/>
    <w:rsid w:val="00D249E0"/>
    <w:rsid w:val="00D31536"/>
    <w:rsid w:val="00D330B0"/>
    <w:rsid w:val="00D348B5"/>
    <w:rsid w:val="00D409D3"/>
    <w:rsid w:val="00D42934"/>
    <w:rsid w:val="00D43032"/>
    <w:rsid w:val="00D505D9"/>
    <w:rsid w:val="00D5407E"/>
    <w:rsid w:val="00D54445"/>
    <w:rsid w:val="00D5582A"/>
    <w:rsid w:val="00D60605"/>
    <w:rsid w:val="00D649F6"/>
    <w:rsid w:val="00D71444"/>
    <w:rsid w:val="00D73224"/>
    <w:rsid w:val="00D73A23"/>
    <w:rsid w:val="00D7524A"/>
    <w:rsid w:val="00D7734D"/>
    <w:rsid w:val="00D829B5"/>
    <w:rsid w:val="00D82CF6"/>
    <w:rsid w:val="00D83461"/>
    <w:rsid w:val="00D845B5"/>
    <w:rsid w:val="00D85A15"/>
    <w:rsid w:val="00D85EF9"/>
    <w:rsid w:val="00D90543"/>
    <w:rsid w:val="00D91760"/>
    <w:rsid w:val="00D93883"/>
    <w:rsid w:val="00D939BF"/>
    <w:rsid w:val="00D97B08"/>
    <w:rsid w:val="00DA0E4A"/>
    <w:rsid w:val="00DB1B24"/>
    <w:rsid w:val="00DB2577"/>
    <w:rsid w:val="00DB5ED4"/>
    <w:rsid w:val="00DB71CC"/>
    <w:rsid w:val="00DC0979"/>
    <w:rsid w:val="00DC3A69"/>
    <w:rsid w:val="00DC42ED"/>
    <w:rsid w:val="00DC669E"/>
    <w:rsid w:val="00DC6C64"/>
    <w:rsid w:val="00DC71CB"/>
    <w:rsid w:val="00DC7F81"/>
    <w:rsid w:val="00DD1A82"/>
    <w:rsid w:val="00DD24F3"/>
    <w:rsid w:val="00DD4268"/>
    <w:rsid w:val="00DD5672"/>
    <w:rsid w:val="00DD5904"/>
    <w:rsid w:val="00DD63E1"/>
    <w:rsid w:val="00DD6A90"/>
    <w:rsid w:val="00DD7B7E"/>
    <w:rsid w:val="00DE2E58"/>
    <w:rsid w:val="00DE394C"/>
    <w:rsid w:val="00DE449A"/>
    <w:rsid w:val="00DE4A4C"/>
    <w:rsid w:val="00DF4801"/>
    <w:rsid w:val="00DF49AA"/>
    <w:rsid w:val="00E00143"/>
    <w:rsid w:val="00E01E8A"/>
    <w:rsid w:val="00E022EF"/>
    <w:rsid w:val="00E04C7B"/>
    <w:rsid w:val="00E07B6A"/>
    <w:rsid w:val="00E13245"/>
    <w:rsid w:val="00E14A10"/>
    <w:rsid w:val="00E1568B"/>
    <w:rsid w:val="00E15C76"/>
    <w:rsid w:val="00E16870"/>
    <w:rsid w:val="00E1704E"/>
    <w:rsid w:val="00E22D4C"/>
    <w:rsid w:val="00E235A2"/>
    <w:rsid w:val="00E237F2"/>
    <w:rsid w:val="00E26D20"/>
    <w:rsid w:val="00E30450"/>
    <w:rsid w:val="00E31734"/>
    <w:rsid w:val="00E355E3"/>
    <w:rsid w:val="00E36771"/>
    <w:rsid w:val="00E4314E"/>
    <w:rsid w:val="00E4565C"/>
    <w:rsid w:val="00E470E8"/>
    <w:rsid w:val="00E50F08"/>
    <w:rsid w:val="00E526D4"/>
    <w:rsid w:val="00E54D02"/>
    <w:rsid w:val="00E56C62"/>
    <w:rsid w:val="00E645EA"/>
    <w:rsid w:val="00E65FA7"/>
    <w:rsid w:val="00E67A15"/>
    <w:rsid w:val="00E80FDC"/>
    <w:rsid w:val="00E873D5"/>
    <w:rsid w:val="00E90790"/>
    <w:rsid w:val="00E9442F"/>
    <w:rsid w:val="00E949CE"/>
    <w:rsid w:val="00E951E3"/>
    <w:rsid w:val="00E953DE"/>
    <w:rsid w:val="00E97F95"/>
    <w:rsid w:val="00EA3D3D"/>
    <w:rsid w:val="00EC2CF2"/>
    <w:rsid w:val="00EC3D4E"/>
    <w:rsid w:val="00EC5450"/>
    <w:rsid w:val="00EC7840"/>
    <w:rsid w:val="00ED0A64"/>
    <w:rsid w:val="00ED1015"/>
    <w:rsid w:val="00ED356F"/>
    <w:rsid w:val="00ED3ADD"/>
    <w:rsid w:val="00EE043F"/>
    <w:rsid w:val="00EE4260"/>
    <w:rsid w:val="00EF59BF"/>
    <w:rsid w:val="00F0010D"/>
    <w:rsid w:val="00F0048C"/>
    <w:rsid w:val="00F00844"/>
    <w:rsid w:val="00F009ED"/>
    <w:rsid w:val="00F00F68"/>
    <w:rsid w:val="00F0342D"/>
    <w:rsid w:val="00F04BF2"/>
    <w:rsid w:val="00F05E3F"/>
    <w:rsid w:val="00F06104"/>
    <w:rsid w:val="00F108B4"/>
    <w:rsid w:val="00F1298D"/>
    <w:rsid w:val="00F146C5"/>
    <w:rsid w:val="00F15214"/>
    <w:rsid w:val="00F15501"/>
    <w:rsid w:val="00F15E3E"/>
    <w:rsid w:val="00F15FBE"/>
    <w:rsid w:val="00F16107"/>
    <w:rsid w:val="00F21241"/>
    <w:rsid w:val="00F2558A"/>
    <w:rsid w:val="00F31A76"/>
    <w:rsid w:val="00F337F2"/>
    <w:rsid w:val="00F352AA"/>
    <w:rsid w:val="00F358A1"/>
    <w:rsid w:val="00F47AB5"/>
    <w:rsid w:val="00F50F6D"/>
    <w:rsid w:val="00F541BE"/>
    <w:rsid w:val="00F60BB4"/>
    <w:rsid w:val="00F66AFE"/>
    <w:rsid w:val="00F700F1"/>
    <w:rsid w:val="00F71234"/>
    <w:rsid w:val="00F717FE"/>
    <w:rsid w:val="00F728D8"/>
    <w:rsid w:val="00F7668C"/>
    <w:rsid w:val="00F85075"/>
    <w:rsid w:val="00F85F76"/>
    <w:rsid w:val="00F91E80"/>
    <w:rsid w:val="00F942E5"/>
    <w:rsid w:val="00FA16B7"/>
    <w:rsid w:val="00FA344B"/>
    <w:rsid w:val="00FA4509"/>
    <w:rsid w:val="00FA74F1"/>
    <w:rsid w:val="00FA7779"/>
    <w:rsid w:val="00FA7DF7"/>
    <w:rsid w:val="00FB0D4C"/>
    <w:rsid w:val="00FB18C8"/>
    <w:rsid w:val="00FB217E"/>
    <w:rsid w:val="00FB549E"/>
    <w:rsid w:val="00FC0A38"/>
    <w:rsid w:val="00FC3C96"/>
    <w:rsid w:val="00FC4754"/>
    <w:rsid w:val="00FC497D"/>
    <w:rsid w:val="00FC5518"/>
    <w:rsid w:val="00FC6D4B"/>
    <w:rsid w:val="00FE0428"/>
    <w:rsid w:val="00FE140B"/>
    <w:rsid w:val="00FE15CA"/>
    <w:rsid w:val="00FE3FFB"/>
    <w:rsid w:val="00FE7725"/>
    <w:rsid w:val="00FE7F9D"/>
    <w:rsid w:val="00FF08D9"/>
    <w:rsid w:val="00FF0BE5"/>
    <w:rsid w:val="00FF41DD"/>
    <w:rsid w:val="00FF4D1A"/>
    <w:rsid w:val="00FF5343"/>
    <w:rsid w:val="00FF6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DFA16C"/>
  <w15:chartTrackingRefBased/>
  <w15:docId w15:val="{0119E0AE-8C41-4E7D-A021-D6EB336AE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dugi" w:eastAsiaTheme="minorEastAsia" w:hAnsi="Gadugi" w:cstheme="minorBidi"/>
        <w:sz w:val="22"/>
        <w:lang w:val="pt-BR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36D"/>
    <w:pPr>
      <w:spacing w:before="240" w:after="240" w:line="288" w:lineRule="auto"/>
      <w:ind w:firstLine="851"/>
      <w:jc w:val="both"/>
    </w:pPr>
    <w:rPr>
      <w:sz w:val="23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36771"/>
    <w:pPr>
      <w:keepNext/>
      <w:keepLines/>
      <w:numPr>
        <w:numId w:val="7"/>
      </w:numPr>
      <w:spacing w:after="120"/>
      <w:ind w:left="431" w:hanging="431"/>
      <w:outlineLvl w:val="0"/>
    </w:pPr>
    <w:rPr>
      <w:rFonts w:eastAsiaTheme="majorEastAsia" w:cstheme="majorBidi"/>
      <w:caps/>
      <w:color w:val="002060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9A300A"/>
    <w:pPr>
      <w:keepNext/>
      <w:keepLines/>
      <w:numPr>
        <w:ilvl w:val="1"/>
        <w:numId w:val="7"/>
      </w:numPr>
      <w:spacing w:before="360" w:after="120"/>
      <w:outlineLvl w:val="1"/>
    </w:pPr>
    <w:rPr>
      <w:rFonts w:eastAsiaTheme="majorEastAsia" w:cstheme="majorBidi"/>
      <w:color w:val="002060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44394"/>
    <w:pPr>
      <w:keepNext/>
      <w:keepLines/>
      <w:numPr>
        <w:ilvl w:val="2"/>
        <w:numId w:val="7"/>
      </w:numPr>
      <w:spacing w:before="40" w:after="0"/>
      <w:outlineLvl w:val="2"/>
    </w:pPr>
    <w:rPr>
      <w:rFonts w:eastAsiaTheme="majorEastAsia" w:cstheme="majorBidi"/>
      <w:color w:val="002060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87C0C"/>
    <w:pPr>
      <w:keepNext/>
      <w:keepLines/>
      <w:numPr>
        <w:ilvl w:val="3"/>
        <w:numId w:val="7"/>
      </w:numPr>
      <w:spacing w:before="120" w:after="120"/>
      <w:ind w:left="862" w:hanging="862"/>
      <w:outlineLvl w:val="3"/>
    </w:pPr>
    <w:rPr>
      <w:rFonts w:eastAsiaTheme="majorEastAsia" w:cstheme="majorBidi"/>
      <w:color w:val="002060"/>
      <w:szCs w:val="22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21C0F"/>
    <w:pPr>
      <w:keepNext/>
      <w:keepLines/>
      <w:numPr>
        <w:ilvl w:val="4"/>
        <w:numId w:val="7"/>
      </w:numPr>
      <w:spacing w:before="40" w:after="0"/>
      <w:outlineLvl w:val="4"/>
    </w:pPr>
    <w:rPr>
      <w:rFonts w:asciiTheme="majorHAnsi" w:eastAsiaTheme="majorEastAsia" w:hAnsiTheme="majorHAnsi" w:cstheme="majorBidi"/>
      <w:color w:val="5E5E5E" w:themeColor="text2"/>
      <w:szCs w:val="22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21C0F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olor w:val="5E5E5E" w:themeColor="text2"/>
      <w:sz w:val="21"/>
      <w:szCs w:val="21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21C0F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04559" w:themeColor="accent1" w:themeShade="80"/>
      <w:sz w:val="21"/>
      <w:szCs w:val="21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21C0F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color w:val="5E5E5E" w:themeColor="text2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821C0F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5E5E5E" w:themeColor="text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C38E8"/>
    <w:pPr>
      <w:tabs>
        <w:tab w:val="center" w:pos="4252"/>
        <w:tab w:val="right" w:pos="8504"/>
      </w:tabs>
    </w:pPr>
    <w:rPr>
      <w:rFonts w:eastAsiaTheme="minorHAnsi"/>
    </w:rPr>
  </w:style>
  <w:style w:type="character" w:customStyle="1" w:styleId="CabealhoChar">
    <w:name w:val="Cabeçalho Char"/>
    <w:basedOn w:val="Fontepargpadro"/>
    <w:link w:val="Cabealho"/>
    <w:uiPriority w:val="99"/>
    <w:rsid w:val="001C38E8"/>
  </w:style>
  <w:style w:type="paragraph" w:styleId="Rodap">
    <w:name w:val="footer"/>
    <w:aliases w:val="Nota de Rodapé"/>
    <w:basedOn w:val="Normal"/>
    <w:link w:val="RodapChar"/>
    <w:uiPriority w:val="99"/>
    <w:unhideWhenUsed/>
    <w:rsid w:val="001C38E8"/>
    <w:pPr>
      <w:tabs>
        <w:tab w:val="center" w:pos="4252"/>
        <w:tab w:val="right" w:pos="8504"/>
      </w:tabs>
    </w:pPr>
    <w:rPr>
      <w:rFonts w:eastAsiaTheme="minorHAnsi"/>
    </w:rPr>
  </w:style>
  <w:style w:type="character" w:customStyle="1" w:styleId="RodapChar">
    <w:name w:val="Rodapé Char"/>
    <w:aliases w:val="Nota de Rodapé Char"/>
    <w:basedOn w:val="Fontepargpadro"/>
    <w:link w:val="Rodap"/>
    <w:uiPriority w:val="99"/>
    <w:rsid w:val="001C38E8"/>
  </w:style>
  <w:style w:type="paragraph" w:styleId="Corpodetexto">
    <w:name w:val="Body Text"/>
    <w:link w:val="CorpodetextoChar"/>
    <w:uiPriority w:val="99"/>
    <w:unhideWhenUsed/>
    <w:rsid w:val="001C38E8"/>
    <w:pPr>
      <w:spacing w:line="300" w:lineRule="auto"/>
    </w:pPr>
    <w:rPr>
      <w:rFonts w:ascii="Arial" w:eastAsia="Times New Roman" w:hAnsi="Arial" w:cs="Arial"/>
      <w:color w:val="4D4D4D"/>
      <w:kern w:val="28"/>
      <w:sz w:val="18"/>
      <w:szCs w:val="18"/>
      <w:lang w:eastAsia="pt-BR"/>
      <w14:ligatures w14:val="standard"/>
      <w14:cntxtAlts/>
    </w:rPr>
  </w:style>
  <w:style w:type="character" w:customStyle="1" w:styleId="CorpodetextoChar">
    <w:name w:val="Corpo de texto Char"/>
    <w:basedOn w:val="Fontepargpadro"/>
    <w:link w:val="Corpodetexto"/>
    <w:uiPriority w:val="99"/>
    <w:rsid w:val="001C38E8"/>
    <w:rPr>
      <w:rFonts w:ascii="Arial" w:eastAsia="Times New Roman" w:hAnsi="Arial" w:cs="Arial"/>
      <w:color w:val="000000"/>
      <w:kern w:val="28"/>
      <w:sz w:val="18"/>
      <w:szCs w:val="18"/>
      <w:lang w:eastAsia="pt-BR"/>
      <w14:ligatures w14:val="standard"/>
      <w14:cntxtAlts/>
    </w:rPr>
  </w:style>
  <w:style w:type="paragraph" w:styleId="Ttulo">
    <w:name w:val="Title"/>
    <w:basedOn w:val="Normal"/>
    <w:next w:val="Normal"/>
    <w:link w:val="TtuloChar"/>
    <w:uiPriority w:val="10"/>
    <w:qFormat/>
    <w:rsid w:val="00F16107"/>
    <w:pPr>
      <w:spacing w:line="240" w:lineRule="auto"/>
      <w:ind w:firstLine="0"/>
      <w:contextualSpacing/>
      <w:jc w:val="center"/>
    </w:pPr>
    <w:rPr>
      <w:rFonts w:eastAsiaTheme="majorEastAsia" w:cstheme="majorBidi"/>
      <w:color w:val="002060"/>
      <w:spacing w:val="-10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16107"/>
    <w:rPr>
      <w:rFonts w:eastAsiaTheme="majorEastAsia" w:cstheme="majorBidi"/>
      <w:color w:val="002060"/>
      <w:spacing w:val="-10"/>
      <w:sz w:val="23"/>
      <w:szCs w:val="56"/>
    </w:rPr>
  </w:style>
  <w:style w:type="table" w:styleId="Tabelacomgrade">
    <w:name w:val="Table Grid"/>
    <w:basedOn w:val="Tabelanormal"/>
    <w:uiPriority w:val="39"/>
    <w:rsid w:val="00187A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rsid w:val="00F31A76"/>
    <w:rPr>
      <w:color w:val="808080"/>
    </w:rPr>
  </w:style>
  <w:style w:type="paragraph" w:styleId="Textodebalo">
    <w:name w:val="Balloon Text"/>
    <w:basedOn w:val="Normal"/>
    <w:link w:val="TextodebaloChar"/>
    <w:uiPriority w:val="99"/>
    <w:unhideWhenUsed/>
    <w:rsid w:val="004E184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rsid w:val="004E184F"/>
    <w:rPr>
      <w:rFonts w:ascii="Segoe UI" w:eastAsiaTheme="minorEastAsia" w:hAnsi="Segoe UI" w:cs="Segoe UI"/>
      <w:sz w:val="18"/>
      <w:szCs w:val="18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F66AFE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66AFE"/>
    <w:rPr>
      <w:color w:val="F59E00" w:themeColor="hyperlink"/>
      <w:u w:val="single"/>
    </w:rPr>
  </w:style>
  <w:style w:type="paragraph" w:customStyle="1" w:styleId="Standard">
    <w:name w:val="Standard"/>
    <w:rsid w:val="00F66AFE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79663C"/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79663C"/>
    <w:rPr>
      <w:rFonts w:ascii="Times New Roman" w:eastAsia="Arial Unicode MS" w:hAnsi="Times New Roman" w:cs="Tahoma"/>
      <w:kern w:val="3"/>
      <w:sz w:val="20"/>
      <w:szCs w:val="20"/>
      <w:lang w:eastAsia="pt-BR"/>
    </w:rPr>
  </w:style>
  <w:style w:type="character" w:styleId="Refdenotaderodap">
    <w:name w:val="footnote reference"/>
    <w:basedOn w:val="Fontepargpadro"/>
    <w:unhideWhenUsed/>
    <w:rsid w:val="0079663C"/>
    <w:rPr>
      <w:vertAlign w:val="superscript"/>
    </w:rPr>
  </w:style>
  <w:style w:type="character" w:customStyle="1" w:styleId="Ttulo1Char">
    <w:name w:val="Título 1 Char"/>
    <w:basedOn w:val="Fontepargpadro"/>
    <w:link w:val="Ttulo1"/>
    <w:uiPriority w:val="9"/>
    <w:rsid w:val="00E36771"/>
    <w:rPr>
      <w:rFonts w:eastAsiaTheme="majorEastAsia" w:cstheme="majorBidi"/>
      <w:caps/>
      <w:color w:val="002060"/>
      <w:sz w:val="23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9A300A"/>
    <w:rPr>
      <w:rFonts w:eastAsiaTheme="majorEastAsia" w:cstheme="majorBidi"/>
      <w:color w:val="002060"/>
      <w:sz w:val="23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544394"/>
    <w:rPr>
      <w:rFonts w:eastAsiaTheme="majorEastAsia" w:cstheme="majorBidi"/>
      <w:color w:val="002060"/>
      <w:sz w:val="23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87C0C"/>
    <w:rPr>
      <w:rFonts w:eastAsiaTheme="majorEastAsia" w:cstheme="majorBidi"/>
      <w:color w:val="002060"/>
      <w:sz w:val="23"/>
      <w:szCs w:val="22"/>
    </w:rPr>
  </w:style>
  <w:style w:type="character" w:customStyle="1" w:styleId="Ttulo5Char">
    <w:name w:val="Título 5 Char"/>
    <w:basedOn w:val="Fontepargpadro"/>
    <w:link w:val="Ttulo5"/>
    <w:uiPriority w:val="9"/>
    <w:rsid w:val="00821C0F"/>
    <w:rPr>
      <w:rFonts w:asciiTheme="majorHAnsi" w:eastAsiaTheme="majorEastAsia" w:hAnsiTheme="majorHAnsi" w:cstheme="majorBidi"/>
      <w:color w:val="5E5E5E" w:themeColor="text2"/>
      <w:sz w:val="23"/>
      <w:szCs w:val="22"/>
    </w:rPr>
  </w:style>
  <w:style w:type="character" w:customStyle="1" w:styleId="Ttulo6Char">
    <w:name w:val="Título 6 Char"/>
    <w:basedOn w:val="Fontepargpadro"/>
    <w:link w:val="Ttulo6"/>
    <w:uiPriority w:val="9"/>
    <w:rsid w:val="00821C0F"/>
    <w:rPr>
      <w:rFonts w:asciiTheme="majorHAnsi" w:eastAsiaTheme="majorEastAsia" w:hAnsiTheme="majorHAnsi" w:cstheme="majorBidi"/>
      <w:i/>
      <w:iCs/>
      <w:color w:val="5E5E5E" w:themeColor="text2"/>
      <w:sz w:val="21"/>
      <w:szCs w:val="21"/>
    </w:rPr>
  </w:style>
  <w:style w:type="character" w:customStyle="1" w:styleId="Ttulo7Char">
    <w:name w:val="Título 7 Char"/>
    <w:basedOn w:val="Fontepargpadro"/>
    <w:link w:val="Ttulo7"/>
    <w:uiPriority w:val="9"/>
    <w:rsid w:val="00821C0F"/>
    <w:rPr>
      <w:rFonts w:asciiTheme="majorHAnsi" w:eastAsiaTheme="majorEastAsia" w:hAnsiTheme="majorHAnsi" w:cstheme="majorBidi"/>
      <w:i/>
      <w:iCs/>
      <w:color w:val="204559" w:themeColor="accent1" w:themeShade="80"/>
      <w:sz w:val="21"/>
      <w:szCs w:val="21"/>
    </w:rPr>
  </w:style>
  <w:style w:type="character" w:customStyle="1" w:styleId="Ttulo8Char">
    <w:name w:val="Título 8 Char"/>
    <w:basedOn w:val="Fontepargpadro"/>
    <w:link w:val="Ttulo8"/>
    <w:uiPriority w:val="9"/>
    <w:rsid w:val="00821C0F"/>
    <w:rPr>
      <w:rFonts w:asciiTheme="majorHAnsi" w:eastAsiaTheme="majorEastAsia" w:hAnsiTheme="majorHAnsi" w:cstheme="majorBidi"/>
      <w:b/>
      <w:bCs/>
      <w:color w:val="5E5E5E" w:themeColor="text2"/>
      <w:sz w:val="23"/>
    </w:rPr>
  </w:style>
  <w:style w:type="character" w:customStyle="1" w:styleId="Ttulo9Char">
    <w:name w:val="Título 9 Char"/>
    <w:basedOn w:val="Fontepargpadro"/>
    <w:link w:val="Ttulo9"/>
    <w:uiPriority w:val="9"/>
    <w:rsid w:val="00821C0F"/>
    <w:rPr>
      <w:rFonts w:asciiTheme="majorHAnsi" w:eastAsiaTheme="majorEastAsia" w:hAnsiTheme="majorHAnsi" w:cstheme="majorBidi"/>
      <w:b/>
      <w:bCs/>
      <w:i/>
      <w:iCs/>
      <w:color w:val="5E5E5E" w:themeColor="text2"/>
      <w:sz w:val="23"/>
    </w:rPr>
  </w:style>
  <w:style w:type="paragraph" w:styleId="Legenda">
    <w:name w:val="caption"/>
    <w:basedOn w:val="Normal"/>
    <w:next w:val="Normal"/>
    <w:uiPriority w:val="35"/>
    <w:unhideWhenUsed/>
    <w:qFormat/>
    <w:rsid w:val="00821C0F"/>
    <w:rPr>
      <w:b/>
      <w:bCs/>
      <w:smallCaps/>
      <w:color w:val="595959" w:themeColor="text1" w:themeTint="A6"/>
      <w:spacing w:val="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1C0F"/>
    <w:pPr>
      <w:numPr>
        <w:ilvl w:val="1"/>
      </w:numPr>
      <w:ind w:firstLine="851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821C0F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821C0F"/>
    <w:rPr>
      <w:b/>
      <w:bCs/>
    </w:rPr>
  </w:style>
  <w:style w:type="character" w:styleId="nfase">
    <w:name w:val="Emphasis"/>
    <w:basedOn w:val="Fontepargpadro"/>
    <w:uiPriority w:val="20"/>
    <w:qFormat/>
    <w:rsid w:val="00821C0F"/>
    <w:rPr>
      <w:i/>
      <w:iCs/>
    </w:rPr>
  </w:style>
  <w:style w:type="paragraph" w:styleId="SemEspaamento">
    <w:name w:val="No Spacing"/>
    <w:link w:val="SemEspaamentoChar"/>
    <w:uiPriority w:val="1"/>
    <w:qFormat/>
    <w:rsid w:val="00821C0F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821C0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1C0F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1C0F"/>
    <w:pPr>
      <w:pBdr>
        <w:left w:val="single" w:sz="18" w:space="12" w:color="418AB3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18AB3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1C0F"/>
    <w:rPr>
      <w:rFonts w:asciiTheme="majorHAnsi" w:eastAsiaTheme="majorEastAsia" w:hAnsiTheme="majorHAnsi" w:cstheme="majorBidi"/>
      <w:color w:val="418AB3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821C0F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821C0F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821C0F"/>
    <w:rPr>
      <w:smallCaps/>
      <w:color w:val="404040" w:themeColor="text1" w:themeTint="BF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821C0F"/>
    <w:rPr>
      <w:b/>
      <w:bCs/>
      <w:smallCaps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821C0F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unhideWhenUsed/>
    <w:qFormat/>
    <w:rsid w:val="00821C0F"/>
    <w:pPr>
      <w:numPr>
        <w:numId w:val="0"/>
      </w:numPr>
      <w:outlineLvl w:val="9"/>
    </w:pPr>
  </w:style>
  <w:style w:type="character" w:customStyle="1" w:styleId="Estilo1">
    <w:name w:val="Estilo1"/>
    <w:basedOn w:val="Fontepargpadro"/>
    <w:uiPriority w:val="1"/>
    <w:rsid w:val="0066484D"/>
    <w:rPr>
      <w:rFonts w:ascii="Gadugi" w:hAnsi="Gadugi"/>
    </w:rPr>
  </w:style>
  <w:style w:type="character" w:customStyle="1" w:styleId="Estilo2">
    <w:name w:val="Estilo2"/>
    <w:basedOn w:val="Fontepargpadro"/>
    <w:uiPriority w:val="1"/>
    <w:rsid w:val="0066484D"/>
    <w:rPr>
      <w:rFonts w:ascii="Gadugi" w:hAnsi="Gadugi"/>
      <w:sz w:val="23"/>
    </w:rPr>
  </w:style>
  <w:style w:type="paragraph" w:styleId="Sumrio2">
    <w:name w:val="toc 2"/>
    <w:basedOn w:val="Normal"/>
    <w:next w:val="Normal"/>
    <w:autoRedefine/>
    <w:uiPriority w:val="39"/>
    <w:unhideWhenUsed/>
    <w:rsid w:val="00906BB9"/>
    <w:pPr>
      <w:spacing w:before="0" w:after="0"/>
      <w:ind w:left="230"/>
      <w:jc w:val="left"/>
    </w:pPr>
    <w:rPr>
      <w:rFonts w:asciiTheme="minorHAnsi" w:hAnsiTheme="minorHAnsi" w:cstheme="minorHAnsi"/>
      <w:smallCaps/>
      <w:sz w:val="20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906BB9"/>
  </w:style>
  <w:style w:type="paragraph" w:styleId="NormalWeb">
    <w:name w:val="Normal (Web)"/>
    <w:basedOn w:val="Normal"/>
    <w:uiPriority w:val="99"/>
    <w:unhideWhenUsed/>
    <w:rsid w:val="0082633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85747"/>
  </w:style>
  <w:style w:type="paragraph" w:customStyle="1" w:styleId="Percia">
    <w:name w:val="Perícia"/>
    <w:basedOn w:val="Normal"/>
    <w:link w:val="PerciaChar"/>
    <w:rsid w:val="0032271E"/>
    <w:pPr>
      <w:spacing w:after="120" w:line="320" w:lineRule="atLeast"/>
    </w:pPr>
    <w:rPr>
      <w:szCs w:val="22"/>
    </w:rPr>
  </w:style>
  <w:style w:type="paragraph" w:customStyle="1" w:styleId="SRecuo">
    <w:name w:val="S/ Recuo"/>
    <w:next w:val="Normal"/>
    <w:link w:val="SRecuoChar"/>
    <w:autoRedefine/>
    <w:qFormat/>
    <w:rsid w:val="00446900"/>
    <w:pPr>
      <w:spacing w:before="120"/>
      <w:ind w:left="851"/>
      <w:jc w:val="both"/>
    </w:pPr>
  </w:style>
  <w:style w:type="character" w:customStyle="1" w:styleId="PerciaChar">
    <w:name w:val="Perícia Char"/>
    <w:basedOn w:val="Fontepargpadro"/>
    <w:link w:val="Percia"/>
    <w:rsid w:val="0032271E"/>
    <w:rPr>
      <w:rFonts w:ascii="Gadugi" w:hAnsi="Gadugi"/>
      <w:sz w:val="22"/>
      <w:szCs w:val="22"/>
    </w:rPr>
  </w:style>
  <w:style w:type="paragraph" w:customStyle="1" w:styleId="RodapM">
    <w:name w:val="Rodapé M"/>
    <w:basedOn w:val="Rodap"/>
    <w:link w:val="RodapMChar"/>
    <w:autoRedefine/>
    <w:qFormat/>
    <w:rsid w:val="00462D03"/>
    <w:pPr>
      <w:spacing w:before="0" w:after="0" w:line="240" w:lineRule="auto"/>
      <w:ind w:firstLine="0"/>
      <w:jc w:val="right"/>
    </w:pPr>
    <w:rPr>
      <w:noProof/>
      <w:sz w:val="20"/>
      <w:lang w:eastAsia="pt-BR"/>
    </w:rPr>
  </w:style>
  <w:style w:type="character" w:customStyle="1" w:styleId="SRecuoChar">
    <w:name w:val="S/ Recuo Char"/>
    <w:basedOn w:val="PerciaChar"/>
    <w:link w:val="SRecuo"/>
    <w:rsid w:val="00446900"/>
    <w:rPr>
      <w:rFonts w:ascii="Gadugi" w:hAnsi="Gadugi"/>
      <w:sz w:val="22"/>
      <w:szCs w:val="22"/>
    </w:rPr>
  </w:style>
  <w:style w:type="paragraph" w:customStyle="1" w:styleId="List1">
    <w:name w:val="List 1"/>
    <w:basedOn w:val="PargrafodaLista"/>
    <w:link w:val="List1Char"/>
    <w:qFormat/>
    <w:rsid w:val="00C37001"/>
    <w:pPr>
      <w:numPr>
        <w:numId w:val="1"/>
      </w:numPr>
      <w:spacing w:before="120" w:after="120"/>
      <w:ind w:left="720"/>
      <w:contextualSpacing w:val="0"/>
    </w:pPr>
  </w:style>
  <w:style w:type="character" w:customStyle="1" w:styleId="RodapMChar">
    <w:name w:val="Rodapé M Char"/>
    <w:basedOn w:val="RodapChar"/>
    <w:link w:val="RodapM"/>
    <w:rsid w:val="00462D03"/>
    <w:rPr>
      <w:rFonts w:eastAsiaTheme="minorHAnsi"/>
      <w:noProof/>
      <w:sz w:val="20"/>
      <w:lang w:eastAsia="pt-BR"/>
    </w:rPr>
  </w:style>
  <w:style w:type="paragraph" w:customStyle="1" w:styleId="Lista21">
    <w:name w:val="Lista 21"/>
    <w:basedOn w:val="List1"/>
    <w:link w:val="List2Char"/>
    <w:qFormat/>
    <w:rsid w:val="00C37001"/>
    <w:pPr>
      <w:numPr>
        <w:numId w:val="2"/>
      </w:numPr>
    </w:pPr>
  </w:style>
  <w:style w:type="character" w:customStyle="1" w:styleId="List1Char">
    <w:name w:val="List 1 Char"/>
    <w:basedOn w:val="PargrafodaListaChar"/>
    <w:link w:val="List1"/>
    <w:rsid w:val="00C37001"/>
    <w:rPr>
      <w:sz w:val="23"/>
    </w:rPr>
  </w:style>
  <w:style w:type="character" w:customStyle="1" w:styleId="List2Char">
    <w:name w:val="List 2 Char"/>
    <w:basedOn w:val="List1Char"/>
    <w:link w:val="Lista21"/>
    <w:rsid w:val="00C37001"/>
    <w:rPr>
      <w:sz w:val="23"/>
    </w:rPr>
  </w:style>
  <w:style w:type="paragraph" w:styleId="Reviso">
    <w:name w:val="Revision"/>
    <w:hidden/>
    <w:uiPriority w:val="99"/>
    <w:semiHidden/>
    <w:rsid w:val="00380DEB"/>
    <w:pPr>
      <w:spacing w:after="0" w:line="240" w:lineRule="auto"/>
    </w:pPr>
  </w:style>
  <w:style w:type="character" w:styleId="Refdecomentrio">
    <w:name w:val="annotation reference"/>
    <w:basedOn w:val="Fontepargpadro"/>
    <w:uiPriority w:val="99"/>
    <w:semiHidden/>
    <w:unhideWhenUsed/>
    <w:rsid w:val="002E131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E1313"/>
    <w:pPr>
      <w:spacing w:line="240" w:lineRule="auto"/>
    </w:pPr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E1313"/>
    <w:rPr>
      <w:sz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E131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E1313"/>
    <w:rPr>
      <w:b/>
      <w:bCs/>
      <w:sz w:val="20"/>
    </w:rPr>
  </w:style>
  <w:style w:type="paragraph" w:styleId="Textodenotadefim">
    <w:name w:val="endnote text"/>
    <w:basedOn w:val="Normal"/>
    <w:link w:val="TextodenotadefimChar"/>
    <w:uiPriority w:val="99"/>
    <w:unhideWhenUsed/>
    <w:rsid w:val="0038038F"/>
    <w:pPr>
      <w:spacing w:before="0" w:after="0" w:line="240" w:lineRule="auto"/>
    </w:pPr>
    <w:rPr>
      <w:sz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rsid w:val="0038038F"/>
    <w:rPr>
      <w:sz w:val="20"/>
    </w:rPr>
  </w:style>
  <w:style w:type="character" w:styleId="Refdenotadefim">
    <w:name w:val="endnote reference"/>
    <w:basedOn w:val="Fontepargpadro"/>
    <w:uiPriority w:val="99"/>
    <w:unhideWhenUsed/>
    <w:rsid w:val="0038038F"/>
    <w:rPr>
      <w:vertAlign w:val="superscript"/>
    </w:rPr>
  </w:style>
  <w:style w:type="paragraph" w:customStyle="1" w:styleId="Citaodireta">
    <w:name w:val="Citação direta"/>
    <w:basedOn w:val="Normal"/>
    <w:link w:val="CitaodiretaChar"/>
    <w:autoRedefine/>
    <w:qFormat/>
    <w:rsid w:val="0032436D"/>
    <w:pPr>
      <w:pBdr>
        <w:bottom w:val="single" w:sz="4" w:space="1" w:color="auto"/>
      </w:pBdr>
      <w:spacing w:line="240" w:lineRule="auto"/>
      <w:ind w:left="2268" w:firstLine="0"/>
    </w:pPr>
    <w:rPr>
      <w:color w:val="002060"/>
    </w:rPr>
  </w:style>
  <w:style w:type="character" w:customStyle="1" w:styleId="CitaodiretaChar">
    <w:name w:val="Citação direta Char"/>
    <w:basedOn w:val="Fontepargpadro"/>
    <w:link w:val="Citaodireta"/>
    <w:rsid w:val="0032436D"/>
    <w:rPr>
      <w:color w:val="002060"/>
      <w:sz w:val="23"/>
    </w:rPr>
  </w:style>
  <w:style w:type="table" w:customStyle="1" w:styleId="Tabelacomgrade1">
    <w:name w:val="Tabela com grade1"/>
    <w:basedOn w:val="Tabelanormal"/>
    <w:next w:val="Tabelacomgrade"/>
    <w:uiPriority w:val="39"/>
    <w:rsid w:val="008C3CF3"/>
    <w:pPr>
      <w:spacing w:after="0" w:line="240" w:lineRule="auto"/>
    </w:pPr>
    <w:rPr>
      <w:rFonts w:asciiTheme="minorHAnsi" w:eastAsia="Times New Roman" w:hAnsiTheme="minorHAns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576535"/>
    <w:pPr>
      <w:spacing w:after="0" w:line="240" w:lineRule="auto"/>
    </w:pPr>
    <w:rPr>
      <w:rFonts w:asciiTheme="minorHAnsi" w:eastAsia="Times New Roman" w:hAnsiTheme="minorHAns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1">
    <w:name w:val="Tabela com grade11"/>
    <w:basedOn w:val="Tabelanormal"/>
    <w:next w:val="Tabelacomgrade"/>
    <w:uiPriority w:val="39"/>
    <w:rsid w:val="00330575"/>
    <w:pPr>
      <w:spacing w:after="0" w:line="240" w:lineRule="auto"/>
    </w:pPr>
    <w:rPr>
      <w:rFonts w:ascii="Calibri" w:eastAsia="Times New Roman" w:hAnsi="Calibr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">
    <w:name w:val="Sem lista1"/>
    <w:next w:val="Semlista"/>
    <w:uiPriority w:val="99"/>
    <w:semiHidden/>
    <w:unhideWhenUsed/>
    <w:rsid w:val="007C3C81"/>
  </w:style>
  <w:style w:type="table" w:customStyle="1" w:styleId="Tabelacomgrade3">
    <w:name w:val="Tabela com grade3"/>
    <w:basedOn w:val="Tabelanormal"/>
    <w:next w:val="Tabelacomgrade"/>
    <w:uiPriority w:val="39"/>
    <w:rsid w:val="007C3C81"/>
    <w:pPr>
      <w:spacing w:before="240" w:after="0" w:line="240" w:lineRule="auto"/>
      <w:ind w:firstLine="851"/>
      <w:jc w:val="both"/>
    </w:pPr>
    <w:rPr>
      <w:sz w:val="23"/>
      <w:szCs w:val="23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">
    <w:name w:val="List"/>
    <w:basedOn w:val="Normal"/>
    <w:autoRedefine/>
    <w:uiPriority w:val="99"/>
    <w:rsid w:val="007C3C81"/>
    <w:pPr>
      <w:numPr>
        <w:numId w:val="5"/>
      </w:numPr>
      <w:spacing w:before="0" w:after="120" w:line="240" w:lineRule="auto"/>
      <w:ind w:left="714" w:hanging="357"/>
    </w:pPr>
    <w:rPr>
      <w:szCs w:val="23"/>
    </w:rPr>
  </w:style>
  <w:style w:type="paragraph" w:customStyle="1" w:styleId="Tabela">
    <w:name w:val="Tabela"/>
    <w:basedOn w:val="SemEspaamento"/>
    <w:qFormat/>
    <w:rsid w:val="007C3C81"/>
    <w:pPr>
      <w:tabs>
        <w:tab w:val="left" w:pos="1134"/>
      </w:tabs>
      <w:spacing w:after="120"/>
      <w:jc w:val="both"/>
    </w:pPr>
    <w:rPr>
      <w:sz w:val="24"/>
      <w:szCs w:val="23"/>
    </w:rPr>
  </w:style>
  <w:style w:type="character" w:customStyle="1" w:styleId="Estilo3">
    <w:name w:val="Estilo3"/>
    <w:basedOn w:val="Fontepargpadro"/>
    <w:uiPriority w:val="1"/>
    <w:rsid w:val="007C3C81"/>
    <w:rPr>
      <w:rFonts w:ascii="Gadugi" w:hAnsi="Gadugi"/>
      <w:sz w:val="23"/>
    </w:rPr>
  </w:style>
  <w:style w:type="character" w:customStyle="1" w:styleId="Estilo4">
    <w:name w:val="Estilo4"/>
    <w:basedOn w:val="Fontepargpadro"/>
    <w:uiPriority w:val="1"/>
    <w:rsid w:val="007C3C81"/>
    <w:rPr>
      <w:rFonts w:ascii="Gadugi" w:hAnsi="Gadugi"/>
      <w:sz w:val="23"/>
    </w:rPr>
  </w:style>
  <w:style w:type="table" w:customStyle="1" w:styleId="Tabelacomgrade12">
    <w:name w:val="Tabela com grade12"/>
    <w:basedOn w:val="Tabelanormal"/>
    <w:next w:val="Tabelacomgrade"/>
    <w:uiPriority w:val="39"/>
    <w:rsid w:val="007C3C81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5">
    <w:name w:val="Estilo5"/>
    <w:basedOn w:val="Fontepargpadro"/>
    <w:uiPriority w:val="1"/>
    <w:rsid w:val="007C3C81"/>
  </w:style>
  <w:style w:type="character" w:customStyle="1" w:styleId="Estilo6">
    <w:name w:val="Estilo6"/>
    <w:basedOn w:val="Fontepargpadro"/>
    <w:uiPriority w:val="1"/>
    <w:rsid w:val="007C3C81"/>
    <w:rPr>
      <w:rFonts w:ascii="Gadugi" w:hAnsi="Gadugi"/>
      <w:sz w:val="23"/>
    </w:rPr>
  </w:style>
  <w:style w:type="table" w:customStyle="1" w:styleId="Tabelacomgrade21">
    <w:name w:val="Tabela com grade21"/>
    <w:basedOn w:val="Tabelanormal"/>
    <w:next w:val="Tabelacomgrade"/>
    <w:uiPriority w:val="39"/>
    <w:rsid w:val="007C3C81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1">
    <w:name w:val="Tabela com grade31"/>
    <w:basedOn w:val="Tabelanormal"/>
    <w:next w:val="Tabelacomgrade"/>
    <w:uiPriority w:val="39"/>
    <w:rsid w:val="007C3C81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4">
    <w:name w:val="Tabela com grade4"/>
    <w:basedOn w:val="Tabelanormal"/>
    <w:next w:val="Tabelacomgrade"/>
    <w:uiPriority w:val="39"/>
    <w:rsid w:val="007C3C81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">
    <w:name w:val="Tabela com grade5"/>
    <w:basedOn w:val="Tabelanormal"/>
    <w:next w:val="Tabelacomgrade"/>
    <w:uiPriority w:val="39"/>
    <w:rsid w:val="007C3C81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6">
    <w:name w:val="Tabela com grade6"/>
    <w:basedOn w:val="Tabelanormal"/>
    <w:next w:val="Tabelacomgrade"/>
    <w:uiPriority w:val="39"/>
    <w:rsid w:val="007C3C81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7">
    <w:name w:val="Tabela com grade7"/>
    <w:basedOn w:val="Tabelanormal"/>
    <w:next w:val="Tabelacomgrade"/>
    <w:uiPriority w:val="39"/>
    <w:rsid w:val="007C3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stilo7">
    <w:name w:val="Estilo7"/>
    <w:basedOn w:val="Fontepargpadro"/>
    <w:uiPriority w:val="1"/>
    <w:rsid w:val="007C3C81"/>
    <w:rPr>
      <w:rFonts w:ascii="Gadugi" w:hAnsi="Gadugi"/>
      <w:sz w:val="23"/>
    </w:rPr>
  </w:style>
  <w:style w:type="character" w:styleId="MenoPendente">
    <w:name w:val="Unresolved Mention"/>
    <w:basedOn w:val="Fontepargpadro"/>
    <w:uiPriority w:val="99"/>
    <w:semiHidden/>
    <w:unhideWhenUsed/>
    <w:rsid w:val="00037DAF"/>
    <w:rPr>
      <w:color w:val="808080"/>
      <w:shd w:val="clear" w:color="auto" w:fill="E6E6E6"/>
    </w:rPr>
  </w:style>
  <w:style w:type="paragraph" w:styleId="Sumrio1">
    <w:name w:val="toc 1"/>
    <w:basedOn w:val="Normal"/>
    <w:next w:val="Normal"/>
    <w:autoRedefine/>
    <w:uiPriority w:val="39"/>
    <w:unhideWhenUsed/>
    <w:rsid w:val="00555177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Sumrio3">
    <w:name w:val="toc 3"/>
    <w:basedOn w:val="Normal"/>
    <w:next w:val="Normal"/>
    <w:autoRedefine/>
    <w:uiPriority w:val="39"/>
    <w:unhideWhenUsed/>
    <w:rsid w:val="00450078"/>
    <w:pPr>
      <w:spacing w:before="0" w:after="0"/>
      <w:ind w:left="460"/>
      <w:jc w:val="left"/>
    </w:pPr>
    <w:rPr>
      <w:rFonts w:asciiTheme="minorHAnsi" w:hAnsiTheme="minorHAnsi" w:cstheme="minorHAnsi"/>
      <w:i/>
      <w:iCs/>
      <w:sz w:val="20"/>
    </w:rPr>
  </w:style>
  <w:style w:type="paragraph" w:styleId="Sumrio4">
    <w:name w:val="toc 4"/>
    <w:basedOn w:val="Normal"/>
    <w:next w:val="Normal"/>
    <w:autoRedefine/>
    <w:uiPriority w:val="39"/>
    <w:unhideWhenUsed/>
    <w:rsid w:val="00555177"/>
    <w:pPr>
      <w:spacing w:before="0" w:after="0"/>
      <w:ind w:left="690"/>
      <w:jc w:val="left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555177"/>
    <w:pPr>
      <w:spacing w:before="0" w:after="0"/>
      <w:ind w:left="920"/>
      <w:jc w:val="left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555177"/>
    <w:pPr>
      <w:spacing w:before="0" w:after="0"/>
      <w:ind w:left="1150"/>
      <w:jc w:val="left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555177"/>
    <w:pPr>
      <w:spacing w:before="0" w:after="0"/>
      <w:ind w:left="1380"/>
      <w:jc w:val="left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555177"/>
    <w:pPr>
      <w:spacing w:before="0" w:after="0"/>
      <w:ind w:left="1610"/>
      <w:jc w:val="left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555177"/>
    <w:pPr>
      <w:spacing w:before="0" w:after="0"/>
      <w:ind w:left="1840"/>
      <w:jc w:val="left"/>
    </w:pPr>
    <w:rPr>
      <w:rFonts w:asciiTheme="minorHAnsi" w:hAnsiTheme="minorHAnsi" w:cs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2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li\Google%20Drive%20(willian@valorefetivo.com.br)\Mour&#227;o%20&amp;%20Mussolin%20Ltda%20Me\DEPTEC\Modelo\Ptec%20Modelo%20III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C54617C6BB4867B374DA83983656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C6020F-6F29-44BB-9F70-28DE503003C1}"/>
      </w:docPartPr>
      <w:docPartBody>
        <w:p w:rsidR="009C4479" w:rsidRDefault="00027B7C">
          <w:pPr>
            <w:pStyle w:val="50C54617C6BB4867B374DA83983656B9"/>
          </w:pPr>
          <w:r w:rsidRPr="0055695E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65F9AA4E7904A52852FD37918C5A7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A437AAB-58C3-4638-AF98-F88EC8BCB00E}"/>
      </w:docPartPr>
      <w:docPartBody>
        <w:p w:rsidR="009C4479" w:rsidRDefault="00027B7C">
          <w:pPr>
            <w:pStyle w:val="565F9AA4E7904A52852FD37918C5A772"/>
          </w:pPr>
          <w:r>
            <w:rPr>
              <w:rStyle w:val="TextodoEspaoReservado"/>
            </w:rPr>
            <w:t>XXXXX</w:t>
          </w:r>
        </w:p>
      </w:docPartBody>
    </w:docPart>
    <w:docPart>
      <w:docPartPr>
        <w:name w:val="AEE82193DEDE4CE4B30C32B78EE9EF0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C13710B-2B0E-4915-B455-203F9AF65CD2}"/>
      </w:docPartPr>
      <w:docPartBody>
        <w:p w:rsidR="009C4479" w:rsidRDefault="00027B7C">
          <w:pPr>
            <w:pStyle w:val="AEE82193DEDE4CE4B30C32B78EE9EF0A"/>
          </w:pPr>
          <w:r>
            <w:rPr>
              <w:rStyle w:val="TextodoEspaoReservado"/>
            </w:rPr>
            <w:t>XXXXX</w:t>
          </w:r>
        </w:p>
      </w:docPartBody>
    </w:docPart>
    <w:docPart>
      <w:docPartPr>
        <w:name w:val="CB70E464C32D49A9900AA97F6733EDE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5B718C-33A1-4E50-B0B1-D49197A20F18}"/>
      </w:docPartPr>
      <w:docPartBody>
        <w:p w:rsidR="009C4479" w:rsidRDefault="00027B7C">
          <w:pPr>
            <w:pStyle w:val="CB70E464C32D49A9900AA97F6733EDE8"/>
          </w:pPr>
          <w:r>
            <w:rPr>
              <w:rStyle w:val="TextodoEspaoReservado"/>
            </w:rPr>
            <w:t>XXXXX</w:t>
          </w:r>
        </w:p>
      </w:docPartBody>
    </w:docPart>
    <w:docPart>
      <w:docPartPr>
        <w:name w:val="FA01301F769C45BB95F3C9F2F87913B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20AF07-B181-471D-A75B-ACF9624C0601}"/>
      </w:docPartPr>
      <w:docPartBody>
        <w:p w:rsidR="009C4479" w:rsidRDefault="00027B7C">
          <w:pPr>
            <w:pStyle w:val="FA01301F769C45BB95F3C9F2F87913B7"/>
          </w:pPr>
          <w:r>
            <w:rPr>
              <w:rStyle w:val="TextodoEspaoReservado"/>
            </w:rPr>
            <w:t>XXXXX</w:t>
          </w:r>
        </w:p>
      </w:docPartBody>
    </w:docPart>
    <w:docPart>
      <w:docPartPr>
        <w:name w:val="C587230E3A964BC1B07DD0A07D57083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4719763-4CB6-4E4C-A961-B3BC1938FB30}"/>
      </w:docPartPr>
      <w:docPartBody>
        <w:p w:rsidR="00000000" w:rsidRDefault="000B769E" w:rsidP="000B769E">
          <w:pPr>
            <w:pStyle w:val="C587230E3A964BC1B07DD0A07D57083D"/>
          </w:pPr>
          <w:r w:rsidRPr="0055695E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dugi">
    <w:altName w:val="Gadugi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bel Bk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F5"/>
    <w:rsid w:val="00027B7C"/>
    <w:rsid w:val="0003011A"/>
    <w:rsid w:val="00042714"/>
    <w:rsid w:val="00091D1C"/>
    <w:rsid w:val="000B769E"/>
    <w:rsid w:val="000E30EB"/>
    <w:rsid w:val="001224BE"/>
    <w:rsid w:val="001265C4"/>
    <w:rsid w:val="00133873"/>
    <w:rsid w:val="001E4240"/>
    <w:rsid w:val="002378AB"/>
    <w:rsid w:val="00237F98"/>
    <w:rsid w:val="00271B16"/>
    <w:rsid w:val="0027240C"/>
    <w:rsid w:val="00293E35"/>
    <w:rsid w:val="00295CAE"/>
    <w:rsid w:val="002D1244"/>
    <w:rsid w:val="00305C35"/>
    <w:rsid w:val="003206FE"/>
    <w:rsid w:val="003211EC"/>
    <w:rsid w:val="00327C86"/>
    <w:rsid w:val="00333CE9"/>
    <w:rsid w:val="003364C8"/>
    <w:rsid w:val="003A1FB2"/>
    <w:rsid w:val="003F0D5E"/>
    <w:rsid w:val="004B6FE5"/>
    <w:rsid w:val="00501923"/>
    <w:rsid w:val="00506D67"/>
    <w:rsid w:val="00526B66"/>
    <w:rsid w:val="005713A8"/>
    <w:rsid w:val="00583F19"/>
    <w:rsid w:val="00585C88"/>
    <w:rsid w:val="00591996"/>
    <w:rsid w:val="005C66A7"/>
    <w:rsid w:val="00641FF6"/>
    <w:rsid w:val="00642A99"/>
    <w:rsid w:val="00656139"/>
    <w:rsid w:val="00670C22"/>
    <w:rsid w:val="006A7A15"/>
    <w:rsid w:val="006B25A2"/>
    <w:rsid w:val="006B57A4"/>
    <w:rsid w:val="006D2C9A"/>
    <w:rsid w:val="006E3351"/>
    <w:rsid w:val="00700C49"/>
    <w:rsid w:val="00721CA1"/>
    <w:rsid w:val="0077279F"/>
    <w:rsid w:val="00837A1D"/>
    <w:rsid w:val="00845B0B"/>
    <w:rsid w:val="008736F8"/>
    <w:rsid w:val="00876F7D"/>
    <w:rsid w:val="00883239"/>
    <w:rsid w:val="008B0283"/>
    <w:rsid w:val="0092040D"/>
    <w:rsid w:val="00927417"/>
    <w:rsid w:val="0093286F"/>
    <w:rsid w:val="009C4479"/>
    <w:rsid w:val="009C46BC"/>
    <w:rsid w:val="00A21348"/>
    <w:rsid w:val="00A32620"/>
    <w:rsid w:val="00AA30C5"/>
    <w:rsid w:val="00AC677B"/>
    <w:rsid w:val="00AF5CAB"/>
    <w:rsid w:val="00B36FF5"/>
    <w:rsid w:val="00B6252D"/>
    <w:rsid w:val="00B75BE6"/>
    <w:rsid w:val="00B905E7"/>
    <w:rsid w:val="00BF085D"/>
    <w:rsid w:val="00C1093C"/>
    <w:rsid w:val="00C10EFA"/>
    <w:rsid w:val="00C240AF"/>
    <w:rsid w:val="00C6181B"/>
    <w:rsid w:val="00C90573"/>
    <w:rsid w:val="00CD2843"/>
    <w:rsid w:val="00CD4634"/>
    <w:rsid w:val="00D33305"/>
    <w:rsid w:val="00D34B4A"/>
    <w:rsid w:val="00D54347"/>
    <w:rsid w:val="00D623EC"/>
    <w:rsid w:val="00D65A63"/>
    <w:rsid w:val="00D751A7"/>
    <w:rsid w:val="00D81D86"/>
    <w:rsid w:val="00D83B48"/>
    <w:rsid w:val="00D916E0"/>
    <w:rsid w:val="00DA1928"/>
    <w:rsid w:val="00DB00F7"/>
    <w:rsid w:val="00DC45A5"/>
    <w:rsid w:val="00DD1BAE"/>
    <w:rsid w:val="00DD5B20"/>
    <w:rsid w:val="00E67352"/>
    <w:rsid w:val="00E94AD7"/>
    <w:rsid w:val="00EF3C19"/>
    <w:rsid w:val="00F15E56"/>
    <w:rsid w:val="00F45AC8"/>
    <w:rsid w:val="00F934F4"/>
    <w:rsid w:val="00FB15BC"/>
    <w:rsid w:val="00FE7A88"/>
    <w:rsid w:val="00FF2045"/>
    <w:rsid w:val="00FF4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rsid w:val="000B769E"/>
    <w:rPr>
      <w:color w:val="808080"/>
    </w:rPr>
  </w:style>
  <w:style w:type="paragraph" w:customStyle="1" w:styleId="ADFABC3E2E6943BCAB736EB084B426FB">
    <w:name w:val="ADFABC3E2E6943BCAB736EB084B426FB"/>
  </w:style>
  <w:style w:type="paragraph" w:customStyle="1" w:styleId="50C54617C6BB4867B374DA83983656B9">
    <w:name w:val="50C54617C6BB4867B374DA83983656B9"/>
  </w:style>
  <w:style w:type="paragraph" w:customStyle="1" w:styleId="565F9AA4E7904A52852FD37918C5A772">
    <w:name w:val="565F9AA4E7904A52852FD37918C5A772"/>
  </w:style>
  <w:style w:type="paragraph" w:customStyle="1" w:styleId="AEE82193DEDE4CE4B30C32B78EE9EF0A">
    <w:name w:val="AEE82193DEDE4CE4B30C32B78EE9EF0A"/>
  </w:style>
  <w:style w:type="paragraph" w:customStyle="1" w:styleId="CB70E464C32D49A9900AA97F6733EDE8">
    <w:name w:val="CB70E464C32D49A9900AA97F6733EDE8"/>
  </w:style>
  <w:style w:type="paragraph" w:customStyle="1" w:styleId="FA01301F769C45BB95F3C9F2F87913B7">
    <w:name w:val="FA01301F769C45BB95F3C9F2F87913B7"/>
  </w:style>
  <w:style w:type="paragraph" w:customStyle="1" w:styleId="C587230E3A964BC1B07DD0A07D57083D">
    <w:name w:val="C587230E3A964BC1B07DD0A07D57083D"/>
    <w:rsid w:val="000B769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162D956E24441BA838DAD09BF76DD1">
    <w:name w:val="28162D956E24441BA838DAD09BF76DD1"/>
    <w:rsid w:val="000B769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Letreiro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649E66-AFAE-4620-9BB3-3D73F85D25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Ptec Modelo III</Template>
  <TotalTime>594</TotalTime>
  <Pages>20</Pages>
  <Words>5898</Words>
  <Characters>31852</Characters>
  <Application>Microsoft Office Word</Application>
  <DocSecurity>0</DocSecurity>
  <Lines>265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Mussolin</dc:creator>
  <cp:keywords/>
  <dc:description/>
  <cp:lastModifiedBy>Auxiliar 06 Valor Efetivo</cp:lastModifiedBy>
  <cp:revision>181</cp:revision>
  <cp:lastPrinted>2018-02-07T20:25:00Z</cp:lastPrinted>
  <dcterms:created xsi:type="dcterms:W3CDTF">2020-03-28T13:24:00Z</dcterms:created>
  <dcterms:modified xsi:type="dcterms:W3CDTF">2026-03-11T20:17:00Z</dcterms:modified>
</cp:coreProperties>
</file>