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La empresa de juegos de azar </w:t>
      </w:r>
      <w:proofErr w:type="spellStart"/>
      <w:r>
        <w:rPr>
          <w:rFonts w:ascii="Helvetica" w:hAnsi="Helvetica" w:cs="Helvetica"/>
          <w:sz w:val="20"/>
          <w:szCs w:val="20"/>
        </w:rPr>
        <w:t>Lottery</w:t>
      </w:r>
      <w:proofErr w:type="spellEnd"/>
      <w:r>
        <w:rPr>
          <w:rFonts w:ascii="Helvetica" w:hAnsi="Helvetica" w:cs="Helvetica"/>
          <w:sz w:val="20"/>
          <w:szCs w:val="20"/>
        </w:rPr>
        <w:t xml:space="preserve"> – subsidiaria creada por ley para el financiamiento de una corporación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educacional sin fines de lucro - lo ha contratado a usted como Consultor Informático para evaluar y,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eventualmente, ejecutar el proyecto “Migración a protocolo TCP/IP” que t</w:t>
      </w:r>
      <w:r>
        <w:rPr>
          <w:rFonts w:ascii="Helvetica" w:hAnsi="Helvetica" w:cs="Helvetica"/>
          <w:sz w:val="20"/>
          <w:szCs w:val="20"/>
        </w:rPr>
        <w:t xml:space="preserve">iene como objetivo de negocio el </w:t>
      </w:r>
      <w:r>
        <w:rPr>
          <w:rFonts w:ascii="Helvetica" w:hAnsi="Helvetica" w:cs="Helvetica"/>
          <w:sz w:val="20"/>
          <w:szCs w:val="20"/>
        </w:rPr>
        <w:t>soportar nuevas variantes de juego y acelerar significativamente la atención de público, aumentando las ventas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 apuestas, que actualmente alcanzan a $51.000 millones anuales, en un 20% en los próximos cinco años.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Debe entenderse que las ventas de apuestas (brutas) no están afectas a IVA, pero la ley 18.110 (art. 2)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determina que hay un impuesto único de beneficio fiscal del 15% sobre ellas. Por otra parte, la ley 18.568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determina que, sobre el 85% restante, un 60% debe integrarse al fondo para premios a repartir y un 5% debe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entregarse a diversas instituciones según la distribución que dicho cuerpo legal establece. Las comisiones que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 pagan a las agencias (2%) se descuentan de los premios pagados, por lo tanto no disminuyen el ingreso de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Lottery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Helvetica" w:hAnsi="Helvetica" w:cs="Helvetica"/>
          <w:sz w:val="20"/>
          <w:szCs w:val="20"/>
        </w:rPr>
        <w:t>La idea de la migración a este protocolo venía dando vueltas en la gerencia de la empresa hace ya un tiempo,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dado que se observaba que, en la red de agencias vendedoras de los boletos de lotería, los terminales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demoraban en promedio 8 segundos en lograr una transacción y en horas punta de venta (un par de horas antes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 los sorteos con premios acumulados) se demoraban hasta 15 segundos, lo que comparado con la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competencia, era muy alto y, junto a la rigidez de los </w:t>
      </w:r>
      <w:r>
        <w:rPr>
          <w:rFonts w:ascii="Helvetica" w:hAnsi="Helvetica" w:cs="Helvetica"/>
          <w:sz w:val="20"/>
          <w:szCs w:val="20"/>
        </w:rPr>
        <w:t>t</w:t>
      </w:r>
      <w:r>
        <w:rPr>
          <w:rFonts w:ascii="Helvetica" w:hAnsi="Helvetica" w:cs="Helvetica"/>
          <w:sz w:val="20"/>
          <w:szCs w:val="20"/>
        </w:rPr>
        <w:t>erminales, tuvo como consecuencia la pérdida de parte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del mercado, pasando de 51% a 28% en los últimos 10 años.</w:t>
      </w:r>
      <w:r w:rsidRPr="007C1071">
        <w:t xml:space="preserve"> </w:t>
      </w:r>
    </w:p>
    <w:p w:rsidR="007C490F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7C1071">
        <w:rPr>
          <w:rFonts w:ascii="Helvetica" w:hAnsi="Helvetica" w:cs="Helvetica"/>
          <w:sz w:val="20"/>
          <w:szCs w:val="20"/>
        </w:rPr>
        <w:t>Luego de llevar a cabo un análisis técnico de la situación, el equipo de telecomunicaciones interno de la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C1071">
        <w:rPr>
          <w:rFonts w:ascii="Helvetica" w:hAnsi="Helvetica" w:cs="Helvetica"/>
          <w:sz w:val="20"/>
          <w:szCs w:val="20"/>
        </w:rPr>
        <w:t>compañía entendió que el gran cuello de botella en las comunicaciones era el protocolo propietario que era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C1071">
        <w:rPr>
          <w:rFonts w:ascii="Helvetica" w:hAnsi="Helvetica" w:cs="Helvetica"/>
          <w:sz w:val="20"/>
          <w:szCs w:val="20"/>
        </w:rPr>
        <w:t>utilizado hasta ahora que, por lo demás, hacía incurrir a la empresa en un gran costo de licencias – US$ 45.000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C1071">
        <w:rPr>
          <w:rFonts w:ascii="Helvetica" w:hAnsi="Helvetica" w:cs="Helvetica"/>
          <w:sz w:val="20"/>
          <w:szCs w:val="20"/>
        </w:rPr>
        <w:t>por año - por el uso de dicho protocolo. La figura 1 muestra los terminales utilizados por las agencias de venta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C1071">
        <w:rPr>
          <w:rFonts w:ascii="Helvetica" w:hAnsi="Helvetica" w:cs="Helvetica"/>
          <w:sz w:val="20"/>
          <w:szCs w:val="20"/>
        </w:rPr>
        <w:t>de boletos antes de la migración.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</w:pPr>
      <w:r w:rsidRPr="007C1071">
        <w:rPr>
          <w:noProof/>
          <w:lang w:eastAsia="es-CL"/>
        </w:rPr>
        <w:drawing>
          <wp:inline distT="0" distB="0" distL="0" distR="0">
            <wp:extent cx="5612130" cy="2646406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Así, se sugiere ejecutar un proyecto cuyo objetivo sea migrar al protocolo TCP/IP. Las razones de por qué el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nuevo protocolo debía ser TCP/IP, que argumentó la gerencia de informática, fueron las siguientes: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Estandarización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No pago de licencias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Incremento en la eficiencia en el uso de recursos (enlaces de red) y por lo tanto mejora en tiempos de</w:t>
      </w:r>
      <w:r>
        <w:rPr>
          <w:rFonts w:ascii="Helvetica" w:hAnsi="Helvetica" w:cs="Helvetica"/>
          <w:sz w:val="20"/>
          <w:szCs w:val="20"/>
        </w:rPr>
        <w:t xml:space="preserve"> T</w:t>
      </w:r>
      <w:r>
        <w:rPr>
          <w:rFonts w:ascii="Helvetica" w:hAnsi="Helvetica" w:cs="Helvetica"/>
          <w:sz w:val="20"/>
          <w:szCs w:val="20"/>
        </w:rPr>
        <w:t>ransferencia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Para el cumplimiento del objetivo, aprovechando la instancia de la migración del protocolo de comunicaciones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 pensando en la escalabilidad del negocio, el proyecto debe contemplar tamb</w:t>
      </w:r>
      <w:r>
        <w:rPr>
          <w:rFonts w:ascii="Helvetica" w:hAnsi="Helvetica" w:cs="Helvetica"/>
          <w:sz w:val="20"/>
          <w:szCs w:val="20"/>
        </w:rPr>
        <w:t xml:space="preserve">ién el recambio de gran parte de </w:t>
      </w:r>
      <w:r>
        <w:rPr>
          <w:rFonts w:ascii="Helvetica" w:hAnsi="Helvetica" w:cs="Helvetica"/>
          <w:sz w:val="20"/>
          <w:szCs w:val="20"/>
        </w:rPr>
        <w:t xml:space="preserve">la infraestructura tecnológica que soporta los procesos de negocio </w:t>
      </w:r>
      <w:r>
        <w:rPr>
          <w:rFonts w:ascii="Helvetica" w:hAnsi="Helvetica" w:cs="Helvetica"/>
          <w:sz w:val="20"/>
          <w:szCs w:val="20"/>
        </w:rPr>
        <w:lastRenderedPageBreak/>
        <w:t>asociados a la venta de boletos. Dado que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el sistema no se puede migrar a una nube, por lo crítico del negocio, la empresa está obligada a tener toda la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provisión in </w:t>
      </w:r>
      <w:proofErr w:type="spellStart"/>
      <w:r>
        <w:rPr>
          <w:rFonts w:ascii="Helvetica" w:hAnsi="Helvetica" w:cs="Helvetica"/>
          <w:sz w:val="20"/>
          <w:szCs w:val="20"/>
        </w:rPr>
        <w:t>house</w:t>
      </w:r>
      <w:proofErr w:type="spellEnd"/>
      <w:r>
        <w:rPr>
          <w:rFonts w:ascii="Helvetica" w:hAnsi="Helvetica" w:cs="Helvetica"/>
          <w:sz w:val="20"/>
          <w:szCs w:val="20"/>
        </w:rPr>
        <w:t>. Concretamente esto significa: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Cambio de servidores de aplicaciones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Remoción del equipamiento propietario de comunicaciones y reemplazo por equipos estandarizados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(</w:t>
      </w:r>
      <w:proofErr w:type="spellStart"/>
      <w:r>
        <w:rPr>
          <w:rFonts w:ascii="Helvetica" w:hAnsi="Helvetica" w:cs="Helvetica"/>
          <w:sz w:val="20"/>
          <w:szCs w:val="20"/>
        </w:rPr>
        <w:t>routers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switches</w:t>
      </w:r>
      <w:proofErr w:type="spellEnd"/>
      <w:r>
        <w:rPr>
          <w:rFonts w:ascii="Helvetica" w:hAnsi="Helvetica" w:cs="Helvetica"/>
          <w:sz w:val="20"/>
          <w:szCs w:val="20"/>
        </w:rPr>
        <w:t>, entre otros.)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Reemplazo gradual de los terminales en las agencias (hay 1500 agencias a los largo del país) pasando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 un terminal propietario a un terminal PC (computador estilo torre horizontal con pantalla LED táctil)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 conexión a impresora térmica. La figura 2 muestra los terminales que tendrán las agencias de venta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 boletos después de la migración.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Técnicamente y económicamente (</w:t>
      </w:r>
      <w:proofErr w:type="gramStart"/>
      <w:r>
        <w:rPr>
          <w:rFonts w:ascii="Helvetica" w:hAnsi="Helvetica" w:cs="Helvetica"/>
          <w:sz w:val="20"/>
          <w:szCs w:val="20"/>
        </w:rPr>
        <w:t>IVA</w:t>
      </w:r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incluído</w:t>
      </w:r>
      <w:proofErr w:type="spellEnd"/>
      <w:r>
        <w:rPr>
          <w:rFonts w:ascii="Helvetica" w:hAnsi="Helvetica" w:cs="Helvetica"/>
          <w:sz w:val="20"/>
          <w:szCs w:val="20"/>
        </w:rPr>
        <w:t>) hablando, se requeriría del siguiente equipamiento nuevo: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Centro de Datos, con una inversión de $65.800.000: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- 6 servidores de aplicación con sus correspondientes réplicas idénticas para alojar a las aplicaciones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ADM y GAME, con tecnología FT con arreglos de discos </w:t>
      </w:r>
      <w:proofErr w:type="spellStart"/>
      <w:r>
        <w:rPr>
          <w:rFonts w:ascii="Helvetica" w:hAnsi="Helvetica" w:cs="Helvetica"/>
          <w:sz w:val="20"/>
          <w:szCs w:val="20"/>
        </w:rPr>
        <w:t>hot-plug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- 2 UPS en línea para los servidores con capacidad de 4KVA y autonomía de 2 horas (incluye banco de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baterías). Se considera que el grupo electrógeno de </w:t>
      </w:r>
      <w:proofErr w:type="spellStart"/>
      <w:r>
        <w:rPr>
          <w:rFonts w:ascii="Helvetica" w:hAnsi="Helvetica" w:cs="Helvetica"/>
          <w:sz w:val="20"/>
          <w:szCs w:val="20"/>
        </w:rPr>
        <w:t>backup</w:t>
      </w:r>
      <w:proofErr w:type="spellEnd"/>
      <w:r>
        <w:rPr>
          <w:rFonts w:ascii="Helvetica" w:hAnsi="Helvetica" w:cs="Helvetica"/>
          <w:sz w:val="20"/>
          <w:szCs w:val="20"/>
        </w:rPr>
        <w:t xml:space="preserve"> tarda 5 minutos en iniciarse pero puede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fallar.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Dos balanceadores de carga redundantes para distribuir las solicitudes entre los servidores (1 para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reposición inmediata)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- 4 </w:t>
      </w:r>
      <w:proofErr w:type="spellStart"/>
      <w:r>
        <w:rPr>
          <w:rFonts w:ascii="Helvetica" w:hAnsi="Helvetica" w:cs="Helvetica"/>
          <w:sz w:val="20"/>
          <w:szCs w:val="20"/>
        </w:rPr>
        <w:t>Switches</w:t>
      </w:r>
      <w:proofErr w:type="spellEnd"/>
      <w:r>
        <w:rPr>
          <w:rFonts w:ascii="Helvetica" w:hAnsi="Helvetica" w:cs="Helvetica"/>
          <w:sz w:val="20"/>
          <w:szCs w:val="20"/>
        </w:rPr>
        <w:t xml:space="preserve"> 8 bocas 1Gbps (2 para reposición inmediata) con 2 puertos en Fibra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- 4 </w:t>
      </w:r>
      <w:proofErr w:type="spellStart"/>
      <w:r>
        <w:rPr>
          <w:rFonts w:ascii="Helvetica" w:hAnsi="Helvetica" w:cs="Helvetica"/>
          <w:sz w:val="20"/>
          <w:szCs w:val="20"/>
        </w:rPr>
        <w:t>Routers</w:t>
      </w:r>
      <w:proofErr w:type="spellEnd"/>
      <w:r>
        <w:rPr>
          <w:rFonts w:ascii="Helvetica" w:hAnsi="Helvetica" w:cs="Helvetica"/>
          <w:sz w:val="20"/>
          <w:szCs w:val="20"/>
        </w:rPr>
        <w:t xml:space="preserve"> (2 para reposición inmediata) con 4 puertos en Fibra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Servicios de instalación y configuración.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Además, es importante mencionar que el plan de migración contempla que los antiguos terminales sean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compatibles con las nuevas aplicaciones pues es imposible pensar en que todas las agencias puedan tener el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nuevo hardware al mismo tiempo. Por lo anterior se le comprará a la empresa estadounidense LAPIS Software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(especialista en desarrollo de software para loterías del mundo) un módulo autoinstalable en los terminales que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actualiza el software del mismo para que pueda funcionar con el nuevo protocolo. Este software le costaría a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Lottery</w:t>
      </w:r>
      <w:proofErr w:type="spellEnd"/>
      <w:r>
        <w:rPr>
          <w:rFonts w:ascii="Helvetica" w:hAnsi="Helvetica" w:cs="Helvetica"/>
          <w:sz w:val="20"/>
          <w:szCs w:val="20"/>
        </w:rPr>
        <w:t xml:space="preserve"> US$ 60.000.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Como costo de operación adicional se considera un contrato con 2 </w:t>
      </w:r>
      <w:proofErr w:type="spellStart"/>
      <w:r>
        <w:rPr>
          <w:rFonts w:ascii="Helvetica" w:hAnsi="Helvetica" w:cs="Helvetica"/>
          <w:sz w:val="20"/>
          <w:szCs w:val="20"/>
        </w:rPr>
        <w:t>ISPs</w:t>
      </w:r>
      <w:proofErr w:type="spellEnd"/>
      <w:r>
        <w:rPr>
          <w:rFonts w:ascii="Helvetica" w:hAnsi="Helvetica" w:cs="Helvetica"/>
          <w:sz w:val="20"/>
          <w:szCs w:val="20"/>
        </w:rPr>
        <w:t xml:space="preserve"> distintos con un </w:t>
      </w:r>
      <w:proofErr w:type="spellStart"/>
      <w:r>
        <w:rPr>
          <w:rFonts w:ascii="Helvetica" w:hAnsi="Helvetica" w:cs="Helvetica"/>
          <w:sz w:val="20"/>
          <w:szCs w:val="20"/>
        </w:rPr>
        <w:t>Service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Level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Agreement</w:t>
      </w:r>
      <w:proofErr w:type="spellEnd"/>
      <w:r>
        <w:rPr>
          <w:rFonts w:ascii="Helvetica" w:hAnsi="Helvetica" w:cs="Helvetica"/>
          <w:sz w:val="20"/>
          <w:szCs w:val="20"/>
        </w:rPr>
        <w:t xml:space="preserve"> de 99,99% de tiempo de disponibilidad, de 2Gbps cada uno, con un valor total anual de $35.000.000.- Los costos de mantención y operación de servidores y software, así como la mantención y soporte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 terminales en agencias, se estiman como equivalentes a los actuales.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 espera una recuperación por venta de los equipos actuales del Centro de Datos de $ 7.500.000.-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- </w:t>
      </w:r>
      <w:r>
        <w:rPr>
          <w:rFonts w:ascii="Helvetica" w:hAnsi="Helvetica" w:cs="Helvetica"/>
          <w:sz w:val="20"/>
          <w:szCs w:val="20"/>
        </w:rPr>
        <w:t>1500 terminales nuevos con sus impresoras térmicas (se adquieren a medida que se necesitan, en un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período de dos años), con un costo de US$1.250.- cada uno, puestos en oficinas de </w:t>
      </w:r>
      <w:proofErr w:type="spellStart"/>
      <w:r>
        <w:rPr>
          <w:rFonts w:ascii="Helvetica" w:hAnsi="Helvetica" w:cs="Helvetica"/>
          <w:sz w:val="20"/>
          <w:szCs w:val="20"/>
        </w:rPr>
        <w:t>Lottery</w:t>
      </w:r>
      <w:proofErr w:type="spellEnd"/>
      <w:r>
        <w:rPr>
          <w:rFonts w:ascii="Helvetica" w:hAnsi="Helvetica" w:cs="Helvetica"/>
          <w:sz w:val="20"/>
          <w:szCs w:val="20"/>
        </w:rPr>
        <w:t>, por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importación directa.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Costo de instalación e instrucción en agencias, promedio $485.000.- por agencia, incluyendo mano de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obra, materiales, instructivos impresos, traslado de los equipos y los técnicos.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 No se contempla un valor de recuperación de los equipos que se retiran de las agencias, por ser antiguos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 de uso exclusivo de apuestas.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En los puntos de venta, los terminales son facilitados sin costo por </w:t>
      </w:r>
      <w:proofErr w:type="spellStart"/>
      <w:r>
        <w:rPr>
          <w:rFonts w:ascii="Helvetica" w:hAnsi="Helvetica" w:cs="Helvetica"/>
          <w:sz w:val="20"/>
          <w:szCs w:val="20"/>
        </w:rPr>
        <w:t>Lottery</w:t>
      </w:r>
      <w:proofErr w:type="spellEnd"/>
      <w:r>
        <w:rPr>
          <w:rFonts w:ascii="Helvetica" w:hAnsi="Helvetica" w:cs="Helvetica"/>
          <w:sz w:val="20"/>
          <w:szCs w:val="20"/>
        </w:rPr>
        <w:t xml:space="preserve">, en forma de comodato, </w:t>
      </w:r>
      <w:r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>in embargo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los contratos de comunicaciones, si bien son regulados por </w:t>
      </w:r>
      <w:proofErr w:type="spellStart"/>
      <w:r>
        <w:rPr>
          <w:rFonts w:ascii="Helvetica" w:hAnsi="Helvetica" w:cs="Helvetica"/>
          <w:sz w:val="20"/>
          <w:szCs w:val="20"/>
        </w:rPr>
        <w:t>Lottery</w:t>
      </w:r>
      <w:proofErr w:type="spellEnd"/>
      <w:r>
        <w:rPr>
          <w:rFonts w:ascii="Helvetica" w:hAnsi="Helvetica" w:cs="Helvetica"/>
          <w:sz w:val="20"/>
          <w:szCs w:val="20"/>
        </w:rPr>
        <w:t>, corresponden a gastos cancelados por cada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agencia.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En cuanto al software, la gerencia le ha indicado que las bases de datos </w:t>
      </w:r>
      <w:proofErr w:type="spellStart"/>
      <w:r>
        <w:rPr>
          <w:rFonts w:ascii="Helvetica" w:hAnsi="Helvetica" w:cs="Helvetica"/>
          <w:sz w:val="20"/>
          <w:szCs w:val="20"/>
        </w:rPr>
        <w:t>legacy</w:t>
      </w:r>
      <w:proofErr w:type="spellEnd"/>
      <w:r>
        <w:rPr>
          <w:rFonts w:ascii="Helvetica" w:hAnsi="Helvetica" w:cs="Helvetica"/>
          <w:sz w:val="20"/>
          <w:szCs w:val="20"/>
        </w:rPr>
        <w:t xml:space="preserve"> se mantendrán así como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también las aplicaciones que ejecutan el sorteo y calculan premios y ganadores. Sin embargo, </w:t>
      </w:r>
      <w:r>
        <w:rPr>
          <w:rFonts w:ascii="Helvetica" w:hAnsi="Helvetica" w:cs="Helvetica"/>
          <w:sz w:val="20"/>
          <w:szCs w:val="20"/>
        </w:rPr>
        <w:lastRenderedPageBreak/>
        <w:t>para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compatibilizar estas aplicaciones con los nuevos terminales le indican que se deberían construir 3 piezas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nuevas de software: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</w:rPr>
        <w:t xml:space="preserve">A. </w:t>
      </w:r>
      <w:r>
        <w:rPr>
          <w:rFonts w:ascii="Helvetica" w:hAnsi="Helvetica" w:cs="Helvetica"/>
          <w:sz w:val="20"/>
          <w:szCs w:val="20"/>
        </w:rPr>
        <w:t>Módulo GAME: Es la aplicación que recibe las apuestas provenientes de los terminales y las almacena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en la base de datos. Debe considerar que la empresa </w:t>
      </w:r>
      <w:proofErr w:type="spellStart"/>
      <w:r>
        <w:rPr>
          <w:rFonts w:ascii="Helvetica" w:hAnsi="Helvetica" w:cs="Helvetica"/>
          <w:sz w:val="20"/>
          <w:szCs w:val="20"/>
        </w:rPr>
        <w:t>Lottery</w:t>
      </w:r>
      <w:proofErr w:type="spellEnd"/>
      <w:r>
        <w:rPr>
          <w:rFonts w:ascii="Helvetica" w:hAnsi="Helvetica" w:cs="Helvetica"/>
          <w:sz w:val="20"/>
          <w:szCs w:val="20"/>
        </w:rPr>
        <w:t xml:space="preserve"> tiene varios tipos de juegos y cada uno de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ellos tiene sorteos con periodicidad distinta: así por ejemplo el juego tipo A se sortea los Lunes, Miércoles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 Viernes a las 21:00, el juego tipo B se sortea solo los Domingos a las 19:00, mientras que el juego tipo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 se sortea de Lunes a Viernes a las 17:00. El sistema debe permitir agregar, editar y eliminar tipos de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juego, agregar sorteos, recibir apuestas desde los terminales de las agencias, decodificar cada apuesta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 luego almacenarla en la base de datos. También puede recibir desde los terminales peticiones de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revisar premio de una apuesta en cuyo caso debe responder con los premios asociados a dicha apuesta.</w:t>
      </w: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C1071" w:rsidRDefault="007C1071" w:rsidP="007C107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7C1071" w:rsidRDefault="007C1071" w:rsidP="00FA6A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Cada apuesta sale del terminal como un arreglo de bytes en donde cada uno representa lo</w:t>
      </w:r>
      <w:r w:rsidR="00FA6A50">
        <w:rPr>
          <w:rFonts w:ascii="Helvetica" w:hAnsi="Helvetica" w:cs="Helvetica"/>
          <w:sz w:val="20"/>
          <w:szCs w:val="20"/>
        </w:rPr>
        <w:t xml:space="preserve"> </w:t>
      </w:r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t>siguiente:</w:t>
      </w:r>
    </w:p>
    <w:p w:rsidR="00122A97" w:rsidRDefault="00122A97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122A97" w:rsidRDefault="00122A97" w:rsidP="007C10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122A97">
        <w:rPr>
          <w:rFonts w:ascii="Helvetica" w:hAnsi="Helvetica" w:cs="Helvetica"/>
          <w:noProof/>
          <w:sz w:val="20"/>
          <w:szCs w:val="20"/>
          <w:lang w:eastAsia="es-CL"/>
        </w:rPr>
        <w:drawing>
          <wp:inline distT="0" distB="0" distL="0" distR="0">
            <wp:extent cx="5612130" cy="12412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4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97" w:rsidRDefault="00122A97" w:rsidP="007C10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</w:p>
    <w:p w:rsidR="007C1071" w:rsidRDefault="007C1071" w:rsidP="00122A9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</w:rPr>
        <w:t xml:space="preserve">B. </w:t>
      </w:r>
      <w:r>
        <w:rPr>
          <w:rFonts w:ascii="Helvetica" w:hAnsi="Helvetica" w:cs="Helvetica"/>
          <w:sz w:val="20"/>
          <w:szCs w:val="20"/>
        </w:rPr>
        <w:t>Módulo ADM: Es el módulo administrador encargado de monitorear el estado del resto de los</w:t>
      </w:r>
      <w:r w:rsidR="00122A9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componentes constantemente y tomar acción en caso de ser necesario (por ejemplo si se da cuenta</w:t>
      </w:r>
      <w:r w:rsidR="00122A9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de que el módulo GAME está caído, debe levantarlo).</w:t>
      </w:r>
    </w:p>
    <w:p w:rsidR="004A4D34" w:rsidRDefault="004A4D34" w:rsidP="00122A97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4A4D34" w:rsidRDefault="004A4D34" w:rsidP="004A4D3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</w:rPr>
        <w:t>C.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Módulo terminales: aplicación alojada en los terminales de cada una de las 1500 agencias y cuya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misión es capturar las apuestas ya sea vía lector de código de barras o terminal </w:t>
      </w:r>
      <w:proofErr w:type="spellStart"/>
      <w:r>
        <w:rPr>
          <w:rFonts w:ascii="Helvetica" w:hAnsi="Helvetica" w:cs="Helvetica"/>
          <w:sz w:val="20"/>
          <w:szCs w:val="20"/>
        </w:rPr>
        <w:t>touch</w:t>
      </w:r>
      <w:proofErr w:type="spellEnd"/>
      <w:r>
        <w:rPr>
          <w:rFonts w:ascii="Helvetica" w:hAnsi="Helvetica" w:cs="Helvetica"/>
          <w:sz w:val="20"/>
          <w:szCs w:val="20"/>
        </w:rPr>
        <w:t xml:space="preserve"> y enviarlas 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la aplicación GAME. También debe imprimir y desplegar en pantalla cuando sea necesario por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ejemplo mostrar los premios asociados a una apuesta. Este es el módulo que se le comprará a la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empresa estadounidense LAPIS Software.</w:t>
      </w:r>
    </w:p>
    <w:sectPr w:rsidR="004A4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26"/>
    <w:rsid w:val="00002FC1"/>
    <w:rsid w:val="00004D46"/>
    <w:rsid w:val="000215C2"/>
    <w:rsid w:val="00023EC3"/>
    <w:rsid w:val="0005239E"/>
    <w:rsid w:val="00056646"/>
    <w:rsid w:val="00064CAA"/>
    <w:rsid w:val="0006604F"/>
    <w:rsid w:val="00070FBE"/>
    <w:rsid w:val="000803C0"/>
    <w:rsid w:val="000A09E9"/>
    <w:rsid w:val="000A6A48"/>
    <w:rsid w:val="000A7F38"/>
    <w:rsid w:val="000B321E"/>
    <w:rsid w:val="000D4B07"/>
    <w:rsid w:val="000D5F42"/>
    <w:rsid w:val="000D71FD"/>
    <w:rsid w:val="000E1DA4"/>
    <w:rsid w:val="000F0BDA"/>
    <w:rsid w:val="000F2111"/>
    <w:rsid w:val="000F3D64"/>
    <w:rsid w:val="000F5CDE"/>
    <w:rsid w:val="001000B7"/>
    <w:rsid w:val="0010145F"/>
    <w:rsid w:val="00110518"/>
    <w:rsid w:val="00122A97"/>
    <w:rsid w:val="001244D7"/>
    <w:rsid w:val="0012660B"/>
    <w:rsid w:val="00135136"/>
    <w:rsid w:val="001441C7"/>
    <w:rsid w:val="0014457E"/>
    <w:rsid w:val="00145967"/>
    <w:rsid w:val="0014766C"/>
    <w:rsid w:val="00151E33"/>
    <w:rsid w:val="00162DBF"/>
    <w:rsid w:val="00165A0C"/>
    <w:rsid w:val="00167A66"/>
    <w:rsid w:val="0017126A"/>
    <w:rsid w:val="00181350"/>
    <w:rsid w:val="00186411"/>
    <w:rsid w:val="001A04C1"/>
    <w:rsid w:val="001A1FD8"/>
    <w:rsid w:val="001A5C3B"/>
    <w:rsid w:val="001A6D25"/>
    <w:rsid w:val="001B09C5"/>
    <w:rsid w:val="001B363F"/>
    <w:rsid w:val="001B6036"/>
    <w:rsid w:val="001B6744"/>
    <w:rsid w:val="001D75F3"/>
    <w:rsid w:val="001E286B"/>
    <w:rsid w:val="001E57BA"/>
    <w:rsid w:val="001F526F"/>
    <w:rsid w:val="001F783F"/>
    <w:rsid w:val="00211208"/>
    <w:rsid w:val="00211B5F"/>
    <w:rsid w:val="002123D5"/>
    <w:rsid w:val="00233C2E"/>
    <w:rsid w:val="00241410"/>
    <w:rsid w:val="00244426"/>
    <w:rsid w:val="00266E62"/>
    <w:rsid w:val="00270BCC"/>
    <w:rsid w:val="00270DC5"/>
    <w:rsid w:val="00284AF6"/>
    <w:rsid w:val="00292769"/>
    <w:rsid w:val="00294FF8"/>
    <w:rsid w:val="00295B36"/>
    <w:rsid w:val="002A07C2"/>
    <w:rsid w:val="002A2D2E"/>
    <w:rsid w:val="002A341B"/>
    <w:rsid w:val="002A7F2B"/>
    <w:rsid w:val="002B4BDE"/>
    <w:rsid w:val="002B5E6F"/>
    <w:rsid w:val="002D0EC7"/>
    <w:rsid w:val="002F1FC3"/>
    <w:rsid w:val="002F6FFE"/>
    <w:rsid w:val="00304AE4"/>
    <w:rsid w:val="00307A35"/>
    <w:rsid w:val="00314B67"/>
    <w:rsid w:val="00320F37"/>
    <w:rsid w:val="00324A9B"/>
    <w:rsid w:val="00331D3E"/>
    <w:rsid w:val="00346A4B"/>
    <w:rsid w:val="00353E3E"/>
    <w:rsid w:val="0036025F"/>
    <w:rsid w:val="00362AE6"/>
    <w:rsid w:val="003641B1"/>
    <w:rsid w:val="00370411"/>
    <w:rsid w:val="00372687"/>
    <w:rsid w:val="00373B10"/>
    <w:rsid w:val="00382CAA"/>
    <w:rsid w:val="003839AC"/>
    <w:rsid w:val="003845A3"/>
    <w:rsid w:val="00390693"/>
    <w:rsid w:val="0039201C"/>
    <w:rsid w:val="003A1E53"/>
    <w:rsid w:val="003B5774"/>
    <w:rsid w:val="003C0D26"/>
    <w:rsid w:val="003C1C66"/>
    <w:rsid w:val="003C6578"/>
    <w:rsid w:val="003D0191"/>
    <w:rsid w:val="003D67C5"/>
    <w:rsid w:val="003E52C0"/>
    <w:rsid w:val="003F671A"/>
    <w:rsid w:val="0040147F"/>
    <w:rsid w:val="00404AB1"/>
    <w:rsid w:val="0040703F"/>
    <w:rsid w:val="00427415"/>
    <w:rsid w:val="00430A4B"/>
    <w:rsid w:val="00441B7C"/>
    <w:rsid w:val="004560F6"/>
    <w:rsid w:val="00462AEA"/>
    <w:rsid w:val="004A4D34"/>
    <w:rsid w:val="004A5C26"/>
    <w:rsid w:val="004B0C20"/>
    <w:rsid w:val="004B5AC4"/>
    <w:rsid w:val="004C5E0A"/>
    <w:rsid w:val="004E2833"/>
    <w:rsid w:val="004F653B"/>
    <w:rsid w:val="004F757B"/>
    <w:rsid w:val="00504030"/>
    <w:rsid w:val="00504EA7"/>
    <w:rsid w:val="00505778"/>
    <w:rsid w:val="00510CB7"/>
    <w:rsid w:val="005118B9"/>
    <w:rsid w:val="00511FAF"/>
    <w:rsid w:val="00520686"/>
    <w:rsid w:val="00521682"/>
    <w:rsid w:val="00543C25"/>
    <w:rsid w:val="00546EE8"/>
    <w:rsid w:val="0055190F"/>
    <w:rsid w:val="00554FE5"/>
    <w:rsid w:val="00555006"/>
    <w:rsid w:val="00560A13"/>
    <w:rsid w:val="00567FF1"/>
    <w:rsid w:val="00590D76"/>
    <w:rsid w:val="00591672"/>
    <w:rsid w:val="005930D4"/>
    <w:rsid w:val="0059675C"/>
    <w:rsid w:val="005A361F"/>
    <w:rsid w:val="005A3BE7"/>
    <w:rsid w:val="005A6F6F"/>
    <w:rsid w:val="005A7A89"/>
    <w:rsid w:val="005B2E27"/>
    <w:rsid w:val="005B5204"/>
    <w:rsid w:val="005B5C64"/>
    <w:rsid w:val="005B7CEF"/>
    <w:rsid w:val="005C2CB8"/>
    <w:rsid w:val="005D12C0"/>
    <w:rsid w:val="005D2FB1"/>
    <w:rsid w:val="005D6903"/>
    <w:rsid w:val="005F0877"/>
    <w:rsid w:val="005F248A"/>
    <w:rsid w:val="005F556B"/>
    <w:rsid w:val="00605F9F"/>
    <w:rsid w:val="0061041D"/>
    <w:rsid w:val="00612956"/>
    <w:rsid w:val="00612AC9"/>
    <w:rsid w:val="00616BCD"/>
    <w:rsid w:val="006204A7"/>
    <w:rsid w:val="00624C6F"/>
    <w:rsid w:val="006273A7"/>
    <w:rsid w:val="006332C5"/>
    <w:rsid w:val="006423E3"/>
    <w:rsid w:val="0064257A"/>
    <w:rsid w:val="006565F3"/>
    <w:rsid w:val="00657C78"/>
    <w:rsid w:val="006646D0"/>
    <w:rsid w:val="00677733"/>
    <w:rsid w:val="0068043D"/>
    <w:rsid w:val="006817F7"/>
    <w:rsid w:val="00693FAD"/>
    <w:rsid w:val="006A4A2F"/>
    <w:rsid w:val="006A7BA1"/>
    <w:rsid w:val="006B1942"/>
    <w:rsid w:val="006B7606"/>
    <w:rsid w:val="006C55EC"/>
    <w:rsid w:val="006C72EE"/>
    <w:rsid w:val="006D015D"/>
    <w:rsid w:val="006D0DC6"/>
    <w:rsid w:val="006D2D0C"/>
    <w:rsid w:val="006E1B1E"/>
    <w:rsid w:val="006E4540"/>
    <w:rsid w:val="006E545D"/>
    <w:rsid w:val="0070638A"/>
    <w:rsid w:val="0071033C"/>
    <w:rsid w:val="007349E2"/>
    <w:rsid w:val="0074056F"/>
    <w:rsid w:val="00770DCB"/>
    <w:rsid w:val="007739D4"/>
    <w:rsid w:val="007747EF"/>
    <w:rsid w:val="0078251F"/>
    <w:rsid w:val="0079747D"/>
    <w:rsid w:val="007A09FF"/>
    <w:rsid w:val="007A50E1"/>
    <w:rsid w:val="007A7501"/>
    <w:rsid w:val="007A7C30"/>
    <w:rsid w:val="007B4AC0"/>
    <w:rsid w:val="007C1071"/>
    <w:rsid w:val="007C490F"/>
    <w:rsid w:val="007D4B10"/>
    <w:rsid w:val="008077B8"/>
    <w:rsid w:val="0082067C"/>
    <w:rsid w:val="008310A4"/>
    <w:rsid w:val="008379CE"/>
    <w:rsid w:val="0084042F"/>
    <w:rsid w:val="00856DAF"/>
    <w:rsid w:val="00860A0B"/>
    <w:rsid w:val="00867680"/>
    <w:rsid w:val="0089164E"/>
    <w:rsid w:val="00892CB1"/>
    <w:rsid w:val="008A50D5"/>
    <w:rsid w:val="008B010E"/>
    <w:rsid w:val="008D2F0A"/>
    <w:rsid w:val="008E7995"/>
    <w:rsid w:val="008F05BB"/>
    <w:rsid w:val="008F0F0F"/>
    <w:rsid w:val="008F2BFE"/>
    <w:rsid w:val="008F60ED"/>
    <w:rsid w:val="00904841"/>
    <w:rsid w:val="009107BA"/>
    <w:rsid w:val="00911A5D"/>
    <w:rsid w:val="00923C66"/>
    <w:rsid w:val="00925901"/>
    <w:rsid w:val="00937FE5"/>
    <w:rsid w:val="00941E42"/>
    <w:rsid w:val="0095018F"/>
    <w:rsid w:val="00963806"/>
    <w:rsid w:val="0096610C"/>
    <w:rsid w:val="00972724"/>
    <w:rsid w:val="00973E3B"/>
    <w:rsid w:val="00992AF7"/>
    <w:rsid w:val="00997C72"/>
    <w:rsid w:val="009A0646"/>
    <w:rsid w:val="009A62E8"/>
    <w:rsid w:val="009B407C"/>
    <w:rsid w:val="009C33C9"/>
    <w:rsid w:val="009E0285"/>
    <w:rsid w:val="009E3747"/>
    <w:rsid w:val="009E708A"/>
    <w:rsid w:val="009F1DB9"/>
    <w:rsid w:val="009F3BCB"/>
    <w:rsid w:val="00A07441"/>
    <w:rsid w:val="00A1717D"/>
    <w:rsid w:val="00A255E3"/>
    <w:rsid w:val="00A34474"/>
    <w:rsid w:val="00A365CD"/>
    <w:rsid w:val="00A45379"/>
    <w:rsid w:val="00A46225"/>
    <w:rsid w:val="00A57E67"/>
    <w:rsid w:val="00A60334"/>
    <w:rsid w:val="00A63317"/>
    <w:rsid w:val="00A7047D"/>
    <w:rsid w:val="00A72CBA"/>
    <w:rsid w:val="00A803C3"/>
    <w:rsid w:val="00A96D5B"/>
    <w:rsid w:val="00AB0D46"/>
    <w:rsid w:val="00AC4A55"/>
    <w:rsid w:val="00AD2B2A"/>
    <w:rsid w:val="00AD77E2"/>
    <w:rsid w:val="00AE100F"/>
    <w:rsid w:val="00AE3866"/>
    <w:rsid w:val="00AE75E1"/>
    <w:rsid w:val="00AE7806"/>
    <w:rsid w:val="00AF132D"/>
    <w:rsid w:val="00B00879"/>
    <w:rsid w:val="00B04ED8"/>
    <w:rsid w:val="00B06712"/>
    <w:rsid w:val="00B07545"/>
    <w:rsid w:val="00B208C8"/>
    <w:rsid w:val="00B233F2"/>
    <w:rsid w:val="00B25171"/>
    <w:rsid w:val="00B371FC"/>
    <w:rsid w:val="00B42E8C"/>
    <w:rsid w:val="00B46D2F"/>
    <w:rsid w:val="00B47B20"/>
    <w:rsid w:val="00B52F31"/>
    <w:rsid w:val="00B539F3"/>
    <w:rsid w:val="00B633AD"/>
    <w:rsid w:val="00B634C8"/>
    <w:rsid w:val="00B7085F"/>
    <w:rsid w:val="00B74BC9"/>
    <w:rsid w:val="00B8399C"/>
    <w:rsid w:val="00B97F73"/>
    <w:rsid w:val="00BA0566"/>
    <w:rsid w:val="00BA0917"/>
    <w:rsid w:val="00BB1A7B"/>
    <w:rsid w:val="00BC1652"/>
    <w:rsid w:val="00BC7D9F"/>
    <w:rsid w:val="00BD592D"/>
    <w:rsid w:val="00BE632B"/>
    <w:rsid w:val="00BF0733"/>
    <w:rsid w:val="00BF501C"/>
    <w:rsid w:val="00C01923"/>
    <w:rsid w:val="00C110B2"/>
    <w:rsid w:val="00C24A78"/>
    <w:rsid w:val="00C3475D"/>
    <w:rsid w:val="00C406D7"/>
    <w:rsid w:val="00C41C08"/>
    <w:rsid w:val="00C477CD"/>
    <w:rsid w:val="00C47D57"/>
    <w:rsid w:val="00C55C2A"/>
    <w:rsid w:val="00C70F9B"/>
    <w:rsid w:val="00C71A23"/>
    <w:rsid w:val="00C7385E"/>
    <w:rsid w:val="00C74B8C"/>
    <w:rsid w:val="00C91ED3"/>
    <w:rsid w:val="00CA36C7"/>
    <w:rsid w:val="00CB6525"/>
    <w:rsid w:val="00CC41C3"/>
    <w:rsid w:val="00CC6E5A"/>
    <w:rsid w:val="00CE11E9"/>
    <w:rsid w:val="00CE5136"/>
    <w:rsid w:val="00D004AA"/>
    <w:rsid w:val="00D14CCB"/>
    <w:rsid w:val="00D160D5"/>
    <w:rsid w:val="00D17585"/>
    <w:rsid w:val="00D330A1"/>
    <w:rsid w:val="00D37BCD"/>
    <w:rsid w:val="00D4200C"/>
    <w:rsid w:val="00D534CF"/>
    <w:rsid w:val="00D624A8"/>
    <w:rsid w:val="00D64106"/>
    <w:rsid w:val="00D66D7A"/>
    <w:rsid w:val="00D73680"/>
    <w:rsid w:val="00D8462A"/>
    <w:rsid w:val="00DA3E64"/>
    <w:rsid w:val="00DA6E97"/>
    <w:rsid w:val="00DB59FD"/>
    <w:rsid w:val="00DE3A0C"/>
    <w:rsid w:val="00E069AB"/>
    <w:rsid w:val="00E26D30"/>
    <w:rsid w:val="00E2735B"/>
    <w:rsid w:val="00E31FFC"/>
    <w:rsid w:val="00E34660"/>
    <w:rsid w:val="00E50239"/>
    <w:rsid w:val="00E5188C"/>
    <w:rsid w:val="00E55DDD"/>
    <w:rsid w:val="00E574AD"/>
    <w:rsid w:val="00E65DDE"/>
    <w:rsid w:val="00E65F59"/>
    <w:rsid w:val="00E72E2E"/>
    <w:rsid w:val="00E75E28"/>
    <w:rsid w:val="00E804D3"/>
    <w:rsid w:val="00E80D5A"/>
    <w:rsid w:val="00E87CBE"/>
    <w:rsid w:val="00E91F66"/>
    <w:rsid w:val="00E9771E"/>
    <w:rsid w:val="00EA2C18"/>
    <w:rsid w:val="00EA7143"/>
    <w:rsid w:val="00EB522A"/>
    <w:rsid w:val="00EB68A7"/>
    <w:rsid w:val="00EE5F7D"/>
    <w:rsid w:val="00EF06D7"/>
    <w:rsid w:val="00EF1477"/>
    <w:rsid w:val="00EF1A53"/>
    <w:rsid w:val="00EF7687"/>
    <w:rsid w:val="00F0125C"/>
    <w:rsid w:val="00F04CAD"/>
    <w:rsid w:val="00F06AE5"/>
    <w:rsid w:val="00F15226"/>
    <w:rsid w:val="00F2068E"/>
    <w:rsid w:val="00F210B7"/>
    <w:rsid w:val="00F225DD"/>
    <w:rsid w:val="00F2616E"/>
    <w:rsid w:val="00F320FD"/>
    <w:rsid w:val="00F34C1F"/>
    <w:rsid w:val="00F46ED8"/>
    <w:rsid w:val="00F52098"/>
    <w:rsid w:val="00F54FE4"/>
    <w:rsid w:val="00F72187"/>
    <w:rsid w:val="00F75115"/>
    <w:rsid w:val="00F77A48"/>
    <w:rsid w:val="00F77E19"/>
    <w:rsid w:val="00F85B90"/>
    <w:rsid w:val="00F95041"/>
    <w:rsid w:val="00F97DDE"/>
    <w:rsid w:val="00FA15CB"/>
    <w:rsid w:val="00FA3046"/>
    <w:rsid w:val="00FA4802"/>
    <w:rsid w:val="00FA6A50"/>
    <w:rsid w:val="00FB3A22"/>
    <w:rsid w:val="00FB3A3A"/>
    <w:rsid w:val="00FB4E0C"/>
    <w:rsid w:val="00FB7004"/>
    <w:rsid w:val="00FC6D81"/>
    <w:rsid w:val="00FD03E0"/>
    <w:rsid w:val="00FF293C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644D12-CE81-49AD-ACD6-BDC2BB00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1244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Nieto</dc:creator>
  <cp:keywords/>
  <dc:description/>
  <cp:lastModifiedBy>Andrea Nieto</cp:lastModifiedBy>
  <cp:revision>5</cp:revision>
  <dcterms:created xsi:type="dcterms:W3CDTF">2017-09-03T18:39:00Z</dcterms:created>
  <dcterms:modified xsi:type="dcterms:W3CDTF">2017-09-03T18:46:00Z</dcterms:modified>
</cp:coreProperties>
</file>