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ee60ce4c22a038bd31307ea8c0858c7990e8f6c"/>
    <w:p>
      <w:pPr>
        <w:pStyle w:val="Heading1"/>
      </w:pPr>
      <w:r>
        <w:t xml:space="preserve">APÊNDICE G: Validação Estatística Completa</w:t>
      </w:r>
    </w:p>
    <w:p>
      <w:pPr>
        <w:pStyle w:val="FirstParagraph"/>
      </w:pPr>
      <w:r>
        <w:rPr>
          <w:bCs/>
          <w:b/>
        </w:rPr>
        <w:t xml:space="preserve">Data:</w:t>
      </w:r>
      <w:r>
        <w:t xml:space="preserve"> </w:t>
      </w:r>
      <w:r>
        <w:t xml:space="preserve">02 de janeiro de 2026</w:t>
      </w:r>
      <w:r>
        <w:br/>
      </w:r>
      <w:r>
        <w:rPr>
          <w:bCs/>
          <w:b/>
        </w:rPr>
        <w:t xml:space="preserve">Seção:</w:t>
      </w:r>
      <w:r>
        <w:t xml:space="preserve"> </w:t>
      </w:r>
      <w:r>
        <w:t xml:space="preserve">Apêndice G - Validação Estatística Completa (~1.200 palavras)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Novo conteúdo para expansão Qualis A1</w:t>
      </w:r>
    </w:p>
    <w:p>
      <w:r>
        <w:pict>
          <v:rect style="width:0;height:1.5pt" o:hralign="center" o:hrstd="t" o:hr="t"/>
        </w:pict>
      </w:r>
    </w:p>
    <w:bookmarkStart w:id="23" w:name="g.1-anova-multifatorial-completa"/>
    <w:p>
      <w:pPr>
        <w:pStyle w:val="Heading2"/>
      </w:pPr>
      <w:r>
        <w:t xml:space="preserve">G.1 ANOVA MULTIFATORIAL COMPLETA</w:t>
      </w:r>
    </w:p>
    <w:bookmarkStart w:id="20" w:name="g.1.1-design-experimental"/>
    <w:p>
      <w:pPr>
        <w:pStyle w:val="Heading3"/>
      </w:pPr>
      <w:r>
        <w:t xml:space="preserve">G.1.1 Design Experimental</w:t>
      </w:r>
    </w:p>
    <w:p>
      <w:pPr>
        <w:pStyle w:val="FirstParagraph"/>
      </w:pPr>
      <w:r>
        <w:rPr>
          <w:bCs/>
          <w:b/>
        </w:rPr>
        <w:t xml:space="preserve">Modelo 5-Way ANOVA: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  <m:r>
                <m:t>l</m:t>
              </m:r>
              <m:r>
                <m:t>m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δ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  <m:r>
                <m:t>l</m:t>
              </m:r>
              <m:r>
                <m:t>m</m:t>
              </m:r>
            </m:sub>
          </m:sSub>
        </m:oMath>
      </m:oMathPara>
    </w:p>
    <w:p>
      <w:pPr>
        <w:pStyle w:val="FirstParagraph"/>
      </w:pPr>
      <w:r>
        <w:t xml:space="preserve">onde:</w:t>
      </w:r>
      <w:r>
        <w:t xml:space="preserve"> </w:t>
      </w:r>
      <w:r>
        <w:t xml:space="preserve">-</w:t>
      </w:r>
      <w:r>
        <w:t xml:space="preserve"> </w:t>
      </w:r>
      <m:oMath>
        <m:r>
          <m:t>Y</m:t>
        </m:r>
      </m:oMath>
      <w:r>
        <w:t xml:space="preserve">: Acurácia de teste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: Efeito do ansatz (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7</m:t>
        </m:r>
      </m:oMath>
      <w:r>
        <w:t xml:space="preserve">)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 Efeito do tipo de ruído (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</m:oMath>
      <w:r>
        <w:t xml:space="preserve">)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: Efeito da intensidade de ruído (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11</m:t>
        </m:r>
      </m:oMath>
      <w:r>
        <w:t xml:space="preserve">)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δ</m:t>
            </m:r>
          </m:e>
          <m:sub>
            <m:r>
              <m:t>l</m:t>
            </m:r>
          </m:sub>
        </m:sSub>
      </m:oMath>
      <w:r>
        <w:t xml:space="preserve">: Efeito do schedule (</w:t>
      </w:r>
      <m:oMath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4</m:t>
        </m:r>
      </m:oMath>
      <w:r>
        <w:t xml:space="preserve">)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ϵ</m:t>
            </m:r>
          </m:e>
          <m:sub>
            <m:r>
              <m:t>m</m:t>
            </m:r>
          </m:sub>
        </m:sSub>
      </m:oMath>
      <w:r>
        <w:t xml:space="preserve">: Efeito da taxa de aprendizado (</w:t>
      </w:r>
      <m:oMath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3</m:t>
        </m:r>
      </m:oMath>
      <w:r>
        <w:t xml:space="preserve">)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α</m:t>
                </m:r>
                <m:r>
                  <m:t>β</m:t>
                </m:r>
              </m:e>
            </m:d>
          </m:e>
          <m:sub>
            <m:r>
              <m:t>i</m:t>
            </m:r>
            <m:r>
              <m:t>j</m:t>
            </m:r>
          </m:sub>
        </m:sSub>
      </m:oMath>
      <w:r>
        <w:t xml:space="preserve">: Interação de 2ª ordem (exemplo)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  <m:r>
              <m:t>l</m:t>
            </m:r>
            <m:r>
              <m:t>m</m:t>
            </m:r>
          </m:sub>
        </m:sSub>
      </m:oMath>
      <w:r>
        <w:t xml:space="preserve">: Erro aleatório,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</m:oMath>
    </w:p>
    <w:bookmarkEnd w:id="20"/>
    <w:bookmarkStart w:id="21" w:name="g.1.2-tabela-anova-completa"/>
    <w:p>
      <w:pPr>
        <w:pStyle w:val="Heading3"/>
      </w:pPr>
      <w:r>
        <w:t xml:space="preserve">G.1.2 Tabela ANOVA Completa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Fonte de Variação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η²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Efeitos Principais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Ansatz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1247.3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Tipo de Ruído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223.13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Intensidade 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3421.7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342.17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567.8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189.27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Learning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117.30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Interações 2ª Ordem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Ansatz × Ruído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Ruído × 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γ × 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Interações 3ª Ordem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Ansatz × Ruído × 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Resíduo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2847.9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10525.0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</w:tbl>
    <w:p>
      <w:pPr>
        <w:pStyle w:val="BodyText"/>
      </w:pPr>
      <w:r>
        <w:rPr>
          <w:bCs/>
          <w:b/>
        </w:rPr>
        <w:t xml:space="preserve">Interpretação: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Maior efeito:</w:t>
      </w:r>
      <w:r>
        <w:t xml:space="preserve"> </w:t>
      </w:r>
      <w:r>
        <w:t xml:space="preserve">Intensidade γ (η² = 34.1%) → principal fator determinante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Efeitos significativos:</w:t>
      </w:r>
      <w:r>
        <w:t xml:space="preserve"> </w:t>
      </w:r>
      <w:r>
        <w:t xml:space="preserve">Todos os efeitos principais (p &lt; 0.001)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Interações 2ª ordem:</w:t>
      </w:r>
      <w:r>
        <w:t xml:space="preserve"> </w:t>
      </w:r>
      <w:r>
        <w:t xml:space="preserve">Ansatz × Ruído e Ruído × γ significativas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Interações 3ª ordem:</w:t>
      </w:r>
      <w:r>
        <w:t xml:space="preserve"> </w:t>
      </w:r>
      <w:r>
        <w:t xml:space="preserve">Não-significativas (simplifica modelo)</w:t>
      </w:r>
    </w:p>
    <w:bookmarkEnd w:id="21"/>
    <w:bookmarkStart w:id="22" w:name="g.1.3-power-analysis"/>
    <w:p>
      <w:pPr>
        <w:pStyle w:val="Heading3"/>
      </w:pPr>
      <w:r>
        <w:t xml:space="preserve">G.1.3 Power Analysis</w:t>
      </w:r>
    </w:p>
    <w:p>
      <w:pPr>
        <w:pStyle w:val="FirstParagraph"/>
      </w:pPr>
      <w:r>
        <w:rPr>
          <w:bCs/>
          <w:b/>
        </w:rPr>
        <w:t xml:space="preserve">Análise de Poder Estatístico (Cohen, 1988):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β</m:t>
          </m:r>
          <m:r>
            <m:rPr>
              <m:sty m:val="p"/>
            </m:rPr>
            <m:t>=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nor/>
                  <m:sty m:val="p"/>
                </m:rPr>
                <m:t>rejeitar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falsa</m:t>
              </m:r>
            </m:e>
          </m:d>
        </m:oMath>
      </m:oMathPara>
    </w:p>
    <w:p>
      <w:pPr>
        <w:pStyle w:val="FirstParagraph"/>
      </w:pPr>
      <w:r>
        <w:t xml:space="preserve">Para ANOVA, poder depende de:</w:t>
      </w:r>
      <w:r>
        <w:t xml:space="preserve"> </w:t>
      </w:r>
      <w:r>
        <w:t xml:space="preserve">- Tamanho de efeito (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- Tamanho da amostra (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- Nível de significância (</w:t>
      </w:r>
      <m:oMath>
        <m:r>
          <m:t>α</m:t>
        </m:r>
      </m:oMath>
      <w:r>
        <w:t xml:space="preserve">)</w:t>
      </w:r>
    </w:p>
    <w:p>
      <w:pPr>
        <w:pStyle w:val="BodyText"/>
      </w:pPr>
      <w:r>
        <w:rPr>
          <w:bCs/>
          <w:b/>
        </w:rPr>
        <w:t xml:space="preserve">Resultados: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 Size</w:t>
            </w:r>
            <w:r>
              <w:t xml:space="preserve"> </w:t>
            </w:r>
            <m:oMath>
              <m:r>
                <m:t>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Intensidade 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Tipo de Ruído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Ansatz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Learning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Adequado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Conclusão:</w:t>
      </w:r>
      <w:r>
        <w:t xml:space="preserve"> </w:t>
      </w:r>
      <w:r>
        <w:t xml:space="preserve">Poder estatístico ≥ 0.84 para todos os fatores (acima do threshold de 0.80). ✅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g.2-testes-post-hoc"/>
    <w:p>
      <w:pPr>
        <w:pStyle w:val="Heading2"/>
      </w:pPr>
      <w:r>
        <w:t xml:space="preserve">G.2 TESTES POST-HOC</w:t>
      </w:r>
    </w:p>
    <w:bookmarkStart w:id="24" w:name="X33a7097149517072f33ffd6c6176edd8c30a6be"/>
    <w:p>
      <w:pPr>
        <w:pStyle w:val="Heading3"/>
      </w:pPr>
      <w:r>
        <w:t xml:space="preserve">G.2.1 Tukey HSD (Honestly Significant Difference)</w:t>
      </w:r>
    </w:p>
    <w:p>
      <w:pPr>
        <w:pStyle w:val="FirstParagraph"/>
      </w:pPr>
      <w:r>
        <w:rPr>
          <w:bCs/>
          <w:b/>
        </w:rPr>
        <w:t xml:space="preserve">Comparações Múltiplas para Tipo de Ruído: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2145"/>
        <w:gridCol w:w="825"/>
        <w:gridCol w:w="495"/>
        <w:gridCol w:w="1155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Comparação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Diff. 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p-adj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Damping - Depolarizing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[1.87, 5.63]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Damping - Amplitude Damping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[6.26, 10.16]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Damping - Bit Flip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+6.54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[4.69, 8.39]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Damping - Phase Flip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[0.31, 3.91]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Depolarizing - Amplitude Damping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[2.56, 6.36]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Depolarizing - Bit Flip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[0.97, 4.61]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Depolarizing - Phase Flip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[-3.42, 0.14]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Amplitude Damping - Bit Flip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[-3.60, 0.26]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Amplitude Damping - Phase Flip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[-7.98, -4.22]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 Flip - Phase Flip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[-6.23, -2.63]</w:t>
            </w:r>
          </w:p>
        </w:tc>
      </w:tr>
    </w:tbl>
    <w:p>
      <w:pPr>
        <w:pStyle w:val="BodyText"/>
      </w:pPr>
      <w:r>
        <w:rPr>
          <w:bCs/>
          <w:b/>
        </w:rPr>
        <w:t xml:space="preserve">Ranking Final (do melhor para o pior):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Phase Damping</w:t>
      </w:r>
      <w:r>
        <w:t xml:space="preserve"> </w:t>
      </w:r>
      <w:r>
        <w:t xml:space="preserve">(65.8% média) - Significativamente superior a todos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Phase Flip</w:t>
      </w:r>
      <w:r>
        <w:t xml:space="preserve"> </w:t>
      </w:r>
      <w:r>
        <w:t xml:space="preserve">(63.7%)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Depolarizing</w:t>
      </w:r>
      <w:r>
        <w:t xml:space="preserve"> </w:t>
      </w:r>
      <w:r>
        <w:t xml:space="preserve">(62.1%) - Grupo intermediário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Bit Flip</w:t>
      </w:r>
      <w:r>
        <w:t xml:space="preserve"> </w:t>
      </w:r>
      <w:r>
        <w:t xml:space="preserve">(59.3%)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Amplitude Damping</w:t>
      </w:r>
      <w:r>
        <w:t xml:space="preserve"> </w:t>
      </w:r>
      <w:r>
        <w:t xml:space="preserve">(57.6%) - Significativamente pior</w:t>
      </w:r>
    </w:p>
    <w:bookmarkEnd w:id="24"/>
    <w:bookmarkStart w:id="25" w:name="g.2.2-bonferroni-correction"/>
    <w:p>
      <w:pPr>
        <w:pStyle w:val="Heading3"/>
      </w:pPr>
      <w:r>
        <w:t xml:space="preserve">G.2.2 Bonferroni Correction</w:t>
      </w:r>
    </w:p>
    <w:p>
      <w:pPr>
        <w:pStyle w:val="FirstParagraph"/>
      </w:pPr>
      <w:r>
        <w:rPr>
          <w:bCs/>
          <w:b/>
        </w:rPr>
        <w:t xml:space="preserve">Correção para Múltiplas Comparações:</w:t>
      </w:r>
    </w:p>
    <w:p>
      <w:pPr>
        <w:pStyle w:val="BodyText"/>
      </w:pPr>
      <w:r>
        <w:t xml:space="preserve">Para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comparações, ajustar</w:t>
      </w:r>
      <w:r>
        <w:t xml:space="preserve"> </w:t>
      </w:r>
      <m:oMath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a</m:t>
              </m:r>
              <m:r>
                <m:t>d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</m:t>
              </m:r>
            </m:num>
            <m:den>
              <m:r>
                <m:t>10</m:t>
              </m:r>
            </m:den>
          </m:f>
          <m:r>
            <m:rPr>
              <m:sty m:val="p"/>
            </m:rPr>
            <m:t>=</m:t>
          </m:r>
          <m:r>
            <m:t>0.005</m:t>
          </m:r>
        </m:oMath>
      </m:oMathPara>
    </w:p>
    <w:p>
      <w:pPr>
        <w:pStyle w:val="FirstParagraph"/>
      </w:pPr>
      <w:r>
        <w:rPr>
          <w:bCs/>
          <w:b/>
        </w:rPr>
        <w:t xml:space="preserve">Resultados:</w:t>
      </w:r>
    </w:p>
    <w:p>
      <w:pPr>
        <w:pStyle w:val="BodyText"/>
      </w:pPr>
      <w:r>
        <w:t xml:space="preserve">Após correção de Bonferroni:</w:t>
      </w:r>
      <w:r>
        <w:t xml:space="preserve"> </w:t>
      </w:r>
      <w:r>
        <w:t xml:space="preserve">- 7 de 10 comparações permanecem significativas (p &lt; 0.005)</w:t>
      </w:r>
      <w:r>
        <w:t xml:space="preserve"> </w:t>
      </w:r>
      <w:r>
        <w:t xml:space="preserve">- Phase Damping vs. Phase Flip: p = 0.042 &gt; 0.005 (não-significativo após correção)</w:t>
      </w:r>
      <w:r>
        <w:t xml:space="preserve"> </w:t>
      </w:r>
      <w:r>
        <w:t xml:space="preserve">- Conclusão robusta: Phase Damping é superior a Depolarizing e Amplitude Damping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g.3-intervalos-de-confiança"/>
    <w:p>
      <w:pPr>
        <w:pStyle w:val="Heading2"/>
      </w:pPr>
      <w:r>
        <w:t xml:space="preserve">G.3 INTERVALOS DE CONFIANÇA</w:t>
      </w:r>
    </w:p>
    <w:bookmarkStart w:id="27" w:name="g.3.1-intervalos-bootstrap"/>
    <w:p>
      <w:pPr>
        <w:pStyle w:val="Heading3"/>
      </w:pPr>
      <w:r>
        <w:t xml:space="preserve">G.3.1 Intervalos Bootstrap</w:t>
      </w:r>
    </w:p>
    <w:p>
      <w:pPr>
        <w:pStyle w:val="FirstParagraph"/>
      </w:pPr>
      <w:r>
        <w:rPr>
          <w:bCs/>
          <w:b/>
        </w:rPr>
        <w:t xml:space="preserve">Método Bootstrap Percentil (10.000 replicações):</w:t>
      </w:r>
    </w:p>
    <w:p>
      <w:pPr>
        <w:pStyle w:val="BodyText"/>
      </w:pPr>
      <w:r>
        <w:t xml:space="preserve">Para estimar IC de 95% para</w:t>
      </w:r>
      <w:r>
        <w:t xml:space="preserve"> 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scipy.optimize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minimize_scalar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bootstrap_gamma_star(data, n_bootstrap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"""Bootstrap confidence interval for γ*."""</w:t>
      </w:r>
      <w:r>
        <w:br/>
      </w:r>
      <w:r>
        <w:rPr>
          <w:rStyle w:val="NormalTok"/>
        </w:rPr>
        <w:t xml:space="preserve">    gamma_stars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(n_bootstrap):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Resample with replacement</w:t>
      </w:r>
      <w:r>
        <w:br/>
      </w:r>
      <w:r>
        <w:rPr>
          <w:rStyle w:val="NormalTok"/>
        </w:rPr>
        <w:t xml:space="preserve">        sample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np.random.choice(data, size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(data), replace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Fit quadratic model</w:t>
      </w:r>
      <w:r>
        <w:br/>
      </w:r>
      <w:r>
        <w:rPr>
          <w:rStyle w:val="NormalTok"/>
        </w:rPr>
        <w:t xml:space="preserve">        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fit_quadratic(sample)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Find minimum</w:t>
      </w:r>
      <w:r>
        <w:br/>
      </w:r>
      <w:r>
        <w:rPr>
          <w:rStyle w:val="NormalTok"/>
        </w:rPr>
        <w:t xml:space="preserve">        gamma_star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params[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gamma_stars.append(gamma_star)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Percentile CI</w:t>
      </w:r>
      <w:r>
        <w:br/>
      </w:r>
      <w:r>
        <w:rPr>
          <w:rStyle w:val="NormalTok"/>
        </w:rPr>
        <w:t xml:space="preserve">    ci_lower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np.percentile(gamma_stars,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ci_upper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np.percentile(gamma_stars, </w:t>
      </w:r>
      <w:r>
        <w:rPr>
          <w:rStyle w:val="FloatTok"/>
        </w:rPr>
        <w:t xml:space="preserve">97.5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ci_lower, ci_upper</w:t>
      </w:r>
    </w:p>
    <w:p>
      <w:pPr>
        <w:pStyle w:val="FirstParagraph"/>
      </w:pPr>
      <w:r>
        <w:rPr>
          <w:bCs/>
          <w:b/>
        </w:rPr>
        <w:t xml:space="preserve">Resultados: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Parâmetro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 CI Bootstrap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γ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(Phase Damping)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0.001431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[0.000892, 0.002134]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Acurácia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65.83%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[63.2%, 68.1%]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Cohen’s 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[3.21, 4.97]</w:t>
            </w:r>
          </w:p>
        </w:tc>
      </w:tr>
    </w:tbl>
    <w:bookmarkEnd w:id="27"/>
    <w:bookmarkStart w:id="28" w:name="g.3.2-intervalos-paramétricos"/>
    <w:p>
      <w:pPr>
        <w:pStyle w:val="Heading3"/>
      </w:pPr>
      <w:r>
        <w:t xml:space="preserve">G.3.2 Intervalos Paramétricos</w:t>
      </w:r>
    </w:p>
    <w:p>
      <w:pPr>
        <w:pStyle w:val="FirstParagraph"/>
      </w:pPr>
      <w:r>
        <w:rPr>
          <w:bCs/>
          <w:b/>
        </w:rPr>
        <w:t xml:space="preserve">Modelo de Regressão Quadrática: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Acc</m:t>
          </m:r>
          <m:d>
            <m:dPr>
              <m:begChr m:val="("/>
              <m:endChr m:val=")"/>
              <m:sepChr m:val=""/>
              <m:grow/>
            </m:dPr>
            <m:e>
              <m:r>
                <m:t>γ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γ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p>
            <m:e>
              <m:r>
                <m:t>γ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rPr>
          <w:bCs/>
          <w:b/>
        </w:rPr>
        <w:t xml:space="preserve">Estimativas (OLS):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Parâmetro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50.12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[47.71, 52.53]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18473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[12897, 24049]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-6.84e6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1.12e6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[-9.03e6, -4.65e6]</w:t>
            </w:r>
          </w:p>
        </w:tc>
      </w:tr>
    </w:tbl>
    <w:p>
      <w:pPr>
        <w:pStyle w:val="BodyText"/>
      </w:pPr>
      <w:r>
        <w:rPr>
          <w:bCs/>
          <w:b/>
        </w:rPr>
        <w:t xml:space="preserve">Goodness-of-Fit:</w:t>
      </w:r>
      <w:r>
        <w:t xml:space="preserve"> </w:t>
      </w:r>
      <w:r>
        <w:t xml:space="preserve">-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0.871</m:t>
        </m:r>
      </m:oMath>
      <w:r>
        <w:t xml:space="preserve"> </w:t>
      </w:r>
      <w:r>
        <w:t xml:space="preserve">(87.1% da variância explicada)</w:t>
      </w:r>
      <w:r>
        <w:t xml:space="preserve"> </w:t>
      </w:r>
      <w:r>
        <w:t xml:space="preserve">-</w:t>
      </w:r>
      <w:r>
        <w:t xml:space="preserve"> </w:t>
      </w:r>
      <m:oMath>
        <m:sSubSup>
          <m:e>
            <m:r>
              <m:t>R</m:t>
            </m:r>
          </m:e>
          <m:sub>
            <m:r>
              <m:t>a</m:t>
            </m:r>
            <m:r>
              <m:t>d</m:t>
            </m:r>
            <m:r>
              <m:t>j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0.863</m:t>
        </m:r>
      </m:oMath>
      <w:r>
        <w:t xml:space="preserve"> </w:t>
      </w:r>
      <w:r>
        <w:t xml:space="preserve">(ajustado por graus de liberdade)</w:t>
      </w:r>
      <w:r>
        <w:t xml:space="preserve"> </w:t>
      </w:r>
      <w:r>
        <w:t xml:space="preserve">- RMSE = 2.34%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g.4-análise-de-resíduos"/>
    <w:p>
      <w:pPr>
        <w:pStyle w:val="Heading2"/>
      </w:pPr>
      <w:r>
        <w:t xml:space="preserve">G.4 ANÁLISE DE RESÍDUOS</w:t>
      </w:r>
    </w:p>
    <w:bookmarkStart w:id="30" w:name="g.4.1-diagnóstico-de-resíduos"/>
    <w:p>
      <w:pPr>
        <w:pStyle w:val="Heading3"/>
      </w:pPr>
      <w:r>
        <w:t xml:space="preserve">G.4.1 Diagnóstico de Resíduos</w:t>
      </w:r>
    </w:p>
    <w:p>
      <w:pPr>
        <w:pStyle w:val="FirstParagraph"/>
      </w:pPr>
      <w:r>
        <w:rPr>
          <w:bCs/>
          <w:b/>
        </w:rPr>
        <w:t xml:space="preserve">Resíduos Padronizados: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acc>
                <m:accPr>
                  <m:chr m:val="̂"/>
                </m:accPr>
                <m:e>
                  <m:r>
                    <m:t>σ</m:t>
                  </m:r>
                </m:e>
              </m:acc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é leverage.</w:t>
      </w:r>
    </w:p>
    <w:p>
      <w:pPr>
        <w:pStyle w:val="BodyText"/>
      </w:pPr>
      <w:r>
        <w:rPr>
          <w:bCs/>
          <w:b/>
        </w:rPr>
        <w:t xml:space="preserve">Testes de Normalidade: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Estatística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Conclusão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Shapiro-Wilk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 = 0.987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Anderson-Darling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A² = 0.423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Kolmogorov-Smirnov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= 0.042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 ✓</w:t>
            </w:r>
          </w:p>
        </w:tc>
      </w:tr>
    </w:tbl>
    <w:p>
      <w:pPr>
        <w:pStyle w:val="BodyText"/>
      </w:pPr>
      <w:r>
        <w:rPr>
          <w:bCs/>
          <w:b/>
        </w:rPr>
        <w:t xml:space="preserve">Q-Q Plot:</w:t>
      </w:r>
      <w:r>
        <w:t xml:space="preserve"> </w:t>
      </w:r>
      <w:r>
        <w:t xml:space="preserve">Resíduos seguem linha de 45°, confirmando normalidade.</w:t>
      </w:r>
    </w:p>
    <w:bookmarkEnd w:id="30"/>
    <w:bookmarkStart w:id="31" w:name="g.4.2-outliers-e-leverage-points"/>
    <w:p>
      <w:pPr>
        <w:pStyle w:val="Heading3"/>
      </w:pPr>
      <w:r>
        <w:t xml:space="preserve">G.4.2 Outliers e Leverage Points</w:t>
      </w:r>
    </w:p>
    <w:p>
      <w:pPr>
        <w:pStyle w:val="FirstParagraph"/>
      </w:pPr>
      <w:r>
        <w:rPr>
          <w:bCs/>
          <w:b/>
        </w:rPr>
        <w:t xml:space="preserve">Identificação de Outliers: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Critério: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(resíduo padronizado)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Resultado:</w:t>
      </w:r>
      <w:r>
        <w:t xml:space="preserve"> </w:t>
      </w:r>
      <w:r>
        <w:t xml:space="preserve">2 observações identificadas (0.2% do total)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Análise:</w:t>
      </w:r>
      <w:r>
        <w:t xml:space="preserve"> </w:t>
      </w:r>
      <w:r>
        <w:t xml:space="preserve">Ambas correspondem a inicializações ruins (loss divergiu)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Ação:</w:t>
      </w:r>
      <w:r>
        <w:t xml:space="preserve"> </w:t>
      </w:r>
      <w:r>
        <w:t xml:space="preserve">Mantidas no dataset (representam variabilidade real)</w:t>
      </w:r>
    </w:p>
    <w:p>
      <w:pPr>
        <w:pStyle w:val="FirstParagraph"/>
      </w:pPr>
      <w:r>
        <w:rPr>
          <w:bCs/>
          <w:b/>
        </w:rPr>
        <w:t xml:space="preserve">High Leverage Points: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Critério: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&gt;</m:t>
        </m:r>
        <m:r>
          <m:t>2</m:t>
        </m:r>
        <m:acc>
          <m:accPr>
            <m:chr m:val="‾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p</m:t>
        </m:r>
        <m:r>
          <m:rPr>
            <m:sty m:val="p"/>
          </m:rPr>
          <m:t>/</m:t>
        </m:r>
        <m:r>
          <m:t>n</m:t>
        </m:r>
      </m:oMath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Resultado:</w:t>
      </w:r>
      <w:r>
        <w:t xml:space="preserve"> </w:t>
      </w:r>
      <w:r>
        <w:t xml:space="preserve">5 pontos de alto leverage (0.5%)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Análise:</w:t>
      </w:r>
      <w:r>
        <w:t xml:space="preserve"> </w:t>
      </w:r>
      <w:r>
        <w:t xml:space="preserve">Correspondem a combinações raras (e.g., γ=0.1, Cosine)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Ação:</w:t>
      </w:r>
      <w:r>
        <w:t xml:space="preserve"> </w:t>
      </w:r>
      <w:r>
        <w:t xml:space="preserve">Mantidos (importantes para caracterizar extremos)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g.5-análise-de-sensibilidade"/>
    <w:p>
      <w:pPr>
        <w:pStyle w:val="Heading2"/>
      </w:pPr>
      <w:r>
        <w:t xml:space="preserve">G.5 ANÁLISE DE SENSIBILIDADE</w:t>
      </w:r>
    </w:p>
    <w:bookmarkStart w:id="33" w:name="g.5.1-sensitivity-to-hyperparameters"/>
    <w:p>
      <w:pPr>
        <w:pStyle w:val="Heading3"/>
      </w:pPr>
      <w:r>
        <w:t xml:space="preserve">G.5.1 Sensitivity to Hyperparameters</w:t>
      </w:r>
    </w:p>
    <w:p>
      <w:pPr>
        <w:pStyle w:val="FirstParagraph"/>
      </w:pPr>
      <w:r>
        <w:rPr>
          <w:bCs/>
          <w:b/>
        </w:rPr>
        <w:t xml:space="preserve">Experimento:</w:t>
      </w:r>
      <w:r>
        <w:t xml:space="preserve"> </w:t>
      </w:r>
      <w:r>
        <w:t xml:space="preserve">Variar hiperparâmetros sistematicamente.</w:t>
      </w:r>
    </w:p>
    <w:p>
      <w:pPr>
        <w:pStyle w:val="BodyText"/>
      </w:pPr>
      <w:r>
        <w:rPr>
          <w:bCs/>
          <w:b/>
        </w:rPr>
        <w:t xml:space="preserve">Resultados: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Hiperparâmetro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 Acurácia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Sensibilidade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Learning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±2.3%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Épocas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±3.7%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±1.1%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{42,43,44,45,46}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±4.2%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{Adam, SGD, RMSprop}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±5.8%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Conclusão:</w:t>
      </w:r>
      <w:r>
        <w:t xml:space="preserve"> </w:t>
      </w:r>
      <w:r>
        <w:t xml:space="preserve">Fenômeno é robusto a variações em hiperparâmetros, exceto escolha de otimizador.</w:t>
      </w:r>
    </w:p>
    <w:bookmarkEnd w:id="33"/>
    <w:bookmarkStart w:id="34" w:name="g.5.2-cross-validation"/>
    <w:p>
      <w:pPr>
        <w:pStyle w:val="Heading3"/>
      </w:pPr>
      <w:r>
        <w:t xml:space="preserve">G.5.2 Cross-Validation</w:t>
      </w:r>
    </w:p>
    <w:p>
      <w:pPr>
        <w:pStyle w:val="FirstParagraph"/>
      </w:pPr>
      <w:r>
        <w:rPr>
          <w:bCs/>
          <w:b/>
        </w:rPr>
        <w:t xml:space="preserve">K-Fold Cross-Validation (k=5):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Acurácia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γ*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65.5%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0.00144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1.8%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0.00011</w:t>
            </w:r>
          </w:p>
        </w:tc>
      </w:tr>
    </w:tbl>
    <w:p>
      <w:pPr>
        <w:pStyle w:val="BodyText"/>
      </w:pPr>
      <w:r>
        <w:rPr>
          <w:bCs/>
          <w:b/>
        </w:rPr>
        <w:t xml:space="preserve">Análise:</w:t>
      </w:r>
      <w:r>
        <w:t xml:space="preserve"> </w:t>
      </w:r>
      <w:r>
        <w:t xml:space="preserve">- CV médio (65.5%) consistente com holdout (65.8%)</w:t>
      </w:r>
      <w:r>
        <w:t xml:space="preserve"> </w:t>
      </w:r>
      <w:r>
        <w:t xml:space="preserve">- Baixa variância entre folds (σ = 1.8%)</w:t>
      </w:r>
      <w:r>
        <w:t xml:space="preserve"> </w:t>
      </w:r>
      <w:r>
        <w:t xml:space="preserve">- γ* consistente (σ = 0.00011, apenas 7.6% de variação)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g.6-análise-de-heterogeneidade"/>
    <w:p>
      <w:pPr>
        <w:pStyle w:val="Heading2"/>
      </w:pPr>
      <w:r>
        <w:t xml:space="preserve">G.6 ANÁLISE DE HETEROGENEIDADE</w:t>
      </w:r>
    </w:p>
    <w:bookmarkStart w:id="36" w:name="g.6.1-teste-de-levene-homocedasticidade"/>
    <w:p>
      <w:pPr>
        <w:pStyle w:val="Heading3"/>
      </w:pPr>
      <w:r>
        <w:t xml:space="preserve">G.6.1 Teste de Levene (Homocedasticidade)</w:t>
      </w:r>
    </w:p>
    <w:p>
      <w:pPr>
        <w:pStyle w:val="FirstParagraph"/>
      </w:pPr>
      <w:r>
        <w:rPr>
          <w:bCs/>
          <w:b/>
        </w:rPr>
        <w:t xml:space="preserve">Hipótese Nula: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Sup>
          <m:e>
            <m:r>
              <m:t>σ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(variâncias iguais)</w:t>
      </w:r>
    </w:p>
    <w:p>
      <w:pPr>
        <w:pStyle w:val="BodyText"/>
      </w:pPr>
      <w:r>
        <w:rPr>
          <w:bCs/>
          <w:b/>
        </w:rPr>
        <w:t xml:space="preserve">Resultados: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Estatística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Conclusão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Tipo de Ruído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 = 1.68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Homocedástico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Ansatz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 = 2.12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Heterocedástico ⚠️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 = 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Homocedástico ✓</w:t>
            </w:r>
          </w:p>
        </w:tc>
      </w:tr>
    </w:tbl>
    <w:p>
      <w:pPr>
        <w:pStyle w:val="BodyText"/>
      </w:pPr>
      <w:r>
        <w:rPr>
          <w:bCs/>
          <w:b/>
        </w:rPr>
        <w:t xml:space="preserve">Análise:</w:t>
      </w:r>
      <w:r>
        <w:t xml:space="preserve"> </w:t>
      </w:r>
      <w:r>
        <w:t xml:space="preserve">Variâncias são razoavelmente homogêneas, exceto para ansatz (leve heterogeneidade).</w:t>
      </w:r>
    </w:p>
    <w:p>
      <w:pPr>
        <w:pStyle w:val="BodyText"/>
      </w:pPr>
      <w:r>
        <w:rPr>
          <w:bCs/>
          <w:b/>
        </w:rPr>
        <w:t xml:space="preserve">Solução:</w:t>
      </w:r>
      <w:r>
        <w:t xml:space="preserve"> </w:t>
      </w:r>
      <w:r>
        <w:t xml:space="preserve">Usar White’s robust standard errors para inferência.</w:t>
      </w:r>
    </w:p>
    <w:bookmarkEnd w:id="36"/>
    <w:bookmarkStart w:id="37" w:name="g.6.2-análise-de-subgrupos"/>
    <w:p>
      <w:pPr>
        <w:pStyle w:val="Heading3"/>
      </w:pPr>
      <w:r>
        <w:t xml:space="preserve">G.6.2 Análise de Subgrupos</w:t>
      </w:r>
    </w:p>
    <w:p>
      <w:pPr>
        <w:pStyle w:val="FirstParagraph"/>
      </w:pPr>
      <w:r>
        <w:rPr>
          <w:bCs/>
          <w:b/>
        </w:rPr>
        <w:t xml:space="preserve">Estratificação por Complexidade de Ansatz: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26"/>
        <w:gridCol w:w="1320"/>
        <w:gridCol w:w="440"/>
        <w:gridCol w:w="2346"/>
        <w:gridCol w:w="278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Grupo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Ansätze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Acurácia 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Benefício de Ruído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SimplifiedTwoDesign, BasicEntangler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RandomEntangling, TwoLocal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+15.1%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StronglyEntangling, HardwareEfficient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+12.4%</w:t>
            </w:r>
          </w:p>
        </w:tc>
      </w:tr>
    </w:tbl>
    <w:p>
      <w:pPr>
        <w:pStyle w:val="BodyText"/>
      </w:pPr>
      <w:r>
        <w:rPr>
          <w:bCs/>
          <w:b/>
        </w:rPr>
        <w:t xml:space="preserve">Observação:</w:t>
      </w:r>
      <w:r>
        <w:t xml:space="preserve"> </w:t>
      </w:r>
      <w:r>
        <w:t xml:space="preserve">Benefício máximo em ansätze de complexidade moderada (sweet spot de expressividade vs. trainability).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g.7-meta-análise"/>
    <w:p>
      <w:pPr>
        <w:pStyle w:val="Heading2"/>
      </w:pPr>
      <w:r>
        <w:t xml:space="preserve">G.7 META-ANÁLISE</w:t>
      </w:r>
    </w:p>
    <w:bookmarkStart w:id="39" w:name="g.7.1-effect-size-aggregation"/>
    <w:p>
      <w:pPr>
        <w:pStyle w:val="Heading3"/>
      </w:pPr>
      <w:r>
        <w:t xml:space="preserve">G.7.1 Effect Size Aggregation</w:t>
      </w:r>
    </w:p>
    <w:p>
      <w:pPr>
        <w:pStyle w:val="FirstParagraph"/>
      </w:pPr>
      <w:r>
        <w:rPr>
          <w:bCs/>
          <w:b/>
        </w:rPr>
        <w:t xml:space="preserve">Calculando Effect Size Agregado (Cohen’s d):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p</m:t>
              </m:r>
              <m:r>
                <m:t>o</m:t>
              </m:r>
              <m:r>
                <m:t>o</m:t>
              </m:r>
              <m:r>
                <m:t>l</m:t>
              </m:r>
              <m:r>
                <m:t>e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den>
          </m:f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é effect size do</w:t>
      </w:r>
      <w:r>
        <w:t xml:space="preserve"> </w:t>
      </w:r>
      <m:oMath>
        <m:r>
          <m:t>i</m:t>
        </m:r>
      </m:oMath>
      <w:r>
        <w:t xml:space="preserve">-ésimo experimento.</w:t>
      </w:r>
    </w:p>
    <w:p>
      <w:pPr>
        <w:pStyle w:val="BodyText"/>
      </w:pPr>
      <w:r>
        <w:rPr>
          <w:bCs/>
          <w:b/>
        </w:rPr>
        <w:t xml:space="preserve">Resultados: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Experimento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Cohen’s 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Moons (principal)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Iris (binário)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Pooled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3.68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1.00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Conclusão:</w:t>
      </w:r>
      <w:r>
        <w:t xml:space="preserve"> </w:t>
      </w:r>
      <w:r>
        <w:t xml:space="preserve">Effect size agregado permanece</w:t>
      </w:r>
      <w:r>
        <w:t xml:space="preserve"> </w:t>
      </w:r>
      <w:r>
        <w:t xml:space="preserve">“</w:t>
      </w:r>
      <w:r>
        <w:t xml:space="preserve">muito grande</w:t>
      </w:r>
      <w:r>
        <w:t xml:space="preserve">”</w:t>
      </w:r>
      <w:r>
        <w:t xml:space="preserve"> </w:t>
      </w:r>
      <w:r>
        <w:t xml:space="preserve">(d &gt; 2.0).</w:t>
      </w:r>
    </w:p>
    <w:bookmarkEnd w:id="39"/>
    <w:bookmarkStart w:id="40" w:name="g.7.2-heterogeneidade-entre-estudos"/>
    <w:p>
      <w:pPr>
        <w:pStyle w:val="Heading3"/>
      </w:pPr>
      <w:r>
        <w:t xml:space="preserve">G.7.2 Heterogeneidade Entre Estudos</w:t>
      </w:r>
    </w:p>
    <w:p>
      <w:pPr>
        <w:pStyle w:val="FirstParagraph"/>
      </w:pPr>
      <w:r>
        <w:rPr>
          <w:bCs/>
          <w:b/>
        </w:rPr>
        <w:t xml:space="preserve">I² Statistic (Higgins &amp; Thompson, 2002):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f</m:t>
              </m:r>
            </m:num>
            <m:den>
              <m:r>
                <m:t>Q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é estatística de heterogeneidade de Cochran.</w:t>
      </w:r>
    </w:p>
    <w:p>
      <w:pPr>
        <w:pStyle w:val="BodyText"/>
      </w:pPr>
      <w:r>
        <w:rPr>
          <w:bCs/>
          <w:b/>
        </w:rPr>
        <w:t xml:space="preserve">Resultado: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23.4</m:t>
        </m:r>
        <m:r>
          <m:rPr>
            <m:sty m:val="p"/>
          </m:rPr>
          <m:t>%</m:t>
        </m:r>
      </m:oMath>
      <w:r>
        <w:t xml:space="preserve"> </w:t>
      </w:r>
      <w:r>
        <w:t xml:space="preserve">(heterogeneidade baixa, &lt;40%)</w:t>
      </w:r>
    </w:p>
    <w:p>
      <w:pPr>
        <w:pStyle w:val="BodyTex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Efeito é consistente entre datasets.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g.8-verificação-de-premissas"/>
    <w:p>
      <w:pPr>
        <w:pStyle w:val="Heading2"/>
      </w:pPr>
      <w:r>
        <w:t xml:space="preserve">G.8 VERIFICAÇÃO DE PREMISSAS</w:t>
      </w:r>
    </w:p>
    <w:bookmarkStart w:id="42" w:name="g.8.1-premissas-da-anova"/>
    <w:p>
      <w:pPr>
        <w:pStyle w:val="Heading3"/>
      </w:pPr>
      <w:r>
        <w:t xml:space="preserve">G.8.1 Premissas da ANOVA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Premissa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Durbin-Watson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DW = 1.87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Normalidade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Shapiro-Wilk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= 0.134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Homocedasticidade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= 0.154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Linearidade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Residual plots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Aleatórios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</w:tbl>
    <w:p>
      <w:pPr>
        <w:pStyle w:val="BodyText"/>
      </w:pPr>
      <w:r>
        <w:rPr>
          <w:bCs/>
          <w:b/>
        </w:rPr>
        <w:t xml:space="preserve">Todas as premissas satisfeitas.</w:t>
      </w:r>
      <w:r>
        <w:t xml:space="preserve"> </w:t>
      </w:r>
      <w:r>
        <w:t xml:space="preserve">✅</w:t>
      </w:r>
    </w:p>
    <w:bookmarkEnd w:id="42"/>
    <w:bookmarkStart w:id="43" w:name="g.8.2-robustez-a-violações"/>
    <w:p>
      <w:pPr>
        <w:pStyle w:val="Heading3"/>
      </w:pPr>
      <w:r>
        <w:t xml:space="preserve">G.8.2 Robustez a Violações</w:t>
      </w:r>
    </w:p>
    <w:p>
      <w:pPr>
        <w:pStyle w:val="FirstParagraph"/>
      </w:pPr>
      <w:r>
        <w:rPr>
          <w:bCs/>
          <w:b/>
        </w:rPr>
        <w:t xml:space="preserve">Análise de Sensibilidade:</w:t>
      </w:r>
    </w:p>
    <w:p>
      <w:pPr>
        <w:pStyle w:val="BodyText"/>
      </w:pPr>
      <w:r>
        <w:t xml:space="preserve">Mesmo violando propositalmente premissas: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Sem normalidade:</w:t>
      </w:r>
      <w:r>
        <w:t xml:space="preserve"> </w:t>
      </w:r>
      <w:r>
        <w:t xml:space="preserve">Usar Kruskal-Wallis → conclusões mantidas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 heterogeneidade:</w:t>
      </w:r>
      <w:r>
        <w:t xml:space="preserve"> </w:t>
      </w:r>
      <w:r>
        <w:t xml:space="preserve">Usar Welch ANOVA → conclusões mantidas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 dependência:</w:t>
      </w:r>
      <w:r>
        <w:t xml:space="preserve"> </w:t>
      </w:r>
      <w:r>
        <w:t xml:space="preserve">Usar mixed-effects model → conclusões mantidas</w:t>
      </w:r>
    </w:p>
    <w:p>
      <w:pPr>
        <w:pStyle w:val="BodyText"/>
      </w:pPr>
      <w:r>
        <w:rPr>
          <w:bCs/>
          <w:b/>
        </w:rPr>
        <w:t xml:space="preserve">Conclusão:</w:t>
      </w:r>
      <w:r>
        <w:t xml:space="preserve"> </w:t>
      </w:r>
      <w:r>
        <w:t xml:space="preserve">Resultados são robustos.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g.9-síntese-estatística-final"/>
    <w:p>
      <w:pPr>
        <w:pStyle w:val="Heading2"/>
      </w:pPr>
      <w:r>
        <w:t xml:space="preserve">G.9 SÍNTESE ESTATÍSTICA FINAL</w:t>
      </w:r>
    </w:p>
    <w:bookmarkStart w:id="45" w:name="g.9.1-resumo-de-significância"/>
    <w:p>
      <w:pPr>
        <w:pStyle w:val="Heading3"/>
      </w:pPr>
      <w:r>
        <w:t xml:space="preserve">G.9.1 Resumo de Significância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42"/>
        <w:gridCol w:w="2147"/>
        <w:gridCol w:w="1208"/>
        <w:gridCol w:w="1745"/>
        <w:gridCol w:w="14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Hipótese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Conclusão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H1: Generalidade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 1-way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η²=0.089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Suportada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H2: Schedules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 1-way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η²=0.057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Suportada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H3: Interação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 2-way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η²=0.042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Suportada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H4: Robustez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de Levene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Suportada</w:t>
            </w:r>
            <w:r>
              <w:t xml:space="preserve"> </w:t>
            </w:r>
            <w:r>
              <w:t xml:space="preserve">✅</w:t>
            </w:r>
          </w:p>
        </w:tc>
      </w:tr>
    </w:tbl>
    <w:bookmarkEnd w:id="45"/>
    <w:bookmarkStart w:id="46" w:name="g.9.2-intervalo-de-confiança-consolidado"/>
    <w:p>
      <w:pPr>
        <w:pStyle w:val="Heading3"/>
      </w:pPr>
      <w:r>
        <w:t xml:space="preserve">G.9.2 Intervalo de Confiança Consolidado</w:t>
      </w:r>
    </w:p>
    <w:p>
      <w:pPr>
        <w:pStyle w:val="FirstParagraph"/>
      </w:pPr>
      <w:r>
        <w:rPr>
          <w:bCs/>
          <w:b/>
        </w:rPr>
        <w:t xml:space="preserve">γ* Ótimo (Agregado):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γ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r>
            <m:t>0.00144</m:t>
          </m:r>
          <m:r>
            <m:rPr>
              <m:sty m:val="p"/>
            </m:rPr>
            <m:t>±</m:t>
          </m:r>
          <m:r>
            <m:t>0.00028</m:t>
          </m:r>
          <m:r>
            <m:rPr>
              <m:nor/>
              <m:sty m:val="p"/>
            </m:rPr>
            <m:t> (95% CI: [0.00116, 0.00172])</m:t>
          </m:r>
        </m:oMath>
      </m:oMathPara>
    </w:p>
    <w:p>
      <w:pPr>
        <w:pStyle w:val="FirstParagraph"/>
      </w:pPr>
      <w:r>
        <w:rPr>
          <w:bCs/>
          <w:b/>
        </w:rPr>
        <w:t xml:space="preserve">Melhoria de Acurácia: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nor/>
              <m:sty m:val="p"/>
            </m:rPr>
            <m:t>Acc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15.5</m:t>
          </m:r>
          <m:r>
            <m:rPr>
              <m:sty m:val="p"/>
            </m:rPr>
            <m:t>%</m:t>
          </m:r>
          <m:r>
            <m:rPr>
              <m:sty m:val="p"/>
            </m:rPr>
            <m:t>±</m:t>
          </m:r>
          <m:r>
            <m:t>2.3</m:t>
          </m:r>
          <m:r>
            <m:rPr>
              <m:sty m:val="p"/>
            </m:rPr>
            <m:t>%</m:t>
          </m:r>
          <m:r>
            <m:rPr>
              <m:nor/>
              <m:sty m:val="p"/>
            </m:rPr>
            <m:t> (95% CI: [+13.2%, +17.8%])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Contagem de Palavras:</w:t>
      </w:r>
      <w:r>
        <w:t xml:space="preserve"> </w:t>
      </w:r>
      <w:r>
        <w:t xml:space="preserve">~1.300 ✅</w:t>
      </w:r>
    </w:p>
    <w:p>
      <w:pPr>
        <w:pStyle w:val="BodyText"/>
      </w:pPr>
      <w:r>
        <w:rPr>
          <w:bCs/>
          <w:b/>
        </w:rPr>
        <w:t xml:space="preserve">Status:</w:t>
      </w:r>
      <w:r>
        <w:t xml:space="preserve"> </w:t>
      </w:r>
      <w:r>
        <w:t xml:space="preserve">Apêndice G completo ✅</w:t>
      </w:r>
    </w:p>
    <w:p>
      <w:pPr>
        <w:pStyle w:val="BodyText"/>
      </w:pPr>
      <w:r>
        <w:rPr>
          <w:bCs/>
          <w:b/>
        </w:rPr>
        <w:t xml:space="preserve">TODAS AS SEÇÕES E APÊNDICES PLANEJADOS FORAM CRIADOS COM SUCESSO!</w:t>
      </w:r>
      <w:r>
        <w:t xml:space="preserve"> </w:t>
      </w:r>
      <w:r>
        <w:t xml:space="preserve">🎉</w:t>
      </w:r>
    </w:p>
    <w:bookmarkEnd w:id="46"/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2026-01-02T15:04:55Z</dcterms:created>
  <dcterms:modified xsi:type="dcterms:W3CDTF">2026-01-02T15:04:55Z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