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88b8ba3f17868940437c55b34c32f0abac59d6a"/>
    <w:p>
      <w:pPr>
        <w:pStyle w:val="Heading1"/>
      </w:pPr>
      <w:r>
        <w:t xml:space="preserve">APÊNDICE I: Lista Completa de Símbolos e Notação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I - Símbolos e Notação (~500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4" w:name="i.1-símbolos-matemáticos-principais"/>
    <w:p>
      <w:pPr>
        <w:pStyle w:val="Heading2"/>
      </w:pPr>
      <w:r>
        <w:t xml:space="preserve">I.1 SÍMBOLOS MATEMÁTICOS PRINCIPAIS</w:t>
      </w:r>
    </w:p>
    <w:bookmarkStart w:id="20" w:name="i.1.1-espaços-e-conjuntos"/>
    <w:p>
      <w:pPr>
        <w:pStyle w:val="Heading3"/>
      </w:pPr>
      <w:r>
        <w:t xml:space="preserve">I.1.1 Espaços e Conjuntos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233"/>
        <w:gridCol w:w="3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Hilbert de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qubits,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operadores lineares em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operadores densidade (matrizes densidade)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entrada (features),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X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saída (labels),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Espaço de parâmetros,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Conjunto de treinamento,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Seção 3.1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s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Conjunto de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</w:tbl>
    <w:bookmarkEnd w:id="20"/>
    <w:bookmarkStart w:id="21" w:name="i.1.2-estados-quânticos-e-operadores"/>
    <w:p>
      <w:pPr>
        <w:pStyle w:val="Heading3"/>
      </w:pPr>
      <w:r>
        <w:t xml:space="preserve">I.1.2 Estados Quânticos e Operadores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de estado puro em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Operador densidade (estado misto),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a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Parte diagonal de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(populações)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Parte off-diagonal de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(coerências)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Operador unitário parametrizado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O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Observável Hermitiano,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Matrizes de Pauli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ou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Operador identidade</w:t>
            </w:r>
          </w:p>
        </w:tc>
      </w:tr>
    </w:tbl>
    <w:bookmarkEnd w:id="21"/>
    <w:bookmarkStart w:id="22" w:name="i.1.3-canais-quânticos"/>
    <w:p>
      <w:pPr>
        <w:pStyle w:val="Heading3"/>
      </w:pPr>
      <w:r>
        <w:t xml:space="preserve">I.1.3 Canais Quânticos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γ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quântico CPTP com intensidade de ruído</w:t>
            </w:r>
            <w:r>
              <w:t xml:space="preserve"> </w:t>
            </w: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de Phase Damping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de Depolarizing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de Amplitude Damping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b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de Bit Flip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p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Canal de Phase Flip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Operadores de Kraus,</w:t>
            </w:r>
            <w: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ρ</m:t>
              </m:r>
              <m:sSubSup>
                <m:e>
                  <m:r>
                    <m:t>K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Operadores de Lindblad (jump operators)</w:t>
            </w:r>
          </w:p>
        </w:tc>
      </w:tr>
    </w:tbl>
    <w:bookmarkEnd w:id="22"/>
    <w:bookmarkStart w:id="23" w:name="i.1.4-parâmetros-e-hiperparâmetros"/>
    <w:p>
      <w:pPr>
        <w:pStyle w:val="Heading3"/>
      </w:pPr>
      <w:r>
        <w:t xml:space="preserve">I.1.4 Parâmetros e Hiperparâmetros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Número de 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Número de parâmetros treináveis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Tamanho do conjunto de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Intensidade de ruído quântico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γ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Intensidade ótima de ruído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0.01-0.1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Número de épocas de 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100-500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Nível de confiança estatística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i.2-funções-e-métricas"/>
    <w:p>
      <w:pPr>
        <w:pStyle w:val="Heading2"/>
      </w:pPr>
      <w:r>
        <w:t xml:space="preserve">I.2 FUNÇÕES E MÉTRICAS</w:t>
      </w:r>
    </w:p>
    <w:bookmarkStart w:id="25" w:name="i.2.1-funções-de-perda"/>
    <w:p>
      <w:pPr>
        <w:pStyle w:val="Heading3"/>
      </w:pPr>
      <w:r>
        <w:t xml:space="preserve">I.2.1 Funções de Perda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Perda empírica no conjunto de treinamento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Perda de generalização (erro verdadeiro)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Gap de generalização,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Função de perda pontual (cross-entropy, hinge)</w:t>
            </w:r>
          </w:p>
        </w:tc>
      </w:tr>
    </w:tbl>
    <w:bookmarkEnd w:id="25"/>
    <w:bookmarkStart w:id="26" w:name="i.2.2-métricas-de-complexidade"/>
    <w:p>
      <w:pPr>
        <w:pStyle w:val="Heading3"/>
      </w:pPr>
      <w:r>
        <w:t xml:space="preserve">I.2.2 Métricas de Complexidade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  <m:scr m:val="script"/>
                        </m:rPr>
                        <m:t>R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Complexidade de Rademacher empírica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Magnitude de coerências,</w:t>
            </w:r>
            <w:r>
              <w:t xml:space="preserve"> </w:t>
            </w:r>
            <w:r>
              <w:t xml:space="preserve">$\\|\rho_{off}\\|_F$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Rank efetivo da QFIM</w:t>
            </w:r>
          </w:p>
        </w:tc>
      </w:tr>
    </w:tbl>
    <w:bookmarkEnd w:id="26"/>
    <w:bookmarkStart w:id="27" w:name="i.2.3-geometria-quântica"/>
    <w:p>
      <w:pPr>
        <w:pStyle w:val="Heading3"/>
      </w:pPr>
      <w:r>
        <w:t xml:space="preserve">I.2.3 Geometria Quântica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Matriz de Informação de Fisher Quântica (QFIM)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F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Métrica de Fubini-Study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Distância geodésica de Fubini-Study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Fidelidade quântica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i.3-operadores-e-notação"/>
    <w:p>
      <w:pPr>
        <w:pStyle w:val="Heading2"/>
      </w:pPr>
      <w:r>
        <w:t xml:space="preserve">I.3 OPERADORES E NOTAÇÃO</w:t>
      </w:r>
    </w:p>
    <w:bookmarkStart w:id="29" w:name="i.3.1-operações-lineares"/>
    <w:p>
      <w:pPr>
        <w:pStyle w:val="Heading3"/>
      </w:pPr>
      <w:r>
        <w:t xml:space="preserve">I.3.1 Operações Lineares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Valor esperado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Traço de operador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$\\|\cdot\\|$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de operador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$\\|\cdot\\|_F$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de Frobenius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$\\|\cdot\\|_1$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traço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⊙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Produto de Hadamard (elemento-wise)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Produto tensorial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Composição de funções/canais</w:t>
            </w:r>
          </w:p>
        </w:tc>
      </w:tr>
    </w:tbl>
    <w:bookmarkEnd w:id="29"/>
    <w:bookmarkStart w:id="30" w:name="i.3.2-derivadas-e-gradientes"/>
    <w:p>
      <w:pPr>
        <w:pStyle w:val="Heading3"/>
      </w:pPr>
      <w:r>
        <w:t xml:space="preserve">I.3.2 Derivadas e Gradientes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Derivada parcial com respeito a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Gradiente com respeito a</w:t>
            </w:r>
            <w:r>
              <w:t xml:space="preserve"> </w:t>
            </w: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  <m:scr m:val="script"/>
                </m:rP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gradiente da perda</w:t>
            </w:r>
          </w:p>
        </w:tc>
      </w:tr>
    </w:tbl>
    <w:bookmarkEnd w:id="30"/>
    <w:bookmarkStart w:id="31" w:name="i.3.3-expectativas-e-probabilidades"/>
    <w:p>
      <w:pPr>
        <w:pStyle w:val="Heading3"/>
      </w:pPr>
      <w:r>
        <w:t xml:space="preserve">I.3.3 Expectativas e Probabilidades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Expectativa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rPr>
                      <m:sty m:val="p"/>
                      <m:scr m:val="script"/>
                    </m:rPr>
                    <m:t>D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Expectativa sobre datasets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Variância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∥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Probabilidade condicional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i.4-hipóteses-e-condições"/>
    <w:p>
      <w:pPr>
        <w:pStyle w:val="Heading2"/>
      </w:pPr>
      <w:r>
        <w:t xml:space="preserve">I.4 HIPÓTESES E CONDIÇÕES</w:t>
      </w:r>
    </w:p>
    <w:bookmarkStart w:id="33" w:name="i.4.1-hipóteses-principais-do-teorema-1"/>
    <w:p>
      <w:pPr>
        <w:pStyle w:val="Heading3"/>
      </w:pPr>
      <w:r>
        <w:t xml:space="preserve">I.4.1 Hipóteses Principais do Teorema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2992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Matemática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Superparametrização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  <m:r>
                <m:rPr>
                  <m:sty m:val="p"/>
                </m:rPr>
                <m:t>&gt;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Amostra Finita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Coerências Espúrias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$\\|\rho_{off}\\|_F &gt; \epsilon = O(1/\sqrt{N})$</w:t>
            </w:r>
          </w:p>
        </w:tc>
      </w:tr>
    </w:tbl>
    <w:bookmarkEnd w:id="33"/>
    <w:bookmarkStart w:id="34" w:name="i.4.2-condições-auxiliares"/>
    <w:p>
      <w:pPr>
        <w:pStyle w:val="Heading3"/>
      </w:pPr>
      <w:r>
        <w:t xml:space="preserve">I.4.2 Condições Auxiliares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CPTP do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Positividade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i.5-schedules-de-ruído"/>
    <w:p>
      <w:pPr>
        <w:pStyle w:val="Heading2"/>
      </w:pPr>
      <w:r>
        <w:t xml:space="preserve">I.5 SCHEDULES DE RUÍDO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(constante)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T</m:t>
                  </m:r>
                </m:e>
              </m:d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i.6-abreviações"/>
    <w:p>
      <w:pPr>
        <w:pStyle w:val="Heading2"/>
      </w:pPr>
      <w:r>
        <w:t xml:space="preserve">I.6 ABREVIAÇÕES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Abreviação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Variational Quantum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Variational Quantum Algorithm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Parametrized Quantum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NISQ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Noisy Intermediate-Scale Quantum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Fisher Information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Fubini-Study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Unified Error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Zero-Noise Extrapolation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Error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Completely Positive Trace-Preserving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Operator-Valued Measure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i.7-convenções-de-notação"/>
    <w:p>
      <w:pPr>
        <w:pStyle w:val="Heading2"/>
      </w:pPr>
      <w:r>
        <w:t xml:space="preserve">I.7 CONVENÇÕES DE NOTAÇÃO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Vetores:</w:t>
      </w:r>
      <w:r>
        <w:t xml:space="preserve"> </w:t>
      </w:r>
      <w:r>
        <w:t xml:space="preserve">Minúsculas com seta ou ket: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⟩</m:t>
        </m:r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Matrizes:</w:t>
      </w:r>
      <w:r>
        <w:t xml:space="preserve"> </w:t>
      </w:r>
      <w:r>
        <w:t xml:space="preserve">Maiúsculas sem adorno: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ρ</m:t>
        </m:r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Operadores:</w:t>
      </w:r>
      <w:r>
        <w:t xml:space="preserve"> </w:t>
      </w:r>
      <w:r>
        <w:t xml:space="preserve">Maiúsculas com chapéu: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Espaços:</w:t>
      </w:r>
      <w:r>
        <w:t xml:space="preserve"> </w:t>
      </w:r>
      <w:r>
        <w:t xml:space="preserve">Caligráficos: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  <m:scr m:val="script"/>
          </m:rPr>
          <m:t>X</m:t>
        </m:r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Parâmetros:</w:t>
      </w:r>
      <w:r>
        <w:t xml:space="preserve"> </w:t>
      </w:r>
      <w:r>
        <w:t xml:space="preserve">Letras gregas: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t>η</m:t>
        </m:r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Índices:</w:t>
      </w:r>
      <w:r>
        <w:t xml:space="preserve"> </w:t>
      </w:r>
      <w:r>
        <w:t xml:space="preserve">Subscritos: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  <m:r>
              <m:t>j</m:t>
            </m:r>
          </m:sub>
        </m:sSub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~550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I completo ✅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2026-01-02T15:04:57Z</dcterms:created>
  <dcterms:modified xsi:type="dcterms:W3CDTF">2026-01-02T15:04:57Z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