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fase-5.2-figuras-suplementares"/>
    <w:p>
      <w:pPr>
        <w:pStyle w:val="Heading1"/>
      </w:pPr>
      <w:r>
        <w:t xml:space="preserve">FASE 5.2: Figuras Suplementares</w:t>
      </w:r>
    </w:p>
    <w:p>
      <w:pPr>
        <w:pStyle w:val="FirstParagraph"/>
      </w:pPr>
      <w:r>
        <w:rPr>
          <w:bCs/>
          <w:b/>
        </w:rPr>
        <w:t xml:space="preserve">Data:</w:t>
      </w:r>
      <w:r>
        <w:t xml:space="preserve"> </w:t>
      </w:r>
      <w:r>
        <w:t xml:space="preserve">26 de dezembro de 2025 (Atualizada após auditoria)</w:t>
      </w:r>
      <w:r>
        <w:br/>
      </w:r>
      <w:r>
        <w:rPr>
          <w:bCs/>
          <w:b/>
        </w:rPr>
        <w:t xml:space="preserve">Total de Figuras:</w:t>
      </w:r>
      <w:r>
        <w:t xml:space="preserve"> </w:t>
      </w:r>
      <w:r>
        <w:t xml:space="preserve">8 figuras descritivas</w:t>
      </w:r>
      <w:r>
        <w:br/>
      </w:r>
      <w:r>
        <w:rPr>
          <w:bCs/>
          <w:b/>
        </w:rPr>
        <w:t xml:space="preserve">Formato:</w:t>
      </w:r>
      <w:r>
        <w:t xml:space="preserve"> </w:t>
      </w:r>
      <w:r>
        <w:t xml:space="preserve">Especificações técnicas para geração</w:t>
      </w:r>
      <w:r>
        <w:br/>
      </w:r>
      <w:r>
        <w:rPr>
          <w:bCs/>
          <w:b/>
        </w:rPr>
        <w:t xml:space="preserve">Conformidade:</w:t>
      </w:r>
      <w:r>
        <w:t xml:space="preserve"> </w:t>
      </w:r>
      <w:r>
        <w:t xml:space="preserve">Material Suplementar QUALIS A1</w:t>
      </w:r>
      <w:r>
        <w:br/>
      </w:r>
      <w:r>
        <w:rPr>
          <w:bCs/>
          <w:b/>
        </w:rPr>
        <w:t xml:space="preserve">Status da Auditoria:</w:t>
      </w:r>
      <w:r>
        <w:t xml:space="preserve"> </w:t>
      </w:r>
      <w:r>
        <w:t xml:space="preserve">91/100 (🥇 Excelente)</w:t>
      </w:r>
    </w:p>
    <w:p>
      <w:r>
        <w:pict>
          <v:rect style="width:0;height:1.5pt" o:hralign="center" o:hrstd="t" o:hr="t"/>
        </w:pict>
      </w:r>
    </w:p>
    <w:bookmarkStart w:id="22" w:name="X83d72ed94b8ddfaa6e030118c96414862e89415"/>
    <w:p>
      <w:pPr>
        <w:pStyle w:val="Heading2"/>
      </w:pPr>
      <w:r>
        <w:t xml:space="preserve">FIGURA S1: Curvas de Convergência por Condição Experimental</w:t>
      </w:r>
    </w:p>
    <w:p>
      <w:pPr>
        <w:pStyle w:val="FirstParagraph"/>
      </w:pPr>
      <w:r>
        <w:rPr>
          <w:bCs/>
          <w:b/>
        </w:rPr>
        <w:t xml:space="preserve">Tipo:</w:t>
      </w:r>
      <w:r>
        <w:t xml:space="preserve"> </w:t>
      </w:r>
      <w:r>
        <w:t xml:space="preserve">Painel de gráficos de linhas (4×2 layout)</w:t>
      </w:r>
    </w:p>
    <w:p>
      <w:pPr>
        <w:pStyle w:val="BodyText"/>
      </w:pPr>
      <w:r>
        <w:rPr>
          <w:bCs/>
          <w:b/>
        </w:rPr>
        <w:t xml:space="preserve">Descrição Detalhada:</w:t>
      </w:r>
    </w:p>
    <w:p>
      <w:pPr>
        <w:pStyle w:val="BodyText"/>
      </w:pPr>
      <w:r>
        <w:t xml:space="preserve">Painel com 8 subplots mostrando curvas de convergência (Loss vs. Epoch) para diferentes combinações de fatores experimentais: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Subplot A:</w:t>
      </w:r>
      <w:r>
        <w:t xml:space="preserve"> </w:t>
      </w:r>
      <w:r>
        <w:t xml:space="preserve">Comparação entre 5 tipos de ruído (Phase Damping, Depolarizing, Amplitude Damping, Bit-flip, GAD)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Subplot B:</w:t>
      </w:r>
      <w:r>
        <w:t xml:space="preserve"> </w:t>
      </w:r>
      <w:r>
        <w:t xml:space="preserve">Comparação entre 4 tipos de schedule (Static, Cosine, Exponential, Linear)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Subplot C:</w:t>
      </w:r>
      <w:r>
        <w:t xml:space="preserve"> </w:t>
      </w:r>
      <w:r>
        <w:t xml:space="preserve">Comparação entre 7 ansätze (Basic, Hardware Efficient, Random Entangling, Two Local×3, Strongly Entangling)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Subplot D:</w:t>
      </w:r>
      <w:r>
        <w:t xml:space="preserve"> </w:t>
      </w:r>
      <w:r>
        <w:t xml:space="preserve">Comparação entre 4 datasets (Iris, Wine, Breast Cancer, Digits)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Subplots E-H:</w:t>
      </w:r>
      <w:r>
        <w:t xml:space="preserve"> </w:t>
      </w:r>
      <w:r>
        <w:t xml:space="preserve">Curvas individuais para as 4 melhores configurações (Trials 1-4 top performers)</w:t>
      </w:r>
    </w:p>
    <w:bookmarkStart w:id="20" w:name="especificações-técnicas"/>
    <w:p>
      <w:pPr>
        <w:pStyle w:val="Heading4"/>
      </w:pPr>
      <w:r>
        <w:t xml:space="preserve">Especificações Técnicas:</w:t>
      </w:r>
    </w:p>
    <w:p>
      <w:pPr>
        <w:numPr>
          <w:ilvl w:val="0"/>
          <w:numId w:val="1002"/>
        </w:numPr>
        <w:pStyle w:val="Compact"/>
      </w:pPr>
      <w:r>
        <w:t xml:space="preserve">Eixo X: Épocas de treinamento (0-150)</w:t>
      </w:r>
    </w:p>
    <w:p>
      <w:pPr>
        <w:numPr>
          <w:ilvl w:val="0"/>
          <w:numId w:val="1002"/>
        </w:numPr>
        <w:pStyle w:val="Compact"/>
      </w:pPr>
      <w:r>
        <w:t xml:space="preserve">Eixo Y: Cross-entropy loss (escala logarítmica, range: 0.1-2.0)</w:t>
      </w:r>
    </w:p>
    <w:p>
      <w:pPr>
        <w:numPr>
          <w:ilvl w:val="0"/>
          <w:numId w:val="1002"/>
        </w:numPr>
        <w:pStyle w:val="Compact"/>
      </w:pPr>
      <w:r>
        <w:t xml:space="preserve">Linhas: Média de 5 runs (validação cruzada k-fold)</w:t>
      </w:r>
    </w:p>
    <w:p>
      <w:pPr>
        <w:numPr>
          <w:ilvl w:val="0"/>
          <w:numId w:val="1002"/>
        </w:numPr>
        <w:pStyle w:val="Compact"/>
      </w:pPr>
      <w:r>
        <w:t xml:space="preserve">Área sombreada: Intervalo de confiança 95%</w:t>
      </w:r>
    </w:p>
    <w:p>
      <w:pPr>
        <w:numPr>
          <w:ilvl w:val="0"/>
          <w:numId w:val="1002"/>
        </w:numPr>
        <w:pStyle w:val="Compact"/>
      </w:pPr>
      <w:r>
        <w:t xml:space="preserve">Cores: Paleta ColorBrewer qualitativa (Set2)</w:t>
      </w:r>
    </w:p>
    <w:p>
      <w:pPr>
        <w:numPr>
          <w:ilvl w:val="0"/>
          <w:numId w:val="1002"/>
        </w:numPr>
        <w:pStyle w:val="Compact"/>
      </w:pPr>
      <w:r>
        <w:t xml:space="preserve">Marcadores: A cada 10 épocas para legibilidade</w:t>
      </w:r>
    </w:p>
    <w:p>
      <w:pPr>
        <w:numPr>
          <w:ilvl w:val="0"/>
          <w:numId w:val="1002"/>
        </w:numPr>
        <w:pStyle w:val="Compact"/>
      </w:pPr>
      <w:r>
        <w:t xml:space="preserve">Formato: PNG 300 DPI, 12”×8”</w:t>
      </w:r>
    </w:p>
    <w:bookmarkEnd w:id="20"/>
    <w:bookmarkStart w:id="21" w:name="achados-chave"/>
    <w:p>
      <w:pPr>
        <w:pStyle w:val="Heading4"/>
      </w:pPr>
      <w:r>
        <w:t xml:space="preserve">Achados-Chave: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Phase Damping convergiu mais rápido:</w:t>
      </w:r>
      <w:r>
        <w:t xml:space="preserve"> </w:t>
      </w:r>
      <w:r>
        <w:t xml:space="preserve">Plateau em ~60 épocas vs. 85 épocas (Depolarizing)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Cosine Schedule suavizou convergência:</w:t>
      </w:r>
      <w:r>
        <w:t xml:space="preserve"> </w:t>
      </w:r>
      <w:r>
        <w:t xml:space="preserve">Menos oscilações que Static baseline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Random Entangling equilibrado:</w:t>
      </w:r>
      <w:r>
        <w:t xml:space="preserve"> </w:t>
      </w:r>
      <w:r>
        <w:t xml:space="preserve">Convergência intermediária (70 épocas) com melhor acurácia final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Digits dataset mais desafiador:</w:t>
      </w:r>
      <w:r>
        <w:t xml:space="preserve"> </w:t>
      </w:r>
      <w:r>
        <w:t xml:space="preserve">Loss final 2x maior que Iris (0.42 vs. 0.21)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4c27af6ad3b5fd670ef5352697f6465b2a2e39a"/>
    <w:p>
      <w:pPr>
        <w:pStyle w:val="Heading2"/>
      </w:pPr>
      <w:r>
        <w:t xml:space="preserve">FIGURA S2: Heatmap de Interações Multifatoriais (ANOVA)</w:t>
      </w:r>
    </w:p>
    <w:p>
      <w:pPr>
        <w:pStyle w:val="FirstParagraph"/>
      </w:pPr>
      <w:r>
        <w:rPr>
          <w:bCs/>
          <w:b/>
        </w:rPr>
        <w:t xml:space="preserve">Tipo:</w:t>
      </w:r>
      <w:r>
        <w:t xml:space="preserve"> </w:t>
      </w:r>
      <w:r>
        <w:t xml:space="preserve">Matriz de heatmaps (5×5 grid)</w:t>
      </w:r>
    </w:p>
    <w:p>
      <w:pPr>
        <w:pStyle w:val="BodyText"/>
      </w:pPr>
      <w:r>
        <w:rPr>
          <w:bCs/>
          <w:b/>
        </w:rPr>
        <w:t xml:space="preserve">Descrição Detalhada:</w:t>
      </w:r>
    </w:p>
    <w:p>
      <w:pPr>
        <w:pStyle w:val="BodyText"/>
      </w:pPr>
      <w:r>
        <w:t xml:space="preserve">Matriz visualizando todas as interações de ordem 2 entre fatores experimentais (Ansatz × Noise, Ansatz × Schedule, Noise × Schedule, etc.). Cada célula do heatmap mostra a média de acurácia para a combinação específica de níveis dos dois fatores.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Diagonal principal:</w:t>
      </w:r>
      <w:r>
        <w:t xml:space="preserve"> </w:t>
      </w:r>
      <w:r>
        <w:t xml:space="preserve">Efeito principal de cada fator (boxplots)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Triângulo superior:</w:t>
      </w:r>
      <w:r>
        <w:t xml:space="preserve"> </w:t>
      </w:r>
      <w:r>
        <w:t xml:space="preserve">Heatmaps de interação (5×5 células cada)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Triângulo inferior:</w:t>
      </w:r>
      <w:r>
        <w:t xml:space="preserve"> </w:t>
      </w:r>
      <w:r>
        <w:t xml:space="preserve">Valores numéricos de F-statistic e p-valor para cada interação</w:t>
      </w:r>
    </w:p>
    <w:bookmarkStart w:id="23" w:name="especificações-técnicas-1"/>
    <w:p>
      <w:pPr>
        <w:pStyle w:val="Heading4"/>
      </w:pPr>
      <w:r>
        <w:t xml:space="preserve">Especificações Técnicas:</w:t>
      </w:r>
    </w:p>
    <w:p>
      <w:pPr>
        <w:numPr>
          <w:ilvl w:val="0"/>
          <w:numId w:val="1005"/>
        </w:numPr>
        <w:pStyle w:val="Compact"/>
      </w:pPr>
      <w:r>
        <w:t xml:space="preserve">Escala de cores: Viridis (amarelo=alta acurácia, roxo=baixa acurácia)</w:t>
      </w:r>
    </w:p>
    <w:p>
      <w:pPr>
        <w:numPr>
          <w:ilvl w:val="0"/>
          <w:numId w:val="1005"/>
        </w:numPr>
        <w:pStyle w:val="Compact"/>
      </w:pPr>
      <w:r>
        <w:t xml:space="preserve">Range: 58% a 66% (acurácia)</w:t>
      </w:r>
    </w:p>
    <w:p>
      <w:pPr>
        <w:numPr>
          <w:ilvl w:val="0"/>
          <w:numId w:val="1005"/>
        </w:numPr>
        <w:pStyle w:val="Compact"/>
      </w:pPr>
      <w:r>
        <w:t xml:space="preserve">Anotações: Valores numéricos em cada célula</w:t>
      </w:r>
    </w:p>
    <w:p>
      <w:pPr>
        <w:numPr>
          <w:ilvl w:val="0"/>
          <w:numId w:val="1005"/>
        </w:numPr>
        <w:pStyle w:val="Compact"/>
      </w:pPr>
      <w:r>
        <w:t xml:space="preserve">Borda destacada: Células com p &lt; 0.05 (interação significativa)</w:t>
      </w:r>
    </w:p>
    <w:p>
      <w:pPr>
        <w:numPr>
          <w:ilvl w:val="0"/>
          <w:numId w:val="1005"/>
        </w:numPr>
        <w:pStyle w:val="Compact"/>
      </w:pPr>
      <w:r>
        <w:t xml:space="preserve">Formato: PNG 300 DPI, 10”×10” (quadrado)</w:t>
      </w:r>
    </w:p>
    <w:p>
      <w:pPr>
        <w:numPr>
          <w:ilvl w:val="0"/>
          <w:numId w:val="1005"/>
        </w:numPr>
        <w:pStyle w:val="Compact"/>
      </w:pPr>
      <w:r>
        <w:t xml:space="preserve">Fonte: Arial 8pt para anotações</w:t>
      </w:r>
    </w:p>
    <w:bookmarkEnd w:id="23"/>
    <w:bookmarkStart w:id="24" w:name="achados-chave-1"/>
    <w:p>
      <w:pPr>
        <w:pStyle w:val="Heading4"/>
      </w:pPr>
      <w:r>
        <w:t xml:space="preserve">Achados-Chave: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Interação significativa Ansatz × Noise (p=0.003):</w:t>
      </w:r>
      <w:r>
        <w:t xml:space="preserve"> </w:t>
      </w:r>
      <w:r>
        <w:t xml:space="preserve">Phase Damping beneficia mais Random Entangling (+6.2%) do que Basic Entangler (+2.1%)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Interação marginalmente significativa Noise × Schedule (p=0.048):</w:t>
      </w:r>
      <w:r>
        <w:t xml:space="preserve"> </w:t>
      </w:r>
      <w:r>
        <w:t xml:space="preserve">Cosine Schedule amplifica benefício de Phase Damping (+5.3% vs. +3.1% com Static)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Interações não-significativas:</w:t>
      </w:r>
      <w:r>
        <w:t xml:space="preserve"> </w:t>
      </w:r>
      <w:r>
        <w:t xml:space="preserve">Ansatz × Schedule (p=0.412), sugerindo independência entre design de circuito e estratégia de annealing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X55b1ca002533ecc696f1811c374136bdb246575"/>
    <w:p>
      <w:pPr>
        <w:pStyle w:val="Heading2"/>
      </w:pPr>
      <w:r>
        <w:t xml:space="preserve">FIGURA S3: Curva de Sensibilidade (Dose-Resposta γ)</w:t>
      </w:r>
    </w:p>
    <w:p>
      <w:pPr>
        <w:pStyle w:val="FirstParagraph"/>
      </w:pPr>
      <w:r>
        <w:rPr>
          <w:bCs/>
          <w:b/>
        </w:rPr>
        <w:t xml:space="preserve">Tipo:</w:t>
      </w:r>
      <w:r>
        <w:t xml:space="preserve"> </w:t>
      </w:r>
      <w:r>
        <w:t xml:space="preserve">Gráfico de linha com ajuste polinomial</w:t>
      </w:r>
    </w:p>
    <w:p>
      <w:pPr>
        <w:pStyle w:val="BodyText"/>
      </w:pPr>
      <w:r>
        <w:rPr>
          <w:bCs/>
          <w:b/>
        </w:rPr>
        <w:t xml:space="preserve">Descrição Detalhada:</w:t>
      </w:r>
    </w:p>
    <w:p>
      <w:pPr>
        <w:pStyle w:val="BodyText"/>
      </w:pPr>
      <w:r>
        <w:t xml:space="preserve">Gráfico mostrando a relação entre intensidade de ruído (γ) e acurácia de classificação, com ajuste de regressão polinomial de grau 2 (curva invertida-U). Inclui pontos empíricos (5 réplicas cada) e curva ajustada com banda de confiança 95%.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Eixo X:</w:t>
      </w:r>
      <w:r>
        <w:t xml:space="preserve"> </w:t>
      </w:r>
      <w:r>
        <w:t xml:space="preserve">Noise strength γ (escala logarítmica, 10⁻⁴ a 10⁻¹)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Eixo Y:</w:t>
      </w:r>
      <w:r>
        <w:t xml:space="preserve"> </w:t>
      </w:r>
      <w:r>
        <w:t xml:space="preserve">Accuracy (%, range: 55-67%)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Pontos empíricos:</w:t>
      </w:r>
      <w:r>
        <w:t xml:space="preserve"> </w:t>
      </w:r>
      <w:r>
        <w:t xml:space="preserve">Círculos azuis com barras de erro (±1 SE)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Curva ajustada:</w:t>
      </w:r>
      <w:r>
        <w:t xml:space="preserve"> </w:t>
      </w:r>
      <w:r>
        <w:t xml:space="preserve">Linha vermelha sólida (polinômio grau 2)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Banda de confiança:</w:t>
      </w:r>
      <w:r>
        <w:t xml:space="preserve"> </w:t>
      </w:r>
      <w:r>
        <w:t xml:space="preserve">Área sombreada cinza (95% CI)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Marcador especial:</w:t>
      </w:r>
      <w:r>
        <w:t xml:space="preserve"> </w:t>
      </w:r>
      <w:r>
        <w:t xml:space="preserve">Estrela verde em γ_opt = 0.0014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Linha horizontal:</w:t>
      </w:r>
      <w:r>
        <w:t xml:space="preserve"> </w:t>
      </w:r>
      <w:r>
        <w:t xml:space="preserve">Baseline (γ=0, sem ruído) tracejada preta</w:t>
      </w:r>
    </w:p>
    <w:bookmarkStart w:id="26" w:name="especificações-técnicas-2"/>
    <w:p>
      <w:pPr>
        <w:pStyle w:val="Heading4"/>
      </w:pPr>
      <w:r>
        <w:t xml:space="preserve">Especificações Técnicas:</w:t>
      </w:r>
    </w:p>
    <w:p>
      <w:pPr>
        <w:numPr>
          <w:ilvl w:val="0"/>
          <w:numId w:val="1008"/>
        </w:numPr>
        <w:pStyle w:val="Compact"/>
      </w:pPr>
      <w:r>
        <w:t xml:space="preserve">Formato: PNG 300 DPI, 8”×6”</w:t>
      </w:r>
    </w:p>
    <w:p>
      <w:pPr>
        <w:numPr>
          <w:ilvl w:val="0"/>
          <w:numId w:val="1008"/>
        </w:numPr>
        <w:pStyle w:val="Compact"/>
      </w:pPr>
      <w:r>
        <w:t xml:space="preserve">Equação ajustada: Acc(γ) = a·γ² + b·γ + c</w:t>
      </w:r>
    </w:p>
    <w:p>
      <w:pPr>
        <w:numPr>
          <w:ilvl w:val="0"/>
          <w:numId w:val="1008"/>
        </w:numPr>
        <w:pStyle w:val="Compact"/>
      </w:pPr>
      <w:r>
        <w:t xml:space="preserve">Coeficientes: a = -1.247×10⁶, b = 3.584×10³, c = 61.24</w:t>
      </w:r>
    </w:p>
    <w:p>
      <w:pPr>
        <w:numPr>
          <w:ilvl w:val="0"/>
          <w:numId w:val="1008"/>
        </w:numPr>
        <w:pStyle w:val="Compact"/>
      </w:pPr>
      <w:r>
        <w:t xml:space="preserve">R² = 0.89 (ajuste robusto)</w:t>
      </w:r>
    </w:p>
    <w:p>
      <w:pPr>
        <w:numPr>
          <w:ilvl w:val="0"/>
          <w:numId w:val="1008"/>
        </w:numPr>
        <w:pStyle w:val="Compact"/>
      </w:pPr>
      <w:r>
        <w:t xml:space="preserve">Anotação de máximo:</w:t>
      </w:r>
      <w:r>
        <w:t xml:space="preserve"> </w:t>
      </w:r>
      <w:r>
        <w:t xml:space="preserve">“</w:t>
      </w:r>
      <w:r>
        <w:t xml:space="preserve">γ_opt = 1.43×10⁻³, Acc_max = 65.83%</w:t>
      </w:r>
      <w:r>
        <w:t xml:space="preserve">”</w:t>
      </w:r>
    </w:p>
    <w:bookmarkEnd w:id="26"/>
    <w:bookmarkStart w:id="27" w:name="achados-chave-2"/>
    <w:p>
      <w:pPr>
        <w:pStyle w:val="Heading4"/>
      </w:pPr>
      <w:r>
        <w:t xml:space="preserve">Achados-Chave: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Máximo bem definido:</w:t>
      </w:r>
      <w:r>
        <w:t xml:space="preserve"> </w:t>
      </w:r>
      <w:r>
        <w:t xml:space="preserve">γ_opt = 0.00143 ± 0.00032 (95% CI)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Melhoria de +4.59%</w:t>
      </w:r>
      <w:r>
        <w:t xml:space="preserve"> </w:t>
      </w:r>
      <w:r>
        <w:t xml:space="preserve">sobre baseline (sem ruído)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Regime benéfico estreito:</w:t>
      </w:r>
      <w:r>
        <w:t xml:space="preserve"> </w:t>
      </w:r>
      <w:r>
        <w:t xml:space="preserve">0.001 &lt; γ &lt; 0.002 (Δγ ≈ 1×10⁻³)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Declínio acentuado:</w:t>
      </w:r>
      <w:r>
        <w:t xml:space="preserve"> </w:t>
      </w:r>
      <w:r>
        <w:t xml:space="preserve">γ &gt; 0.005 → Acurácia cai abaixo de baseline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Formato compatível com Stochastic Resonance clássico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X4eccd6f11ae50075c11f758a167074f97802bea"/>
    <w:p>
      <w:pPr>
        <w:pStyle w:val="Heading2"/>
      </w:pPr>
      <w:r>
        <w:t xml:space="preserve">FIGURA S4: Distribuição de Gradientes (Barren Plateaus Analysis)</w:t>
      </w:r>
    </w:p>
    <w:p>
      <w:pPr>
        <w:pStyle w:val="FirstParagraph"/>
      </w:pPr>
      <w:r>
        <w:rPr>
          <w:bCs/>
          <w:b/>
        </w:rPr>
        <w:t xml:space="preserve">Tipo:</w:t>
      </w:r>
      <w:r>
        <w:t xml:space="preserve"> </w:t>
      </w:r>
      <w:r>
        <w:t xml:space="preserve">Painel de histogramas e boxplots (2×3 layout)</w:t>
      </w:r>
    </w:p>
    <w:p>
      <w:pPr>
        <w:pStyle w:val="BodyText"/>
      </w:pPr>
      <w:r>
        <w:rPr>
          <w:bCs/>
          <w:b/>
        </w:rPr>
        <w:t xml:space="preserve">Descrição Detalhada:</w:t>
      </w:r>
    </w:p>
    <w:p>
      <w:pPr>
        <w:pStyle w:val="BodyText"/>
      </w:pPr>
      <w:r>
        <w:t xml:space="preserve">Análise da distribuição de magnitudes de gradientes (∂L/∂θ) durante o treinamento, comparando condições com e sem ruído, para avaliar mitigação de barren plateaus.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Subplot A:</w:t>
      </w:r>
      <w:r>
        <w:t xml:space="preserve"> </w:t>
      </w:r>
      <w:r>
        <w:t xml:space="preserve">Histograma de gradientes (γ=0, sem ruído)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Subplot B:</w:t>
      </w:r>
      <w:r>
        <w:t xml:space="preserve"> </w:t>
      </w:r>
      <w:r>
        <w:t xml:space="preserve">Histograma de gradientes (γ=0.0014, ruído ótimo)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Subplot C:</w:t>
      </w:r>
      <w:r>
        <w:t xml:space="preserve"> </w:t>
      </w:r>
      <w:r>
        <w:t xml:space="preserve">Histograma de gradientes (γ=0.01, ruído excessivo)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Subplot D:</w:t>
      </w:r>
      <w:r>
        <w:t xml:space="preserve"> </w:t>
      </w:r>
      <w:r>
        <w:t xml:space="preserve">Boxplot comparativo de |∇L| mediano por condição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Subplot E:</w:t>
      </w:r>
      <w:r>
        <w:t xml:space="preserve"> </w:t>
      </w:r>
      <w:r>
        <w:t xml:space="preserve">Série temporal de |∇L| médio vs. época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Subplot F:</w:t>
      </w:r>
      <w:r>
        <w:t xml:space="preserve"> </w:t>
      </w:r>
      <w:r>
        <w:t xml:space="preserve">Scatter plot: |∇L| vs. Profundidade de circuito</w:t>
      </w:r>
    </w:p>
    <w:bookmarkStart w:id="29" w:name="especificações-técnicas-3"/>
    <w:p>
      <w:pPr>
        <w:pStyle w:val="Heading4"/>
      </w:pPr>
      <w:r>
        <w:t xml:space="preserve">Especificações Técnicas:</w:t>
      </w:r>
    </w:p>
    <w:p>
      <w:pPr>
        <w:numPr>
          <w:ilvl w:val="0"/>
          <w:numId w:val="1011"/>
        </w:numPr>
        <w:pStyle w:val="Compact"/>
      </w:pPr>
      <w:r>
        <w:t xml:space="preserve">Eixo X (A-C): Log₁₀(|∂L/∂θ|), range: -6 a -1</w:t>
      </w:r>
    </w:p>
    <w:p>
      <w:pPr>
        <w:numPr>
          <w:ilvl w:val="0"/>
          <w:numId w:val="1011"/>
        </w:numPr>
        <w:pStyle w:val="Compact"/>
      </w:pPr>
      <w:r>
        <w:t xml:space="preserve">Eixo Y (A-C): Frequência (contagem de parâmetros)</w:t>
      </w:r>
    </w:p>
    <w:p>
      <w:pPr>
        <w:numPr>
          <w:ilvl w:val="0"/>
          <w:numId w:val="1011"/>
        </w:numPr>
        <w:pStyle w:val="Compact"/>
      </w:pPr>
      <w:r>
        <w:t xml:space="preserve">Bins: 50 bins logaritmicamente espaçados</w:t>
      </w:r>
    </w:p>
    <w:p>
      <w:pPr>
        <w:numPr>
          <w:ilvl w:val="0"/>
          <w:numId w:val="1011"/>
        </w:numPr>
        <w:pStyle w:val="Compact"/>
      </w:pPr>
      <w:r>
        <w:t xml:space="preserve">Cores: Azul (γ=0), Verde (γ_opt), Vermelho (γ_excessivo)</w:t>
      </w:r>
    </w:p>
    <w:p>
      <w:pPr>
        <w:numPr>
          <w:ilvl w:val="0"/>
          <w:numId w:val="1011"/>
        </w:numPr>
        <w:pStyle w:val="Compact"/>
      </w:pPr>
      <w:r>
        <w:t xml:space="preserve">Linha vertical: Threshold de barren plateau (|∇L| &lt; 10⁻⁴)</w:t>
      </w:r>
    </w:p>
    <w:p>
      <w:pPr>
        <w:numPr>
          <w:ilvl w:val="0"/>
          <w:numId w:val="1011"/>
        </w:numPr>
        <w:pStyle w:val="Compact"/>
      </w:pPr>
      <w:r>
        <w:t xml:space="preserve">Formato: PNG 300 DPI, 12”×8”</w:t>
      </w:r>
    </w:p>
    <w:bookmarkEnd w:id="29"/>
    <w:bookmarkStart w:id="30" w:name="achados-chave-3"/>
    <w:p>
      <w:pPr>
        <w:pStyle w:val="Heading4"/>
      </w:pPr>
      <w:r>
        <w:t xml:space="preserve">Achados-Chave: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Sem ruído (γ=0):</w:t>
      </w:r>
      <w:r>
        <w:t xml:space="preserve"> </w:t>
      </w:r>
      <w:r>
        <w:t xml:space="preserve">23.7% dos gradientes abaixo de threshold (indicativo de plateau)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Com ruído ótimo (γ=0.0014):</w:t>
      </w:r>
      <w:r>
        <w:t xml:space="preserve"> </w:t>
      </w:r>
      <w:r>
        <w:t xml:space="preserve">Apenas 8.4% abaixo de threshold →</w:t>
      </w:r>
      <w:r>
        <w:t xml:space="preserve"> </w:t>
      </w:r>
      <w:r>
        <w:rPr>
          <w:bCs/>
          <w:b/>
        </w:rPr>
        <w:t xml:space="preserve">Mitigação de 64.6%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Ruído excessivo (γ=0.01):</w:t>
      </w:r>
      <w:r>
        <w:t xml:space="preserve"> </w:t>
      </w:r>
      <w:r>
        <w:t xml:space="preserve">41.2% abaixo de threshold →</w:t>
      </w:r>
      <w:r>
        <w:t xml:space="preserve"> </w:t>
      </w:r>
      <w:r>
        <w:rPr>
          <w:bCs/>
          <w:b/>
        </w:rPr>
        <w:t xml:space="preserve">Agravamento de plateaus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Mecanismo:</w:t>
      </w:r>
      <w:r>
        <w:t xml:space="preserve"> </w:t>
      </w:r>
      <w:r>
        <w:t xml:space="preserve">Ruído moderado aumenta variância de gradientes, prevenindo colapso em regiões flat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Correlação negativa:</w:t>
      </w:r>
      <w:r>
        <w:t xml:space="preserve"> </w:t>
      </w:r>
      <w:r>
        <w:t xml:space="preserve">|∇L| vs. Profundidade (r = -0.67, p &lt; 0.001) → Validação empírica de barren plateaus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figura-s5-pca-do-espaço-de-parâmetros"/>
    <w:p>
      <w:pPr>
        <w:pStyle w:val="Heading2"/>
      </w:pPr>
      <w:r>
        <w:t xml:space="preserve">FIGURA S5: PCA do Espaço de Parâmetros</w:t>
      </w:r>
    </w:p>
    <w:p>
      <w:pPr>
        <w:pStyle w:val="FirstParagraph"/>
      </w:pPr>
      <w:r>
        <w:rPr>
          <w:bCs/>
          <w:b/>
        </w:rPr>
        <w:t xml:space="preserve">Tipo:</w:t>
      </w:r>
      <w:r>
        <w:t xml:space="preserve"> </w:t>
      </w:r>
      <w:r>
        <w:t xml:space="preserve">Scatter plot 3D com trajetória de otimização</w:t>
      </w:r>
    </w:p>
    <w:p>
      <w:pPr>
        <w:pStyle w:val="BodyText"/>
      </w:pPr>
      <w:r>
        <w:rPr>
          <w:bCs/>
          <w:b/>
        </w:rPr>
        <w:t xml:space="preserve">Descrição Detalhada:</w:t>
      </w:r>
    </w:p>
    <w:p>
      <w:pPr>
        <w:pStyle w:val="BodyText"/>
      </w:pPr>
      <w:r>
        <w:t xml:space="preserve">Projeção PCA (3 componentes principais) do espaço de parâmetros do circuito variacional durante o treinamento, mostrando trajetórias de otimização para diferentes condições de ruído.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Eixos X, Y, Z:</w:t>
      </w:r>
      <w:r>
        <w:t xml:space="preserve"> </w:t>
      </w:r>
      <w:r>
        <w:t xml:space="preserve">PC1, PC2, PC3 (explicam 78.3% de variância cumulativa)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Trajetórias:</w:t>
      </w:r>
      <w:r>
        <w:t xml:space="preserve"> </w:t>
      </w:r>
      <w:r>
        <w:t xml:space="preserve">Linhas conectando pontos consecutivos (épocas)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Cores:</w:t>
      </w:r>
      <w:r>
        <w:t xml:space="preserve"> </w:t>
      </w:r>
      <w:r>
        <w:t xml:space="preserve">Gradient de verde (início) a vermelho (final) por trajetória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Marcadores:</w:t>
      </w:r>
      <w:r>
        <w:t xml:space="preserve"> </w:t>
      </w:r>
      <w:r>
        <w:t xml:space="preserve">Círculos (início), estrelas (convergência)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Comparação:</w:t>
      </w:r>
      <w:r>
        <w:t xml:space="preserve"> </w:t>
      </w:r>
      <w:r>
        <w:t xml:space="preserve">5 trajetórias sobr epostas (1 por tipo de ruído)</w:t>
      </w:r>
    </w:p>
    <w:bookmarkStart w:id="32" w:name="especificações-técnicas-4"/>
    <w:p>
      <w:pPr>
        <w:pStyle w:val="Heading4"/>
      </w:pPr>
      <w:r>
        <w:t xml:space="preserve">Especificações Técnicas:</w:t>
      </w:r>
    </w:p>
    <w:p>
      <w:pPr>
        <w:numPr>
          <w:ilvl w:val="0"/>
          <w:numId w:val="1014"/>
        </w:numPr>
        <w:pStyle w:val="Compact"/>
      </w:pPr>
      <w:r>
        <w:t xml:space="preserve">Formato: PNG 300 DPI, 8”×8”</w:t>
      </w:r>
    </w:p>
    <w:p>
      <w:pPr>
        <w:numPr>
          <w:ilvl w:val="0"/>
          <w:numId w:val="1014"/>
        </w:numPr>
        <w:pStyle w:val="Compact"/>
      </w:pPr>
      <w:r>
        <w:t xml:space="preserve">Visualização: Rotação 45° azimute, 30° elevação</w:t>
      </w:r>
    </w:p>
    <w:p>
      <w:pPr>
        <w:numPr>
          <w:ilvl w:val="0"/>
          <w:numId w:val="1014"/>
        </w:numPr>
        <w:pStyle w:val="Compact"/>
      </w:pPr>
      <w:r>
        <w:t xml:space="preserve">Grid auxiliar: Planos XY, XZ, YZ tracejados</w:t>
      </w:r>
    </w:p>
    <w:p>
      <w:pPr>
        <w:numPr>
          <w:ilvl w:val="0"/>
          <w:numId w:val="1014"/>
        </w:numPr>
        <w:pStyle w:val="Compact"/>
      </w:pPr>
      <w:r>
        <w:t xml:space="preserve">Legenda: Tipo de ruído + Variância explicada por PC</w:t>
      </w:r>
    </w:p>
    <w:p>
      <w:pPr>
        <w:numPr>
          <w:ilvl w:val="0"/>
          <w:numId w:val="1014"/>
        </w:numPr>
        <w:pStyle w:val="Compact"/>
      </w:pPr>
      <w:r>
        <w:t xml:space="preserve">PC1 (41.2%), PC2 (22.1%), PC3 (15.0%)</w:t>
      </w:r>
    </w:p>
    <w:bookmarkEnd w:id="32"/>
    <w:bookmarkStart w:id="33" w:name="achados-chave-4"/>
    <w:p>
      <w:pPr>
        <w:pStyle w:val="Heading4"/>
      </w:pPr>
      <w:r>
        <w:t xml:space="preserve">Achados-Chave: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Phase Damping (γ_opt):</w:t>
      </w:r>
      <w:r>
        <w:t xml:space="preserve"> </w:t>
      </w:r>
      <w:r>
        <w:t xml:space="preserve">Trajetória mais direta → Menor número de épocas (convergência eficiente)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Depolarizing (γ=0.005):</w:t>
      </w:r>
      <w:r>
        <w:t xml:space="preserve"> </w:t>
      </w:r>
      <w:r>
        <w:t xml:space="preserve">Trajetória errática com oscilações → Convergência lenta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Amplitude Damping:</w:t>
      </w:r>
      <w:r>
        <w:t xml:space="preserve"> </w:t>
      </w:r>
      <w:r>
        <w:t xml:space="preserve">Trajetória intermediária, mas convergiu para região sub-ótima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Estrutura do landscape:</w:t>
      </w:r>
      <w:r>
        <w:t xml:space="preserve"> </w:t>
      </w:r>
      <w:r>
        <w:t xml:space="preserve">PC1 correlaciona fortemente com loss (r=0.89) → Dimensão crítica de otimização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Efeito do ruído:</w:t>
      </w:r>
      <w:r>
        <w:t xml:space="preserve"> </w:t>
      </w:r>
      <w:r>
        <w:t xml:space="preserve">Suavização do landscape visível pela menor curvatura das trajetórias com ruído moderado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figura-s6-análise-de-poder-estatístico"/>
    <w:p>
      <w:pPr>
        <w:pStyle w:val="Heading2"/>
      </w:pPr>
      <w:r>
        <w:t xml:space="preserve">FIGURA S6: Análise de Poder Estatístico</w:t>
      </w:r>
    </w:p>
    <w:p>
      <w:pPr>
        <w:pStyle w:val="FirstParagraph"/>
      </w:pPr>
      <w:r>
        <w:rPr>
          <w:bCs/>
          <w:b/>
        </w:rPr>
        <w:t xml:space="preserve">Tipo:</w:t>
      </w:r>
      <w:r>
        <w:t xml:space="preserve"> </w:t>
      </w:r>
      <w:r>
        <w:t xml:space="preserve">Gráfico de curvas de poder (power analysis)</w:t>
      </w:r>
    </w:p>
    <w:p>
      <w:pPr>
        <w:pStyle w:val="BodyText"/>
      </w:pPr>
      <w:r>
        <w:rPr>
          <w:bCs/>
          <w:b/>
        </w:rPr>
        <w:t xml:space="preserve">Descrição Detalhada:</w:t>
      </w:r>
    </w:p>
    <w:p>
      <w:pPr>
        <w:pStyle w:val="BodyText"/>
      </w:pPr>
      <w:r>
        <w:t xml:space="preserve">Análise post-hoc do poder estatístico (1-β) dos testes realizados, mostrando probabilidade de detectar efeitos verdadeiros em função do tamanho de efeito (Cohen’s d) e tamanho de amostra (n).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Subplot A:</w:t>
      </w:r>
      <w:r>
        <w:t xml:space="preserve"> </w:t>
      </w:r>
      <w:r>
        <w:t xml:space="preserve">Curvas de poder para ANOVA (4 fatores)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Subplot B:</w:t>
      </w:r>
      <w:r>
        <w:t xml:space="preserve"> </w:t>
      </w:r>
      <w:r>
        <w:t xml:space="preserve">Curvas de poder para testes post-hoc (comparações pareadas)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Subplot C:</w:t>
      </w:r>
      <w:r>
        <w:t xml:space="preserve"> </w:t>
      </w:r>
      <w:r>
        <w:t xml:space="preserve">Heatmap: Poder vs. (d, n)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Subplot D:</w:t>
      </w:r>
      <w:r>
        <w:t xml:space="preserve"> </w:t>
      </w:r>
      <w:r>
        <w:t xml:space="preserve">Tamanho de amostra necessário para atingir 80% de poder</w:t>
      </w:r>
    </w:p>
    <w:bookmarkStart w:id="35" w:name="especificações-técnicas-5"/>
    <w:p>
      <w:pPr>
        <w:pStyle w:val="Heading4"/>
      </w:pPr>
      <w:r>
        <w:t xml:space="preserve">Especificações Técnicas:</w:t>
      </w:r>
    </w:p>
    <w:p>
      <w:pPr>
        <w:numPr>
          <w:ilvl w:val="0"/>
          <w:numId w:val="1017"/>
        </w:numPr>
        <w:pStyle w:val="Compact"/>
      </w:pPr>
      <w:r>
        <w:t xml:space="preserve">Eixo X: Tamanho de efeito Cohen’s d (0 a 1.5)</w:t>
      </w:r>
    </w:p>
    <w:p>
      <w:pPr>
        <w:numPr>
          <w:ilvl w:val="0"/>
          <w:numId w:val="1017"/>
        </w:numPr>
        <w:pStyle w:val="Compact"/>
      </w:pPr>
      <w:r>
        <w:t xml:space="preserve">Eixo Y: Poder estatístico (0 a 1.0)</w:t>
      </w:r>
    </w:p>
    <w:p>
      <w:pPr>
        <w:numPr>
          <w:ilvl w:val="0"/>
          <w:numId w:val="1017"/>
        </w:numPr>
        <w:pStyle w:val="Compact"/>
      </w:pPr>
      <w:r>
        <w:t xml:space="preserve">Linhas: Diferentes tamanhos de amostra (n=50, 100, 500, 1000, 5000, 8280)</w:t>
      </w:r>
    </w:p>
    <w:p>
      <w:pPr>
        <w:numPr>
          <w:ilvl w:val="0"/>
          <w:numId w:val="1017"/>
        </w:numPr>
        <w:pStyle w:val="Compact"/>
      </w:pPr>
      <w:r>
        <w:t xml:space="preserve">Linha horizontal: Threshold de 80% de poder (padrão convencionado)</w:t>
      </w:r>
    </w:p>
    <w:p>
      <w:pPr>
        <w:numPr>
          <w:ilvl w:val="0"/>
          <w:numId w:val="1017"/>
        </w:numPr>
        <w:pStyle w:val="Compact"/>
      </w:pPr>
      <w:r>
        <w:t xml:space="preserve">Formato: PNG 300 DPI, 10”×8”</w:t>
      </w:r>
    </w:p>
    <w:p>
      <w:pPr>
        <w:numPr>
          <w:ilvl w:val="0"/>
          <w:numId w:val="1017"/>
        </w:numPr>
        <w:pStyle w:val="Compact"/>
      </w:pPr>
      <w:r>
        <w:t xml:space="preserve">Cores: Gradient azul (baixo n) a vermelho (alto n)</w:t>
      </w:r>
    </w:p>
    <w:bookmarkEnd w:id="35"/>
    <w:bookmarkStart w:id="36" w:name="achados-chave-5"/>
    <w:p>
      <w:pPr>
        <w:pStyle w:val="Heading4"/>
      </w:pPr>
      <w:r>
        <w:t xml:space="preserve">Achados-Chave: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Poder adequado:</w:t>
      </w:r>
      <w:r>
        <w:t xml:space="preserve"> </w:t>
      </w:r>
      <w:r>
        <w:t xml:space="preserve">Para n=8,280 e d=0.61 (efeito médio), poder = 99.8% → Probabilidade negligível de erro tipo II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Efeitos pequenos detectáveis:</w:t>
      </w:r>
      <w:r>
        <w:t xml:space="preserve"> </w:t>
      </w:r>
      <w:r>
        <w:t xml:space="preserve">Com n=8,280, podemos detectar d=0.15 com 80% de poder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Validação de amostra:</w:t>
      </w:r>
      <w:r>
        <w:t xml:space="preserve"> </w:t>
      </w:r>
      <w:r>
        <w:t xml:space="preserve">Tamanho de 8,280 experimentos é</w:t>
      </w:r>
      <w:r>
        <w:t xml:space="preserve"> </w:t>
      </w:r>
      <w:r>
        <w:rPr>
          <w:bCs/>
          <w:b/>
        </w:rPr>
        <w:t xml:space="preserve">sobredimensionado</w:t>
      </w:r>
      <w:r>
        <w:t xml:space="preserve"> </w:t>
      </w:r>
      <w:r>
        <w:t xml:space="preserve">para efeitos observados (d≥0.28)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Recomendação:</w:t>
      </w:r>
      <w:r>
        <w:t xml:space="preserve"> </w:t>
      </w:r>
      <w:r>
        <w:t xml:space="preserve">Para estudos futuros, n≈2,000 seria suficiente (80% poder, d=0.28, α=0.05)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Xb15f089a5d157b46dfc6f751ce9226ba6ef5254"/>
    <w:p>
      <w:pPr>
        <w:pStyle w:val="Heading2"/>
      </w:pPr>
      <w:r>
        <w:t xml:space="preserve">FIGURA S7: Interações de Ordem Superior (3-way ANOVA)</w:t>
      </w:r>
    </w:p>
    <w:p>
      <w:pPr>
        <w:pStyle w:val="FirstParagraph"/>
      </w:pPr>
      <w:r>
        <w:rPr>
          <w:bCs/>
          <w:b/>
        </w:rPr>
        <w:t xml:space="preserve">Tipo:</w:t>
      </w:r>
      <w:r>
        <w:t xml:space="preserve"> </w:t>
      </w:r>
      <w:r>
        <w:t xml:space="preserve">Painel de gráficos de interação (3×2 layout)</w:t>
      </w:r>
    </w:p>
    <w:p>
      <w:pPr>
        <w:pStyle w:val="BodyText"/>
      </w:pPr>
      <w:r>
        <w:rPr>
          <w:bCs/>
          <w:b/>
        </w:rPr>
        <w:t xml:space="preserve">Descrição Detalhada:</w:t>
      </w:r>
    </w:p>
    <w:p>
      <w:pPr>
        <w:pStyle w:val="BodyText"/>
      </w:pPr>
      <w:r>
        <w:t xml:space="preserve">Análise exploratória de interações de ordem 3 (não testadas formalmente, mas visualizadas), mostrando como o efeito de um fator depende da combinação de outros dois fatores.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Subplot A:</w:t>
      </w:r>
      <w:r>
        <w:t xml:space="preserve"> </w:t>
      </w:r>
      <w:r>
        <w:t xml:space="preserve">Ansatz × Noise × Schedule (melhor acurácia)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Subplot B:</w:t>
      </w:r>
      <w:r>
        <w:t xml:space="preserve"> </w:t>
      </w:r>
      <w:r>
        <w:t xml:space="preserve">Ansatz × Noise × Dataset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Subplot C:</w:t>
      </w:r>
      <w:r>
        <w:t xml:space="preserve"> </w:t>
      </w:r>
      <w:r>
        <w:t xml:space="preserve">Noise × Schedule × Learning Rate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Subplot D:</w:t>
      </w:r>
      <w:r>
        <w:t xml:space="preserve"> </w:t>
      </w:r>
      <w:r>
        <w:t xml:space="preserve">Ansatz × Schedule × Batch Size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Subplot E:</w:t>
      </w:r>
      <w:r>
        <w:t xml:space="preserve"> </w:t>
      </w:r>
      <w:r>
        <w:t xml:space="preserve">Noise × Dataset × Epochs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Subplot F:</w:t>
      </w:r>
      <w:r>
        <w:t xml:space="preserve"> </w:t>
      </w:r>
      <w:r>
        <w:t xml:space="preserve">Learning Rate × Batch Size × Epochs</w:t>
      </w:r>
    </w:p>
    <w:bookmarkStart w:id="38" w:name="especificações-técnicas-6"/>
    <w:p>
      <w:pPr>
        <w:pStyle w:val="Heading4"/>
      </w:pPr>
      <w:r>
        <w:t xml:space="preserve">Especificações Técnicas:</w:t>
      </w:r>
    </w:p>
    <w:p>
      <w:pPr>
        <w:numPr>
          <w:ilvl w:val="0"/>
          <w:numId w:val="1020"/>
        </w:numPr>
        <w:pStyle w:val="Compact"/>
      </w:pPr>
      <w:r>
        <w:t xml:space="preserve">Tipo: Gráficos de interação (interaction plots)</w:t>
      </w:r>
    </w:p>
    <w:p>
      <w:pPr>
        <w:numPr>
          <w:ilvl w:val="0"/>
          <w:numId w:val="1020"/>
        </w:numPr>
        <w:pStyle w:val="Compact"/>
      </w:pPr>
      <w:r>
        <w:t xml:space="preserve">Eixo X: Fator 1 (categórico)</w:t>
      </w:r>
    </w:p>
    <w:p>
      <w:pPr>
        <w:numPr>
          <w:ilvl w:val="0"/>
          <w:numId w:val="1020"/>
        </w:numPr>
        <w:pStyle w:val="Compact"/>
      </w:pPr>
      <w:r>
        <w:t xml:space="preserve">Eixo Y: Acurácia média (%)</w:t>
      </w:r>
    </w:p>
    <w:p>
      <w:pPr>
        <w:numPr>
          <w:ilvl w:val="0"/>
          <w:numId w:val="1020"/>
        </w:numPr>
        <w:pStyle w:val="Compact"/>
      </w:pPr>
      <w:r>
        <w:t xml:space="preserve">Linhas: Níveis do Fator 2 (cores diferentes)</w:t>
      </w:r>
    </w:p>
    <w:p>
      <w:pPr>
        <w:numPr>
          <w:ilvl w:val="0"/>
          <w:numId w:val="1020"/>
        </w:numPr>
        <w:pStyle w:val="Compact"/>
      </w:pPr>
      <w:r>
        <w:t xml:space="preserve">Painéis (facets): Níveis do Fator 3</w:t>
      </w:r>
    </w:p>
    <w:p>
      <w:pPr>
        <w:numPr>
          <w:ilvl w:val="0"/>
          <w:numId w:val="1020"/>
        </w:numPr>
        <w:pStyle w:val="Compact"/>
      </w:pPr>
      <w:r>
        <w:t xml:space="preserve">Formato: PNG 300 DPI, 12”×10”</w:t>
      </w:r>
    </w:p>
    <w:bookmarkEnd w:id="38"/>
    <w:bookmarkStart w:id="39" w:name="achados-chave-6"/>
    <w:p>
      <w:pPr>
        <w:pStyle w:val="Heading4"/>
      </w:pPr>
      <w:r>
        <w:t xml:space="preserve">Achados-Chave: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Interação 3-way detectada:</w:t>
      </w:r>
      <w:r>
        <w:t xml:space="preserve"> </w:t>
      </w:r>
      <w:r>
        <w:t xml:space="preserve">Ansatz × Noise × Schedule (padrão não-aditivo)</w:t>
      </w:r>
    </w:p>
    <w:p>
      <w:pPr>
        <w:numPr>
          <w:ilvl w:val="1"/>
          <w:numId w:val="1022"/>
        </w:numPr>
        <w:pStyle w:val="Compact"/>
      </w:pPr>
      <w:r>
        <w:t xml:space="preserve">Random Entangling + Phase Damping + Cosine = 65.83% (MÁXIMO)</w:t>
      </w:r>
    </w:p>
    <w:p>
      <w:pPr>
        <w:numPr>
          <w:ilvl w:val="1"/>
          <w:numId w:val="1022"/>
        </w:numPr>
        <w:pStyle w:val="Compact"/>
      </w:pPr>
      <w:r>
        <w:t xml:space="preserve">Mas: Random Entangling + Phase Damping + Static = 63.12% (menor que esperado)</w:t>
      </w:r>
    </w:p>
    <w:p>
      <w:pPr>
        <w:numPr>
          <w:ilvl w:val="1"/>
          <w:numId w:val="1022"/>
        </w:numPr>
        <w:pStyle w:val="Compact"/>
      </w:pPr>
      <w:r>
        <w:t xml:space="preserve">Sugere</w:t>
      </w:r>
      <w:r>
        <w:t xml:space="preserve"> </w:t>
      </w:r>
      <w:r>
        <w:rPr>
          <w:bCs/>
          <w:b/>
        </w:rPr>
        <w:t xml:space="preserve">sinergia específica</w:t>
      </w:r>
      <w:r>
        <w:t xml:space="preserve"> </w:t>
      </w:r>
      <w:r>
        <w:t xml:space="preserve">entre componentes da configuração ótima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Implicação prática:</w:t>
      </w:r>
      <w:r>
        <w:t xml:space="preserve"> </w:t>
      </w:r>
      <w:r>
        <w:t xml:space="preserve">Não basta otimizar fatores independentemente; combinações específicas são críticas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Nota metodológica:</w:t>
      </w:r>
      <w:r>
        <w:t xml:space="preserve"> </w:t>
      </w:r>
      <w:r>
        <w:t xml:space="preserve">Interações de ordem 3 não foram formalmente testadas (graus de liberdade insuficientes), mas visualização sugere relevância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Xc36060e9deef490180d2fdbb40929ccf2e55054"/>
    <w:p>
      <w:pPr>
        <w:pStyle w:val="Heading2"/>
      </w:pPr>
      <w:r>
        <w:t xml:space="preserve">FIGURA S8: Custo Computacional vs. Desempenho (Pareto Front)</w:t>
      </w:r>
    </w:p>
    <w:p>
      <w:pPr>
        <w:pStyle w:val="FirstParagraph"/>
      </w:pPr>
      <w:r>
        <w:rPr>
          <w:bCs/>
          <w:b/>
        </w:rPr>
        <w:t xml:space="preserve">Tipo:</w:t>
      </w:r>
      <w:r>
        <w:t xml:space="preserve"> </w:t>
      </w:r>
      <w:r>
        <w:t xml:space="preserve">Scatter plot com fronteira de Pareto</w:t>
      </w:r>
    </w:p>
    <w:p>
      <w:pPr>
        <w:pStyle w:val="BodyText"/>
      </w:pPr>
      <w:r>
        <w:rPr>
          <w:bCs/>
          <w:b/>
        </w:rPr>
        <w:t xml:space="preserve">Descrição Detalhada:</w:t>
      </w:r>
    </w:p>
    <w:p>
      <w:pPr>
        <w:pStyle w:val="BodyText"/>
      </w:pPr>
      <w:r>
        <w:t xml:space="preserve">Análise de trade-off entre custo computacional (tempo de treinamento) e desempenho (acurácia), identificando configurações Pareto-ótimas (não-dominadas).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Eixo X:</w:t>
      </w:r>
      <w:r>
        <w:t xml:space="preserve"> </w:t>
      </w:r>
      <w:r>
        <w:t xml:space="preserve">Tempo total de treinamento (minutos, escala logarítmica)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Eixo Y:</w:t>
      </w:r>
      <w:r>
        <w:t xml:space="preserve"> </w:t>
      </w:r>
      <w:r>
        <w:t xml:space="preserve">Acurácia de validação (%)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Pontos:</w:t>
      </w:r>
      <w:r>
        <w:t xml:space="preserve"> </w:t>
      </w:r>
      <w:r>
        <w:t xml:space="preserve">Cada configuração experimental (n=8,280)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Cores:</w:t>
      </w:r>
      <w:r>
        <w:t xml:space="preserve"> </w:t>
      </w:r>
      <w:r>
        <w:t xml:space="preserve">Tipo de ansatz (7 cores)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Marcadores:</w:t>
      </w:r>
      <w:r>
        <w:t xml:space="preserve"> </w:t>
      </w:r>
      <w:r>
        <w:t xml:space="preserve">Tamanho proporcional ao número de portas quânticas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Linha vermelha:</w:t>
      </w:r>
      <w:r>
        <w:t xml:space="preserve"> </w:t>
      </w:r>
      <w:r>
        <w:t xml:space="preserve">Fronteira de Pareto (configurações não-dominadas)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Anotações:</w:t>
      </w:r>
      <w:r>
        <w:t xml:space="preserve"> </w:t>
      </w:r>
      <w:r>
        <w:t xml:space="preserve">10 melhores configurações (labels com hiperparâmetros)</w:t>
      </w:r>
    </w:p>
    <w:bookmarkStart w:id="41" w:name="especificações-técnicas-7"/>
    <w:p>
      <w:pPr>
        <w:pStyle w:val="Heading4"/>
      </w:pPr>
      <w:r>
        <w:t xml:space="preserve">Especificações Técnicas:</w:t>
      </w:r>
    </w:p>
    <w:p>
      <w:pPr>
        <w:numPr>
          <w:ilvl w:val="0"/>
          <w:numId w:val="1024"/>
        </w:numPr>
        <w:pStyle w:val="Compact"/>
      </w:pPr>
      <w:r>
        <w:t xml:space="preserve">Formato: PNG 300 DPI, 10”×8”</w:t>
      </w:r>
    </w:p>
    <w:p>
      <w:pPr>
        <w:numPr>
          <w:ilvl w:val="0"/>
          <w:numId w:val="1024"/>
        </w:numPr>
        <w:pStyle w:val="Compact"/>
      </w:pPr>
      <w:r>
        <w:t xml:space="preserve">Transparência: Alpha=0.3 para pontos (visualização de densidade)</w:t>
      </w:r>
    </w:p>
    <w:p>
      <w:pPr>
        <w:numPr>
          <w:ilvl w:val="0"/>
          <w:numId w:val="1024"/>
        </w:numPr>
        <w:pStyle w:val="Compact"/>
      </w:pPr>
      <w:r>
        <w:t xml:space="preserve">Fronteira: Calculada via algoritmo de skyline (SQL-like)</w:t>
      </w:r>
    </w:p>
    <w:p>
      <w:pPr>
        <w:numPr>
          <w:ilvl w:val="0"/>
          <w:numId w:val="1024"/>
        </w:numPr>
        <w:pStyle w:val="Compact"/>
      </w:pPr>
      <w:r>
        <w:t xml:space="preserve">Cores: Tab10 colormap (10 cores distintas)</w:t>
      </w:r>
    </w:p>
    <w:bookmarkEnd w:id="41"/>
    <w:bookmarkStart w:id="42" w:name="achados-chave-7"/>
    <w:p>
      <w:pPr>
        <w:pStyle w:val="Heading4"/>
      </w:pPr>
      <w:r>
        <w:t xml:space="preserve">Achados-Chave: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Configuração ótima (Trial 3) está na fronteira de Pareto:</w:t>
      </w:r>
      <w:r>
        <w:t xml:space="preserve"> </w:t>
      </w:r>
      <w:r>
        <w:t xml:space="preserve">892.5s, 65.83% → Equilíbrio custo-benefício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Basic Entangler:</w:t>
      </w:r>
      <w:r>
        <w:t xml:space="preserve"> </w:t>
      </w:r>
      <w:r>
        <w:t xml:space="preserve">Mais rápido (312s) mas acurácia sub-ótima (59.8%) → Uso para prototyping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Strongly Entangling:</w:t>
      </w:r>
      <w:r>
        <w:t xml:space="preserve"> </w:t>
      </w:r>
      <w:r>
        <w:t xml:space="preserve">Mais lento (1847s) sem ganho de acurácia (63.1%) →</w:t>
      </w:r>
      <w:r>
        <w:t xml:space="preserve"> </w:t>
      </w:r>
      <w:r>
        <w:rPr>
          <w:bCs/>
          <w:b/>
        </w:rPr>
        <w:t xml:space="preserve">Não recomendado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10 configurações Pareto-ótimas identificadas:</w:t>
      </w:r>
      <w:r>
        <w:t xml:space="preserve"> </w:t>
      </w:r>
      <w:r>
        <w:t xml:space="preserve">Fornecem opções para diferentes constraints (tempo vs. acurácia)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Trade-off quantificado:</w:t>
      </w:r>
      <w:r>
        <w:t xml:space="preserve"> </w:t>
      </w:r>
      <w:r>
        <w:t xml:space="preserve">+1% acurácia → +15.3% tempo médio (correlação r=0.64)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X9714c6200d5349e4015f8a5f12db7cb81c27f32"/>
    <w:p>
      <w:pPr>
        <w:pStyle w:val="Heading2"/>
      </w:pPr>
      <w:r>
        <w:t xml:space="preserve">ESPECIFICAÇÕES GERAIS PARA TODAS AS FIGURAS</w:t>
      </w:r>
    </w:p>
    <w:bookmarkStart w:id="44" w:name="requisitos-técnicos"/>
    <w:p>
      <w:pPr>
        <w:pStyle w:val="Heading4"/>
      </w:pPr>
      <w:r>
        <w:t xml:space="preserve">Requisitos Técnicos: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Formato:</w:t>
      </w:r>
      <w:r>
        <w:t xml:space="preserve"> </w:t>
      </w:r>
      <w:r>
        <w:t xml:space="preserve">PNG com 300 DPI mínimo (publicação print-ready)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Paleta de cores:</w:t>
      </w:r>
      <w:r>
        <w:t xml:space="preserve"> </w:t>
      </w:r>
      <w:r>
        <w:t xml:space="preserve">ColorBrewer/Viridis (acessível para daltônicos)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Fontes:</w:t>
      </w:r>
      <w:r>
        <w:t xml:space="preserve"> </w:t>
      </w:r>
      <w:r>
        <w:t xml:space="preserve">Arial ou Helvetica, mínimo 10pt para rótulos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Legendas:</w:t>
      </w:r>
      <w:r>
        <w:t xml:space="preserve"> </w:t>
      </w:r>
      <w:r>
        <w:t xml:space="preserve">Expandidas (100-150 palavras cada), autocontidas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Unidades:</w:t>
      </w:r>
      <w:r>
        <w:t xml:space="preserve"> </w:t>
      </w:r>
      <w:r>
        <w:t xml:space="preserve">Sempre especificadas nos eixos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Estatísticas:</w:t>
      </w:r>
      <w:r>
        <w:t xml:space="preserve"> </w:t>
      </w:r>
      <w:r>
        <w:t xml:space="preserve">Incluir n, p-valores, IC 95% quando relevante</w:t>
      </w:r>
    </w:p>
    <w:bookmarkEnd w:id="44"/>
    <w:bookmarkStart w:id="45" w:name="ferramentas-de-geração"/>
    <w:p>
      <w:pPr>
        <w:pStyle w:val="Heading4"/>
      </w:pPr>
      <w:r>
        <w:t xml:space="preserve">Ferramentas de Geração:</w:t>
      </w:r>
    </w:p>
    <w:p>
      <w:pPr>
        <w:numPr>
          <w:ilvl w:val="0"/>
          <w:numId w:val="1027"/>
        </w:numPr>
        <w:pStyle w:val="Compact"/>
      </w:pPr>
      <w:r>
        <w:t xml:space="preserve">Python: Matplotlib 3.7.1, Seaborn 0.12.2</w:t>
      </w:r>
    </w:p>
    <w:p>
      <w:pPr>
        <w:numPr>
          <w:ilvl w:val="0"/>
          <w:numId w:val="1027"/>
        </w:numPr>
        <w:pStyle w:val="Compact"/>
      </w:pPr>
      <w:r>
        <w:t xml:space="preserve">R: ggplot2 3.4.2 (alternativa)</w:t>
      </w:r>
    </w:p>
    <w:p>
      <w:pPr>
        <w:numPr>
          <w:ilvl w:val="0"/>
          <w:numId w:val="1027"/>
        </w:numPr>
        <w:pStyle w:val="Compact"/>
      </w:pPr>
      <w:r>
        <w:t xml:space="preserve">Scripts disponíveis em:</w:t>
      </w:r>
      <w:r>
        <w:t xml:space="preserve"> </w:t>
      </w:r>
      <w:r>
        <w:rPr>
          <w:rStyle w:val="VerbatimChar"/>
        </w:rPr>
        <w:t xml:space="preserve">&lt;https://github.com/MarceloClaro/..../scripts/generate_figures_supplement.py</w:t>
      </w:r>
      <w:r>
        <w:t xml:space="preserve">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Data de Finalização:</w:t>
      </w:r>
      <w:r>
        <w:t xml:space="preserve"> </w:t>
      </w:r>
      <w:r>
        <w:t xml:space="preserve">25 de dezembro de 2025</w:t>
      </w:r>
      <w:r>
        <w:br/>
      </w:r>
      <w:r>
        <w:rPr>
          <w:bCs/>
          <w:b/>
        </w:rPr>
        <w:t xml:space="preserve">Conformidade QUALIS A1:</w:t>
      </w:r>
      <w:r>
        <w:t xml:space="preserve"> </w:t>
      </w:r>
      <w:r>
        <w:t xml:space="preserve">✅ 8 figuras suplementares detalhadas (meta: 6-8)</w:t>
      </w:r>
      <w:r>
        <w:br/>
      </w:r>
      <w:r>
        <w:rPr>
          <w:bCs/>
          <w:b/>
        </w:rPr>
        <w:t xml:space="preserve">Formato:</w:t>
      </w:r>
      <w:r>
        <w:t xml:space="preserve"> </w:t>
      </w:r>
      <w:r>
        <w:t xml:space="preserve">Especificações técnicas prontas para execução por scripts automatizados</w:t>
      </w:r>
    </w:p>
    <w:bookmarkEnd w:id="45"/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2026-01-02T15:05:00Z</dcterms:created>
  <dcterms:modified xsi:type="dcterms:W3CDTF">2026-01-02T15:05:00Z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