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X279461e19cd90fddea35c0d7002998b4affedc4"/>
    <w:p>
      <w:pPr>
        <w:pStyle w:val="Heading1"/>
      </w:pPr>
      <w:r>
        <w:t xml:space="preserve">APÊNDICE D: Métrica de Fubini-Study e Geometria Quântica</w:t>
      </w:r>
    </w:p>
    <w:p>
      <w:pPr>
        <w:pStyle w:val="FirstParagraph"/>
      </w:pPr>
      <w:r>
        <w:rPr>
          <w:bCs/>
          <w:b/>
        </w:rPr>
        <w:t xml:space="preserve">Data:</w:t>
      </w:r>
      <w:r>
        <w:t xml:space="preserve"> </w:t>
      </w:r>
      <w:r>
        <w:t xml:space="preserve">02 de janeiro de 2026</w:t>
      </w:r>
      <w:r>
        <w:br/>
      </w:r>
      <w:r>
        <w:rPr>
          <w:bCs/>
          <w:b/>
        </w:rPr>
        <w:t xml:space="preserve">Seção:</w:t>
      </w:r>
      <w:r>
        <w:t xml:space="preserve"> </w:t>
      </w:r>
      <w:r>
        <w:t xml:space="preserve">Apêndice D - Métrica de Fubini-Study (~1.000 palavras)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Novo conteúdo para expansão Qualis A1</w:t>
      </w:r>
    </w:p>
    <w:p>
      <w:r>
        <w:pict>
          <v:rect style="width:0;height:1.5pt" o:hralign="center" o:hrstd="t" o:hr="t"/>
        </w:pict>
      </w:r>
    </w:p>
    <w:bookmarkStart w:id="23" w:name="d.1-definição-da-métrica-de-fubini-study"/>
    <w:p>
      <w:pPr>
        <w:pStyle w:val="Heading2"/>
      </w:pPr>
      <w:r>
        <w:t xml:space="preserve">D.1 DEFINIÇÃO DA MÉTRICA DE FUBINI-STUDY</w:t>
      </w:r>
    </w:p>
    <w:p>
      <w:pPr>
        <w:pStyle w:val="FirstParagraph"/>
      </w:pPr>
      <w:r>
        <w:t xml:space="preserve">A métrica de Fubini-Study (FS) é a métrica Riemanniana natural no espaço projetivo de estados quânticos puros</w:t>
      </w:r>
      <w:r>
        <w:t xml:space="preserve"> </w:t>
      </w:r>
      <m:oMath>
        <m:r>
          <m:rPr>
            <m:sty m:val="p"/>
            <m:scr m:val="script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H</m:t>
            </m:r>
          </m:e>
        </m:d>
      </m:oMath>
      <w:r>
        <w:t xml:space="preserve">, definindo a noção de</w:t>
      </w:r>
      <w:r>
        <w:t xml:space="preserve"> </w:t>
      </w:r>
      <w:r>
        <w:t xml:space="preserve">“</w:t>
      </w:r>
      <w:r>
        <w:t xml:space="preserve">distância</w:t>
      </w:r>
      <w:r>
        <w:t xml:space="preserve">”</w:t>
      </w:r>
      <w:r>
        <w:t xml:space="preserve"> </w:t>
      </w:r>
      <w:r>
        <w:t xml:space="preserve">entre estados quânticos.</w:t>
      </w:r>
    </w:p>
    <w:bookmarkStart w:id="20" w:name="d.1.1-definição-formal"/>
    <w:p>
      <w:pPr>
        <w:pStyle w:val="Heading3"/>
      </w:pPr>
      <w:r>
        <w:t xml:space="preserve">D.1.1 Definição Formal</w:t>
      </w:r>
    </w:p>
    <w:p>
      <w:pPr>
        <w:pStyle w:val="FirstParagraph"/>
      </w:pPr>
      <w:r>
        <w:t xml:space="preserve">Para estados puros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⟩</m:t>
        </m:r>
      </m:oMath>
      <w:r>
        <w:t xml:space="preserve"> </w:t>
      </w:r>
      <w:r>
        <w:t xml:space="preserve">parametrizados por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sSup>
          <m:e>
            <m:r>
              <m:rPr>
                <m:sty m:val="p"/>
                <m:scr m:val="double-struck"/>
              </m:rPr>
              <m:t>R</m:t>
            </m:r>
          </m:e>
          <m:sup>
            <m:r>
              <m:t>p</m:t>
            </m:r>
          </m:sup>
        </m:sSup>
      </m:oMath>
      <w:r>
        <w:t xml:space="preserve">, a métrica FS é o tensor métrico: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F</m:t>
              </m:r>
              <m:r>
                <m:t>S</m:t>
              </m:r>
            </m:sup>
          </m:sSubSup>
          <m:d>
            <m:dPr>
              <m:begChr m:val="("/>
              <m:endChr m:val=")"/>
              <m:sepChr m:val=""/>
              <m:grow/>
            </m:dPr>
            <m:e>
              <m:r>
                <m:t>θ</m:t>
              </m:r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i</m:t>
              </m:r>
            </m:sub>
          </m:sSub>
          <m:r>
            <m:t>ψ</m:t>
          </m:r>
          <m:d>
            <m:dPr>
              <m:begChr m:val="|"/>
              <m:endChr m:val="|"/>
              <m:sepChr m:val=""/>
              <m:grow/>
            </m:dPr>
            <m:e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j</m:t>
                  </m:r>
                </m:sub>
              </m:sSub>
              <m:r>
                <m:t>ψ</m:t>
              </m:r>
              <m:r>
                <m:rPr>
                  <m:sty m:val="p"/>
                </m:rPr>
                <m:t>⟩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Re</m:t>
              </m:r>
              <m:r>
                <m:rPr>
                  <m:sty m:val="p"/>
                </m:rPr>
                <m:t>⟨</m:t>
              </m:r>
              <m:sSub>
                <m:e>
                  <m:r>
                    <m:rPr>
                      <m:sty m:val="p"/>
                    </m:rPr>
                    <m:t>∂</m:t>
                  </m:r>
                </m:e>
                <m:sub>
                  <m:r>
                    <m:t>i</m:t>
                  </m:r>
                </m:sub>
              </m:sSub>
              <m:r>
                <m:t>ψ</m:t>
              </m:r>
            </m:e>
          </m:d>
          <m:r>
            <m:t>ψ</m:t>
          </m:r>
          <m:r>
            <m:rPr>
              <m:sty m:val="p"/>
            </m:rPr>
            <m:t>⟩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⟨</m:t>
          </m:r>
          <m:r>
            <m:t>ψ</m:t>
          </m:r>
          <m:r>
            <m:rPr>
              <m:sty m:val="p"/>
            </m:rPr>
            <m:t>|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j</m:t>
              </m:r>
            </m:sub>
          </m:sSub>
          <m:r>
            <m:t>ψ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b>
              <m:e>
                <m:r>
                  <m:rPr>
                    <m:sty m:val="p"/>
                  </m:rPr>
                  <m:t>∂</m:t>
                </m:r>
              </m:e>
              <m:sub>
                <m:r>
                  <m:t>i</m:t>
                </m:r>
              </m:sub>
            </m:sSub>
            <m:r>
              <m:t>ψ</m:t>
            </m:r>
            <m:r>
              <m:rPr>
                <m:sty m:val="p"/>
              </m:rPr>
              <m:t>⟩</m:t>
            </m:r>
            <m:box>
              <m:boxPr>
                <m:opEmu m:val="on"/>
              </m:boxPr>
              <m:e>
                <m:r>
                  <m:rPr>
                    <m:sty m:val="p"/>
                  </m:rPr>
                  <m:t>:=</m:t>
                </m:r>
              </m:e>
            </m:box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θ</m:t>
                    </m:r>
                  </m:e>
                  <m:sub>
                    <m:r>
                      <m:t>i</m:t>
                    </m:r>
                  </m:sub>
                </m:sSub>
              </m:den>
            </m:f>
          </m:e>
        </m:d>
        <m:r>
          <m:t>ψ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⟩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Simplificação:</w:t>
      </w:r>
      <w:r>
        <w:t xml:space="preserve"> </w:t>
      </w:r>
      <w:r>
        <w:t xml:space="preserve">Quando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 </w:t>
      </w:r>
      <w:r>
        <w:t xml:space="preserve">é normalizado (</w:t>
      </w:r>
      <m:oMath>
        <m:r>
          <m:rPr>
            <m:sty m:val="p"/>
          </m:rPr>
          <m:t>⟨</m:t>
        </m:r>
        <m:r>
          <m:t>ψ</m:t>
        </m:r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  <m:r>
          <m:rPr>
            <m:sty m:val="p"/>
          </m:rPr>
          <m:t>=</m:t>
        </m:r>
        <m:r>
          <m:t>1</m:t>
        </m:r>
      </m:oMath>
      <w:r>
        <w:t xml:space="preserve">), temos: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F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⟨</m:t>
          </m:r>
          <m:sSub>
            <m:e>
              <m:r>
                <m:rPr>
                  <m:sty m:val="p"/>
                </m:rPr>
                <m:t>∂</m:t>
              </m:r>
            </m:e>
            <m:sub>
              <m:r>
                <m:t>i</m:t>
              </m:r>
            </m:sub>
          </m:sSub>
          <m:r>
            <m:t>ψ</m:t>
          </m:r>
          <m:d>
            <m:dPr>
              <m:begChr m:val="|"/>
              <m:endChr m:val="|"/>
              <m:sepChr m:val=""/>
              <m:grow/>
            </m:dPr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ψ</m:t>
                      </m:r>
                      <m:r>
                        <m:rPr>
                          <m:sty m:val="p"/>
                        </m:rPr>
                        <m:t>⟩</m:t>
                      </m:r>
                      <m:r>
                        <m:rPr>
                          <m:sty m:val="p"/>
                        </m:rPr>
                        <m:t>⟨</m:t>
                      </m:r>
                      <m:r>
                        <m:t>ψ</m:t>
                      </m:r>
                    </m:e>
                  </m:d>
                </m:e>
              </m:d>
            </m:e>
          </m:d>
          <m:sSub>
            <m:e>
              <m:r>
                <m:rPr>
                  <m:sty m:val="p"/>
                </m:rPr>
                <m:t>∂</m:t>
              </m:r>
            </m:e>
            <m:sub>
              <m:r>
                <m:t>j</m:t>
              </m:r>
            </m:sub>
          </m:sSub>
          <m:r>
            <m:t>ψ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t xml:space="preserve">O projetor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⊥</m:t>
            </m:r>
          </m:sub>
        </m:sSub>
        <m:r>
          <m:rPr>
            <m:sty m:val="p"/>
          </m:rPr>
          <m:t>=</m:t>
        </m:r>
        <m:r>
          <m:t>I</m:t>
        </m:r>
        <m:r>
          <m:rPr>
            <m:sty m:val="p"/>
          </m:rPr>
          <m:t>−</m:t>
        </m:r>
        <m:d>
          <m:dPr>
            <m:begChr m:val="|"/>
            <m:endChr m:val="|"/>
            <m:sepChr m:val=""/>
            <m:grow/>
          </m:dPr>
          <m:e>
            <m:r>
              <m:t>ψ</m:t>
            </m:r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r>
              <m:t>ψ</m:t>
            </m:r>
          </m:e>
        </m:d>
      </m:oMath>
      <w:r>
        <w:t xml:space="preserve"> </w:t>
      </w:r>
      <w:r>
        <w:t xml:space="preserve">projeta no subespaço ortogonal a</w:t>
      </w:r>
      <w:r>
        <w:t xml:space="preserve"> </w:t>
      </w:r>
      <m:oMath>
        <m:r>
          <m:rPr>
            <m:sty m:val="p"/>
          </m:rPr>
          <m:t>|</m:t>
        </m:r>
        <m:r>
          <m:t>ψ</m:t>
        </m:r>
        <m:r>
          <m:rPr>
            <m:sty m:val="p"/>
          </m:rPr>
          <m:t>⟩</m:t>
        </m:r>
      </m:oMath>
      <w:r>
        <w:t xml:space="preserve">, removendo ambiguidade de fase global.</w:t>
      </w:r>
    </w:p>
    <w:bookmarkEnd w:id="20"/>
    <w:bookmarkStart w:id="21" w:name="d.1.2-interpretação-geométrica"/>
    <w:p>
      <w:pPr>
        <w:pStyle w:val="Heading3"/>
      </w:pPr>
      <w:r>
        <w:t xml:space="preserve">D.1.2 Interpretação Geométrica</w:t>
      </w:r>
    </w:p>
    <w:p>
      <w:pPr>
        <w:pStyle w:val="FirstParagraph"/>
      </w:pPr>
      <w:r>
        <w:t xml:space="preserve">A métrica FS mede a</w:t>
      </w:r>
      <w:r>
        <w:t xml:space="preserve"> </w:t>
      </w:r>
      <w:r>
        <w:t xml:space="preserve">“</w:t>
      </w:r>
      <w:r>
        <w:t xml:space="preserve">velocidade angular</w:t>
      </w:r>
      <w:r>
        <w:t xml:space="preserve">”</w:t>
      </w:r>
      <w:r>
        <w:t xml:space="preserve"> </w:t>
      </w:r>
      <w:r>
        <w:t xml:space="preserve">no espaço de Hilbert: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Elemento de Linha: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sSup>
            <m:e>
              <m:r>
                <m:t>s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F</m:t>
                  </m:r>
                  <m:r>
                    <m:t>S</m:t>
                  </m:r>
                </m:sup>
              </m:sSubSup>
            </m:e>
          </m:nary>
          <m:r>
            <m:t>d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bCs/>
          <w:b/>
        </w:rPr>
        <w:t xml:space="preserve">Distância Geodésica: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F</m:t>
              </m:r>
              <m:r>
                <m:t>S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,</m:t>
                  </m:r>
                </m:e>
              </m:d>
              <m:r>
                <m:t>ϕ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⟨</m:t>
              </m:r>
              <m:r>
                <m:t>ψ</m:t>
              </m:r>
            </m:e>
          </m:d>
          <m:r>
            <m:t>ϕ</m:t>
          </m:r>
          <m:r>
            <m:rPr>
              <m:sty m:val="p"/>
            </m:rPr>
            <m:t>⟩</m:t>
          </m:r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t xml:space="preserve">Para estados próximos:</w:t>
      </w:r>
      <w:r>
        <w:t xml:space="preserve"> </w:t>
      </w:r>
      <m:oMath>
        <m:sSub>
          <m:e>
            <m:r>
              <m:t>d</m:t>
            </m:r>
          </m:e>
          <m:sub>
            <m:r>
              <m:t>F</m:t>
            </m:r>
            <m:r>
              <m:t>S</m:t>
            </m:r>
          </m:sub>
        </m:sSub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d>
              <m:dPr>
                <m:begChr m:val="|"/>
                <m:endChr m:val="|"/>
                <m:sepChr m:val=""/>
                <m:grow/>
              </m:dPr>
              <m:e>
                <m:r>
                  <m:rPr>
                    <m:sty m:val="p"/>
                  </m:rPr>
                  <m:t>⟨</m:t>
                </m:r>
                <m:r>
                  <m:t>ψ</m:t>
                </m:r>
              </m:e>
            </m:d>
            <m:r>
              <m:t>ϕ</m:t>
            </m:r>
            <m:r>
              <m:rPr>
                <m:sty m:val="p"/>
              </m:rPr>
              <m:t>⟩</m:t>
            </m:r>
            <m:sSup>
              <m:e>
                <m:r>
                  <m:rPr>
                    <m:sty m:val="p"/>
                  </m:rPr>
                  <m:t>|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(distância de Bures).</w:t>
      </w:r>
    </w:p>
    <w:bookmarkEnd w:id="21"/>
    <w:bookmarkStart w:id="22" w:name="d.1.3-relação-com-fidelidade-quântica"/>
    <w:p>
      <w:pPr>
        <w:pStyle w:val="Heading3"/>
      </w:pPr>
      <w:r>
        <w:t xml:space="preserve">D.1.3 Relação com Fidelidade Quântica</w:t>
      </w:r>
    </w:p>
    <w:p>
      <w:pPr>
        <w:pStyle w:val="FirstParagraph"/>
      </w:pPr>
      <w:r>
        <w:t xml:space="preserve">A métrica FS é intimamente relacionada à fidelidade: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,</m:t>
                  </m:r>
                </m:e>
              </m:d>
              <m:r>
                <m:t>ϕ</m:t>
              </m:r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d>
            <m:dPr>
              <m:begChr m:val="|"/>
              <m:endChr m:val="|"/>
              <m:sepChr m:val=""/>
              <m:grow/>
            </m:dPr>
            <m:e>
              <m:r>
                <m:rPr>
                  <m:sty m:val="p"/>
                </m:rPr>
                <m:t>⟨</m:t>
              </m:r>
              <m:r>
                <m:t>ψ</m:t>
              </m:r>
            </m:e>
          </m:d>
          <m:r>
            <m:t>ϕ</m:t>
          </m:r>
          <m:r>
            <m:rPr>
              <m:sty m:val="p"/>
            </m:rPr>
            <m:t>⟩</m:t>
          </m:r>
          <m:sSup>
            <m:e>
              <m:r>
                <m:rPr>
                  <m:sty m:val="p"/>
                </m:rPr>
                <m:t>|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Expandindo em série de Taylor: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ψ</m:t>
                  </m:r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t>θ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t>θ</m:t>
                      </m:r>
                    </m:e>
                  </m:d>
                  <m:r>
                    <m:rPr>
                      <m:sty m:val="p"/>
                    </m:rPr>
                    <m:t>⟩</m:t>
                  </m:r>
                  <m:r>
                    <m:rPr>
                      <m:sty m:val="p"/>
                    </m:rPr>
                    <m:t>,</m:t>
                  </m:r>
                </m:e>
              </m:d>
              <m:r>
                <m:t>ψ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θ</m:t>
                  </m:r>
                </m:e>
              </m:d>
              <m:r>
                <m:rPr>
                  <m:sty m:val="p"/>
                </m:rPr>
                <m:t>⟩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g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  <m:sup>
                  <m:r>
                    <m:t>F</m:t>
                  </m:r>
                  <m:r>
                    <m:t>S</m:t>
                  </m:r>
                </m:sup>
              </m:sSubSup>
            </m:e>
          </m:nary>
          <m:r>
            <m:t>d</m:t>
          </m:r>
          <m:sSub>
            <m:e>
              <m:r>
                <m:t>θ</m:t>
              </m:r>
            </m:e>
            <m:sub>
              <m:r>
                <m:t>i</m:t>
              </m:r>
            </m:sub>
          </m:sSub>
          <m:r>
            <m:t>d</m:t>
          </m:r>
          <m:sSub>
            <m:e>
              <m:r>
                <m:t>θ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r>
            <m:t>O</m:t>
          </m:r>
          <m:d>
            <m:dPr>
              <m:begChr m:val="("/>
              <m:endChr m:val=")"/>
              <m:sepChr m:val=""/>
              <m:grow/>
            </m:dPr>
            <m:e>
              <m:r>
                <m:t>d</m:t>
              </m:r>
              <m:sSup>
                <m:e>
                  <m:r>
                    <m:t>θ</m:t>
                  </m:r>
                </m:e>
                <m:sup>
                  <m:r>
                    <m:t>3</m:t>
                  </m:r>
                </m:sup>
              </m:sSup>
            </m:e>
          </m:d>
        </m:oMath>
      </m:oMathPara>
    </w:p>
    <w:p>
      <w:pPr>
        <w:pStyle w:val="FirstParagraph"/>
      </w:pPr>
      <w:r>
        <w:t xml:space="preserve">Logo,</w:t>
      </w:r>
      <w:r>
        <w:t xml:space="preserve"> </w:t>
      </w:r>
      <w:r>
        <w:rPr>
          <w:bCs/>
          <w:b/>
        </w:rPr>
        <w:t xml:space="preserve">FS métrica é a Hessiana da infidelidade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6" w:name="Xfea055c4c96a6889579b793a59d178e641232f5"/>
    <w:p>
      <w:pPr>
        <w:pStyle w:val="Heading2"/>
      </w:pPr>
      <w:r>
        <w:t xml:space="preserve">D.2 CONEXÃO COM MATRIZ DE INFORMAÇÃO DE FISHER QUÂNTICA</w:t>
      </w:r>
    </w:p>
    <w:p>
      <w:pPr>
        <w:pStyle w:val="FirstParagraph"/>
      </w:pPr>
      <w:r>
        <w:t xml:space="preserve">A métrica FS é idêntica à</w:t>
      </w:r>
      <w:r>
        <w:t xml:space="preserve"> </w:t>
      </w:r>
      <w:r>
        <w:rPr>
          <w:bCs/>
          <w:b/>
        </w:rPr>
        <w:t xml:space="preserve">Quantum Fisher Information Matrix (QFIM)</w:t>
      </w:r>
      <w:r>
        <w:t xml:space="preserve"> </w:t>
      </w:r>
      <w:r>
        <w:t xml:space="preserve">para estados puros: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4</m:t>
          </m:r>
          <m:sSubSup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F</m:t>
              </m:r>
              <m:r>
                <m:t>S</m:t>
              </m:r>
            </m:sup>
          </m:sSubSup>
        </m:oMath>
      </m:oMathPara>
    </w:p>
    <w:bookmarkStart w:id="24" w:name="d.2.1-interpretação-estatística"/>
    <w:p>
      <w:pPr>
        <w:pStyle w:val="Heading3"/>
      </w:pPr>
      <w:r>
        <w:t xml:space="preserve">D.2.1 Interpretação Estatística</w:t>
      </w:r>
    </w:p>
    <w:p>
      <w:pPr>
        <w:pStyle w:val="FirstParagraph"/>
      </w:pPr>
      <w:r>
        <w:t xml:space="preserve">A QFIM quantifica quão</w:t>
      </w:r>
      <w:r>
        <w:t xml:space="preserve"> </w:t>
      </w:r>
      <w:r>
        <w:t xml:space="preserve">“</w:t>
      </w:r>
      <w:r>
        <w:t xml:space="preserve">distinguíveis</w:t>
      </w:r>
      <w:r>
        <w:t xml:space="preserve">”</w:t>
      </w:r>
      <w:r>
        <w:t xml:space="preserve"> </w:t>
      </w:r>
      <w:r>
        <w:t xml:space="preserve">são estados parametrizados: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Cramer-Rao Bound Quântico: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sSub>
                <m:e>
                  <m:d>
                    <m:dPr>
                      <m:begChr m:val="["/>
                      <m:endChr m:val="]"/>
                      <m:sepChr m:val=""/>
                      <m:grow/>
                    </m:dPr>
                    <m:e>
                      <m:sSup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</m:oMath>
      </m:oMathPara>
    </w:p>
    <w:p>
      <w:pPr>
        <w:numPr>
          <w:ilvl w:val="0"/>
          <w:numId w:val="1000"/>
        </w:numPr>
      </w:pPr>
      <w:r>
        <w:t xml:space="preserve">onde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é o número de medições.</w:t>
      </w:r>
    </w:p>
    <w:p>
      <w:pPr>
        <w:numPr>
          <w:ilvl w:val="0"/>
          <w:numId w:val="1002"/>
        </w:numPr>
      </w:pPr>
      <w:r>
        <w:rPr>
          <w:bCs/>
          <w:b/>
        </w:rPr>
        <w:t xml:space="preserve">Conexão com Capacidade:</w:t>
      </w:r>
      <w:r>
        <w:t xml:space="preserve"> </w:t>
      </w:r>
      <w:r>
        <w:t xml:space="preserve">Alta QFIM → estados são muito sensíveis a parâmetros → alta capacidade de expressividade.</w:t>
      </w:r>
    </w:p>
    <w:bookmarkEnd w:id="24"/>
    <w:bookmarkStart w:id="25" w:name="d.2.2-cálculo-prático"/>
    <w:p>
      <w:pPr>
        <w:pStyle w:val="Heading3"/>
      </w:pPr>
      <w:r>
        <w:t xml:space="preserve">D.2.2 Cálculo Prático</w:t>
      </w:r>
    </w:p>
    <w:p>
      <w:pPr>
        <w:pStyle w:val="FirstParagraph"/>
      </w:pPr>
      <w:r>
        <w:t xml:space="preserve">Para circuitos parametrizados</w:t>
      </w:r>
      <w:r>
        <w:t xml:space="preserve"> </w:t>
      </w:r>
      <m:oMath>
        <m:r>
          <m:t>U</m:t>
        </m:r>
        <m:d>
          <m:dPr>
            <m:begChr m:val="("/>
            <m:endChr m:val=")"/>
            <m:sepChr m:val=""/>
            <m:grow/>
          </m:dPr>
          <m:e>
            <m:r>
              <m:t>θ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i</m:t>
                </m:r>
                <m:sSub>
                  <m:e>
                    <m:r>
                      <m:t>θ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r>
                      <m:t>G</m:t>
                    </m:r>
                  </m:e>
                  <m:sub>
                    <m:r>
                      <m:t>k</m:t>
                    </m:r>
                  </m:sub>
                </m:sSub>
              </m:sup>
            </m:sSup>
          </m:e>
        </m:nary>
      </m:oMath>
      <w:r>
        <w:t xml:space="preserve"> </w:t>
      </w:r>
      <w:r>
        <w:t xml:space="preserve">com geradores</w:t>
      </w:r>
      <w:r>
        <w:t xml:space="preserve"> </w:t>
      </w:r>
      <m:oMath>
        <m:sSub>
          <m:e>
            <m:r>
              <m:t>G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rPr>
              <m:nor/>
              <m:sty m:val="p"/>
            </m:rPr>
            <m:t>Re</m:t>
          </m:r>
          <m:r>
            <m:rPr>
              <m:sty m:val="p"/>
            </m:rPr>
            <m:t>⟨</m:t>
          </m:r>
          <m:r>
            <m:t>0</m:t>
          </m:r>
          <m:d>
            <m:dPr>
              <m:begChr m:val="|"/>
              <m:endChr m:val="|"/>
              <m:sepChr m:val=""/>
              <m:grow/>
            </m:dP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sSub>
                <m:e>
                  <m:r>
                    <m:t>G</m:t>
                  </m:r>
                </m:e>
                <m:sub>
                  <m:r>
                    <m:t>i</m:t>
                  </m:r>
                </m:sub>
              </m:sSub>
              <m:r>
                <m:t>U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d>
                    <m:dPr>
                      <m:begChr m:val="|"/>
                      <m:endChr m:val="|"/>
                      <m:sepChr m:val=""/>
                      <m:grow/>
                    </m:dPr>
                    <m:e>
                      <m:r>
                        <m:t>ψ</m:t>
                      </m:r>
                      <m:r>
                        <m:rPr>
                          <m:sty m:val="p"/>
                        </m:rPr>
                        <m:t>⟩</m:t>
                      </m:r>
                      <m:r>
                        <m:rPr>
                          <m:sty m:val="p"/>
                        </m:rPr>
                        <m:t>⟨</m:t>
                      </m:r>
                      <m:r>
                        <m:t>ψ</m:t>
                      </m:r>
                    </m:e>
                  </m:d>
                </m:e>
              </m:d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sSub>
                <m:e>
                  <m:r>
                    <m:t>G</m:t>
                  </m:r>
                </m:e>
                <m:sub>
                  <m:r>
                    <m:t>j</m:t>
                  </m:r>
                </m:sub>
              </m:sSub>
              <m:r>
                <m:t>U</m:t>
              </m:r>
            </m:e>
          </m:d>
          <m:r>
            <m:t>0</m:t>
          </m:r>
          <m:r>
            <m:rPr>
              <m:sty m:val="p"/>
            </m:rPr>
            <m:t>⟩</m:t>
          </m:r>
        </m:oMath>
      </m:oMathPara>
    </w:p>
    <w:p>
      <w:pPr>
        <w:pStyle w:val="FirstParagraph"/>
      </w:pPr>
      <w:r>
        <w:rPr>
          <w:bCs/>
          <w:b/>
        </w:rPr>
        <w:t xml:space="preserve">Algoritmo de Cálculo (Parameter Shift Rule):</w:t>
      </w:r>
    </w:p>
    <w:p>
      <w:pPr>
        <w:numPr>
          <w:ilvl w:val="0"/>
          <w:numId w:val="1003"/>
        </w:numPr>
        <w:pStyle w:val="Compact"/>
      </w:pPr>
      <w:r>
        <w:t xml:space="preserve">Avaliar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G</m:t>
            </m:r>
          </m:e>
          <m:sub>
            <m:r>
              <m:t>i</m:t>
            </m:r>
          </m:sub>
        </m:sSub>
        <m:sSub>
          <m:e>
            <m:r>
              <m:rPr>
                <m:sty m:val="p"/>
              </m:rPr>
              <m:t>⟩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G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⟩</m:t>
            </m:r>
          </m:e>
          <m:sub>
            <m:r>
              <m:t>θ</m:t>
            </m:r>
          </m:sub>
        </m:sSub>
      </m:oMath>
    </w:p>
    <w:p>
      <w:pPr>
        <w:numPr>
          <w:ilvl w:val="0"/>
          <w:numId w:val="1003"/>
        </w:numPr>
        <w:pStyle w:val="Compact"/>
      </w:pPr>
      <w:r>
        <w:t xml:space="preserve">Avaliar</w:t>
      </w:r>
      <w:r>
        <w:t xml:space="preserve"> </w:t>
      </w:r>
      <m:oMath>
        <m:r>
          <m:rPr>
            <m:sty m:val="p"/>
          </m:rPr>
          <m:t>⟨</m:t>
        </m:r>
        <m:sSub>
          <m:e>
            <m:r>
              <m:t>G</m:t>
            </m:r>
          </m:e>
          <m:sub>
            <m:r>
              <m:t>i</m:t>
            </m:r>
          </m:sub>
        </m:sSub>
        <m:sSub>
          <m:e>
            <m:r>
              <m:t>G</m:t>
            </m:r>
          </m:e>
          <m:sub>
            <m:r>
              <m:t>j</m:t>
            </m:r>
          </m:sub>
        </m:sSub>
        <m:sSub>
          <m:e>
            <m:r>
              <m:rPr>
                <m:sty m:val="p"/>
              </m:rPr>
              <m:t>⟩</m:t>
            </m:r>
          </m:e>
          <m:sub>
            <m:r>
              <m:t>θ</m:t>
            </m:r>
          </m:sub>
        </m:sSub>
      </m:oMath>
    </w:p>
    <w:p>
      <w:pPr>
        <w:numPr>
          <w:ilvl w:val="0"/>
          <w:numId w:val="1003"/>
        </w:numPr>
        <w:pStyle w:val="Compact"/>
      </w:pPr>
      <w:r>
        <w:t xml:space="preserve">Computar: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4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⟨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⟩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⟨</m:t>
            </m:r>
            <m:sSub>
              <m:e>
                <m:r>
                  <m:t>G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⟩</m:t>
            </m:r>
            <m:r>
              <m:rPr>
                <m:sty m:val="p"/>
              </m:rPr>
              <m:t>⟨</m:t>
            </m:r>
            <m:sSub>
              <m:e>
                <m:r>
                  <m:t>G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⟩</m:t>
            </m:r>
          </m:e>
        </m:d>
      </m:oMath>
    </w:p>
    <w:p>
      <w:pPr>
        <w:pStyle w:val="FirstParagraph"/>
      </w:pPr>
      <w:r>
        <w:rPr>
          <w:bCs/>
          <w:b/>
        </w:rPr>
        <w:t xml:space="preserve">Custo Computacional: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2</m:t>
                </m:r>
              </m:sup>
            </m:sSup>
          </m:e>
        </m:d>
      </m:oMath>
      <w:r>
        <w:t xml:space="preserve"> </w:t>
      </w:r>
      <w:r>
        <w:t xml:space="preserve">avaliações de circuitos para matriz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0" w:name="d.3-papel-na-análise-de-sensibilidade"/>
    <w:p>
      <w:pPr>
        <w:pStyle w:val="Heading2"/>
      </w:pPr>
      <w:r>
        <w:t xml:space="preserve">D.3 PAPEL NA ANÁLISE DE SENSIBILIDADE</w:t>
      </w:r>
    </w:p>
    <w:bookmarkStart w:id="27" w:name="Xe102afb7333fddc345e1ad1073d7abac6f90251"/>
    <w:p>
      <w:pPr>
        <w:pStyle w:val="Heading3"/>
      </w:pPr>
      <w:r>
        <w:t xml:space="preserve">D.3.1 Volume do Espaço de Estados Acessíveis</w:t>
      </w:r>
    </w:p>
    <w:p>
      <w:pPr>
        <w:pStyle w:val="FirstParagraph"/>
      </w:pPr>
      <w:r>
        <w:t xml:space="preserve">O determinante da QFIM mede o</w:t>
      </w:r>
      <w:r>
        <w:t xml:space="preserve"> </w:t>
      </w:r>
      <w:r>
        <w:t xml:space="preserve">“</w:t>
      </w:r>
      <w:r>
        <w:t xml:space="preserve">volume</w:t>
      </w:r>
      <w:r>
        <w:t xml:space="preserve">”</w:t>
      </w:r>
      <w:r>
        <w:t xml:space="preserve"> </w:t>
      </w:r>
      <w:r>
        <w:t xml:space="preserve">do subespaço de estados alcançáveis: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Vol</m:t>
          </m:r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rPr>
                      <m:sty m:val="p"/>
                      <m:scr m:val="script"/>
                    </m:rPr>
                    <m:t>M</m:t>
                  </m:r>
                </m:e>
                <m:sub>
                  <m:r>
                    <m:t>θ</m:t>
                  </m:r>
                </m:sub>
              </m:sSub>
            </m:e>
          </m: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det</m:t>
              </m:r>
              <m:r>
                <m:rPr>
                  <m:sty m:val="p"/>
                  <m:scr m:val="script"/>
                </m:rPr>
                <m:t>F</m:t>
              </m:r>
            </m:e>
          </m:rad>
        </m:oMath>
      </m:oMathPara>
    </w:p>
    <w:p>
      <w:pPr>
        <w:pStyle w:val="FirstParagraph"/>
      </w:pPr>
      <w:r>
        <w:rPr>
          <w:bCs/>
          <w:b/>
        </w:rPr>
        <w:t xml:space="preserve">Exemplo:</w:t>
      </w:r>
      <w:r>
        <w:t xml:space="preserve"> </w:t>
      </w:r>
      <w:r>
        <w:t xml:space="preserve">- Modelo subparametrizado: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  <m:scr m:val="script"/>
          </m:rPr>
          <m:t>F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→ volume pequeno → baixa expressividade</w:t>
      </w:r>
      <w:r>
        <w:t xml:space="preserve"> </w:t>
      </w:r>
      <w:r>
        <w:t xml:space="preserve">- Modelo superparametrizado: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  <m:scr m:val="script"/>
          </m:rPr>
          <m:t>F</m:t>
        </m:r>
        <m:r>
          <m:rPr>
            <m:sty m:val="p"/>
          </m:rPr>
          <m:t>≫</m:t>
        </m:r>
        <m:r>
          <m:t>1</m:t>
        </m:r>
      </m:oMath>
      <w:r>
        <w:t xml:space="preserve"> </w:t>
      </w:r>
      <w:r>
        <w:t xml:space="preserve">→ volume grande → alta expressividade</w:t>
      </w:r>
    </w:p>
    <w:bookmarkEnd w:id="27"/>
    <w:bookmarkStart w:id="28" w:name="d.3.2-rank-efetivo-e-overparametrização"/>
    <w:p>
      <w:pPr>
        <w:pStyle w:val="Heading3"/>
      </w:pPr>
      <w:r>
        <w:t xml:space="preserve">D.3.2 Rank Efetivo e Overparametrização</w:t>
      </w:r>
    </w:p>
    <w:p>
      <w:pPr>
        <w:pStyle w:val="FirstParagraph"/>
      </w:pPr>
      <w:r>
        <w:t xml:space="preserve">Definimos o</w:t>
      </w:r>
      <w:r>
        <w:t xml:space="preserve"> </w:t>
      </w:r>
      <w:r>
        <w:rPr>
          <w:bCs/>
          <w:b/>
        </w:rPr>
        <w:t xml:space="preserve">rank efetivo</w:t>
      </w:r>
      <w:r>
        <w:t xml:space="preserve"> </w:t>
      </w:r>
      <w:r>
        <w:t xml:space="preserve">como: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rank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endChr m:val=")"/>
                      <m:sepChr m:val=""/>
                      <m:grow/>
                    </m:dPr>
                    <m:e>
                      <m:r>
                        <m:rPr>
                          <m:nor/>
                          <m:sty m:val="p"/>
                        </m:rPr>
                        <m:t>Tr</m:t>
                      </m:r>
                      <m:d>
                        <m:dPr>
                          <m:begChr m:val="["/>
                          <m:endChr m:val="]"/>
                          <m:sepChr m:val=""/>
                          <m:grow/>
                        </m:dPr>
                        <m:e>
                          <m:r>
                            <m:rPr>
                              <m:sty m:val="p"/>
                              <m:scr m:val="script"/>
                            </m:rPr>
                            <m:t>F</m:t>
                          </m:r>
                        </m:e>
                      </m:d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sSup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</m:den>
          </m:f>
        </m:oMath>
      </m:oMathPara>
    </w:p>
    <w:p>
      <w:pPr>
        <w:pStyle w:val="FirstParagraph"/>
      </w:pPr>
      <w:r>
        <w:rPr>
          <w:bCs/>
          <w:b/>
        </w:rPr>
        <w:t xml:space="preserve">Critério de Superparametrização (usado no Teorema 1):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rank</m:t>
              </m:r>
            </m:e>
            <m:sub>
              <m:r>
                <m:t>e</m:t>
              </m:r>
              <m:r>
                <m:t>f</m:t>
              </m:r>
              <m:r>
                <m:t>f</m:t>
              </m:r>
            </m:sub>
          </m:sSub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  <m:scr m:val="script"/>
                </m:rPr>
                <m:t>F</m:t>
              </m:r>
            </m:e>
          </m:d>
          <m:r>
            <m:rPr>
              <m:sty m:val="p"/>
            </m:rPr>
            <m:t>&gt;</m:t>
          </m:r>
          <m:r>
            <m:t>N</m:t>
          </m:r>
        </m:oMath>
      </m:oMathPara>
    </w:p>
    <w:p>
      <w:pPr>
        <w:pStyle w:val="FirstParagraph"/>
      </w:pPr>
      <w:r>
        <w:t xml:space="preserve">Isso significa que o modelo tem mais</w:t>
      </w:r>
      <w:r>
        <w:t xml:space="preserve"> </w:t>
      </w:r>
      <w:r>
        <w:t xml:space="preserve">“</w:t>
      </w:r>
      <w:r>
        <w:t xml:space="preserve">direções independentes</w:t>
      </w:r>
      <w:r>
        <w:t xml:space="preserve">”</w:t>
      </w:r>
      <w:r>
        <w:t xml:space="preserve"> </w:t>
      </w:r>
      <w:r>
        <w:t xml:space="preserve">que amostras de treino.</w:t>
      </w:r>
    </w:p>
    <w:bookmarkEnd w:id="28"/>
    <w:bookmarkStart w:id="29" w:name="d.3.3-efeito-do-ruído-na-qfim"/>
    <w:p>
      <w:pPr>
        <w:pStyle w:val="Heading3"/>
      </w:pPr>
      <w:r>
        <w:t xml:space="preserve">D.3.3 Efeito do Ruído na QFIM</w:t>
      </w:r>
    </w:p>
    <w:p>
      <w:pPr>
        <w:pStyle w:val="FirstParagraph"/>
      </w:pPr>
      <w:r>
        <w:t xml:space="preserve">Sob canal de ruído</w:t>
      </w:r>
      <w:r>
        <w:t xml:space="preserve"> </w:t>
      </w:r>
      <m:oMath>
        <m:sSub>
          <m:e>
            <m:r>
              <m:t>Φ</m:t>
            </m:r>
          </m:e>
          <m:sub>
            <m:r>
              <m:t>γ</m:t>
            </m:r>
          </m:sub>
        </m:sSub>
      </m:oMath>
      <w:r>
        <w:t xml:space="preserve">, a QFIM efetiva é modificada: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n</m:t>
              </m:r>
              <m:r>
                <m:t>o</m:t>
              </m:r>
              <m:r>
                <m:t>i</m:t>
              </m:r>
              <m:r>
                <m:t>s</m:t>
              </m:r>
              <m:r>
                <m:t>y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sSub>
                <m:e>
                  <m:r>
                    <m:t>Φ</m:t>
                  </m:r>
                </m:e>
                <m:sub>
                  <m:r>
                    <m:t>γ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  <m:sSub>
                <m:e>
                  <m:r>
                    <m:t>L</m:t>
                  </m:r>
                </m:e>
                <m:sub>
                  <m:sSub>
                    <m:e>
                      <m:r>
                        <m:t>ρ</m:t>
                      </m:r>
                    </m:e>
                    <m:sub>
                      <m:r>
                        <m:t>γ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L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é o operador Superoperador de Lindblad adjunto.</w:t>
      </w:r>
    </w:p>
    <w:p>
      <w:pPr>
        <w:pStyle w:val="BodyText"/>
      </w:pPr>
      <w:r>
        <w:rPr>
          <w:bCs/>
          <w:b/>
        </w:rPr>
        <w:t xml:space="preserve">Para Phase Damping: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p</m:t>
              </m:r>
              <m:r>
                <m:t>d</m:t>
              </m:r>
            </m:sup>
          </m:sSubSup>
          <m:r>
            <m:rPr>
              <m:sty m:val="p"/>
            </m:rPr>
            <m:t>≈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γ</m:t>
              </m:r>
            </m:e>
          </m:d>
          <m:sSubSup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c</m:t>
              </m:r>
              <m:r>
                <m:t>o</m:t>
              </m:r>
              <m:r>
                <m:t>h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rPr>
                  <m:sty m:val="p"/>
                  <m:scr m:val="script"/>
                </m:rPr>
                <m:t>F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d</m:t>
              </m:r>
              <m:r>
                <m:t>i</m:t>
              </m:r>
              <m:r>
                <m:t>a</m:t>
              </m:r>
              <m:r>
                <m:t>g</m:t>
              </m:r>
            </m:sup>
          </m:sSubSup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F</m:t>
            </m:r>
          </m:e>
          <m:sup>
            <m:r>
              <m:t>c</m:t>
            </m:r>
            <m:r>
              <m:t>o</m:t>
            </m:r>
            <m:r>
              <m:t>h</m:t>
            </m:r>
          </m:sup>
        </m:sSup>
      </m:oMath>
      <w:r>
        <w:t xml:space="preserve"> </w:t>
      </w:r>
      <w:r>
        <w:t xml:space="preserve">são contribuições de coerências e</w:t>
      </w:r>
      <w:r>
        <w:t xml:space="preserve"> </w:t>
      </w:r>
      <m:oMath>
        <m:sSup>
          <m:e>
            <m:r>
              <m:rPr>
                <m:sty m:val="p"/>
                <m:scr m:val="script"/>
              </m:rPr>
              <m:t>F</m:t>
            </m:r>
          </m:e>
          <m:sup>
            <m:r>
              <m:t>d</m:t>
            </m:r>
            <m:r>
              <m:t>i</m:t>
            </m:r>
            <m:r>
              <m:t>a</m:t>
            </m:r>
            <m:r>
              <m:t>g</m:t>
            </m:r>
          </m:sup>
        </m:sSup>
      </m:oMath>
      <w:r>
        <w:t xml:space="preserve"> </w:t>
      </w:r>
      <w:r>
        <w:t xml:space="preserve">de populações.</w:t>
      </w:r>
    </w:p>
    <w:p>
      <w:pPr>
        <w:pStyle w:val="BodyText"/>
      </w:pPr>
      <w:r>
        <w:rPr>
          <w:bCs/>
          <w:b/>
        </w:rPr>
        <w:t xml:space="preserve">Conclusão:</w:t>
      </w:r>
      <w:r>
        <w:t xml:space="preserve"> </w:t>
      </w:r>
      <w:r>
        <w:t xml:space="preserve">Ruído suprime componentes da QFIM associadas a coerências, reduzindo</w:t>
      </w:r>
      <w:r>
        <w:t xml:space="preserve"> </w:t>
      </w:r>
      <m:oMath>
        <m:sSub>
          <m:e>
            <m:r>
              <m:rPr>
                <m:nor/>
                <m:sty m:val="p"/>
              </m:rPr>
              <m:t>rank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</m:oMath>
      <w:r>
        <w:t xml:space="preserve"> </w:t>
      </w:r>
      <w:r>
        <w:t xml:space="preserve">→ regularização.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d.4-aplicações-no-contexto-de-vqcs"/>
    <w:p>
      <w:pPr>
        <w:pStyle w:val="Heading2"/>
      </w:pPr>
      <w:r>
        <w:t xml:space="preserve">D.4 APLICAÇÕES NO CONTEXTO DE VQCS</w:t>
      </w:r>
    </w:p>
    <w:bookmarkStart w:id="31" w:name="d.4.1-caracterização-de-barren-plateaus"/>
    <w:p>
      <w:pPr>
        <w:pStyle w:val="Heading3"/>
      </w:pPr>
      <w:r>
        <w:t xml:space="preserve">D.4.1 Caracterização de Barren Plateaus</w:t>
      </w:r>
    </w:p>
    <w:p>
      <w:pPr>
        <w:pStyle w:val="FirstParagraph"/>
      </w:pPr>
      <w:r>
        <w:rPr>
          <w:bCs/>
          <w:b/>
        </w:rPr>
        <w:t xml:space="preserve">Definição Formal de Barren Plateau:</w:t>
      </w:r>
    </w:p>
    <w:p>
      <w:pPr>
        <w:pStyle w:val="BodyText"/>
      </w:pPr>
      <w:r>
        <w:t xml:space="preserve">Um PQC sofre de barren plateau se a variância do gradiente escala exponencialmente com o número de qubits: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Var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⟨</m:t>
                  </m:r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r>
                    <m:rPr>
                      <m:sty m:val="p"/>
                    </m:rPr>
                    <m:t>⟩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O</m:t>
                      </m:r>
                    </m:e>
                  </m:acc>
                  <m:sSub>
                    <m:e>
                      <m:r>
                        <m:rPr>
                          <m:sty m:val="p"/>
                          <m:scr m:val="script"/>
                        </m:rPr>
                        <m:t>F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e>
              </m:d>
            </m:num>
            <m:den>
              <m:sSup>
                <m:e>
                  <m:r>
                    <m:t>4</m:t>
                  </m:r>
                </m:e>
                <m:sup>
                  <m:r>
                    <m:t>n</m:t>
                  </m:r>
                </m:sup>
              </m:sSup>
            </m:den>
          </m:f>
          <m:r>
            <m:rPr>
              <m:sty m:val="p"/>
            </m:rPr>
            <m:t>→</m:t>
          </m:r>
          <m:r>
            <m:t>0</m:t>
          </m:r>
        </m:oMath>
      </m:oMathPara>
    </w:p>
    <w:p>
      <w:pPr>
        <w:pStyle w:val="FirstParagraph"/>
      </w:pPr>
      <w:r>
        <w:rPr>
          <w:bCs/>
          <w:b/>
        </w:rPr>
        <w:t xml:space="preserve">Conexão com FS:</w:t>
      </w:r>
      <w:r>
        <w:t xml:space="preserve"> </w:t>
      </w:r>
      <w:r>
        <w:t xml:space="preserve">QFIM pequena → gradientes vanishing → barren plateau.</w:t>
      </w:r>
    </w:p>
    <w:p>
      <w:pPr>
        <w:pStyle w:val="BodyText"/>
      </w:pPr>
      <w:r>
        <w:rPr>
          <w:bCs/>
          <w:b/>
        </w:rPr>
        <w:t xml:space="preserve">Papel do Ruído:</w:t>
      </w:r>
      <w:r>
        <w:t xml:space="preserve"> </w:t>
      </w:r>
      <w:r>
        <w:t xml:space="preserve">Ruído moderado pode</w:t>
      </w:r>
      <w:r>
        <w:t xml:space="preserve"> </w:t>
      </w:r>
      <w:r>
        <w:rPr>
          <w:bCs/>
          <w:b/>
        </w:rPr>
        <w:t xml:space="preserve">suavizar</w:t>
      </w:r>
      <w:r>
        <w:t xml:space="preserve"> </w:t>
      </w:r>
      <w:r>
        <w:t xml:space="preserve">a métrica FS, tornando</w:t>
      </w:r>
      <w:r>
        <w:t xml:space="preserve"> </w:t>
      </w:r>
      <m:oMath>
        <m:sSub>
          <m:e>
            <m:r>
              <m:rPr>
                <m:sty m:val="p"/>
                <m:scr m:val="script"/>
              </m:rPr>
              <m:t>F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 </w:t>
      </w:r>
      <w:r>
        <w:t xml:space="preserve">mais uniforme (menos autovalores próximos a zero).</w:t>
      </w:r>
    </w:p>
    <w:bookmarkEnd w:id="31"/>
    <w:bookmarkStart w:id="32" w:name="d.4.2-guia-para-seleção-de-ansatz"/>
    <w:p>
      <w:pPr>
        <w:pStyle w:val="Heading3"/>
      </w:pPr>
      <w:r>
        <w:t xml:space="preserve">D.4.2 Guia para Seleção de Ansatz</w:t>
      </w:r>
    </w:p>
    <w:p>
      <w:pPr>
        <w:pStyle w:val="FirstParagraph"/>
      </w:pPr>
      <w:r>
        <w:t xml:space="preserve">Ansätze com alta QFIM são mais expressivos mas também mais propensos a overfitting: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2750"/>
        <w:gridCol w:w="231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Ansatz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rPr>
                  <m:nor/>
                  <m:sty m:val="p"/>
                </m:rPr>
                <m:t>Tr</m:t>
              </m:r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rPr>
                      <m:nor/>
                      <m:sty m:val="p"/>
                    </m:rPr>
                    <m:t>rank</m:t>
                  </m:r>
                </m:e>
                <m:sub>
                  <m:r>
                    <m:t>e</m:t>
                  </m:r>
                  <m:r>
                    <m:t>f</m:t>
                  </m:r>
                  <m:r>
                    <m:t>f</m:t>
                  </m:r>
                </m:sub>
              </m:sSub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Overfitting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Efficient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(~40)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Entangling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 (~25)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SimplifiedTwoDesign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 (~15)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Baixo</w:t>
            </w:r>
          </w:p>
        </w:tc>
      </w:tr>
    </w:tbl>
    <w:p>
      <w:pPr>
        <w:pStyle w:val="BodyText"/>
      </w:pPr>
      <w:r>
        <w:rPr>
          <w:bCs/>
          <w:b/>
        </w:rPr>
        <w:t xml:space="preserve">Recomendação:</w:t>
      </w:r>
      <w:r>
        <w:t xml:space="preserve"> </w:t>
      </w:r>
      <w:r>
        <w:t xml:space="preserve">Escolha ansatz com</w:t>
      </w:r>
      <w:r>
        <w:t xml:space="preserve"> </w:t>
      </w:r>
      <m:oMath>
        <m:sSub>
          <m:e>
            <m:r>
              <m:rPr>
                <m:nor/>
                <m:sty m:val="p"/>
              </m:rPr>
              <m:t>rank</m:t>
            </m:r>
          </m:e>
          <m:sub>
            <m:r>
              <m:t>e</m:t>
            </m:r>
            <m:r>
              <m:t>f</m:t>
            </m:r>
            <m:r>
              <m:t>f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  <m:scr m:val="script"/>
              </m:rPr>
              <m:t>F</m:t>
            </m:r>
          </m:e>
        </m:d>
        <m:r>
          <m:rPr>
            <m:sty m:val="p"/>
          </m:rPr>
          <m:t>≈</m:t>
        </m:r>
        <m:r>
          <m:t>2</m:t>
        </m:r>
        <m:r>
          <m:t>N</m:t>
        </m:r>
      </m:oMath>
      <w:r>
        <w:t xml:space="preserve"> </w:t>
      </w:r>
      <w:r>
        <w:t xml:space="preserve">para equilíbrio entre expressividade e generalização.</w:t>
      </w:r>
    </w:p>
    <w:bookmarkEnd w:id="32"/>
    <w:bookmarkStart w:id="33" w:name="Xc6bb9f424b23570a9cd9a3aeaff75affade2b0e"/>
    <w:p>
      <w:pPr>
        <w:pStyle w:val="Heading3"/>
      </w:pPr>
      <w:r>
        <w:t xml:space="preserve">D.4.3 Otimização Informada pela Geometria</w:t>
      </w:r>
    </w:p>
    <w:p>
      <w:pPr>
        <w:pStyle w:val="FirstParagraph"/>
      </w:pPr>
      <w:r>
        <w:rPr>
          <w:bCs/>
          <w:b/>
        </w:rPr>
        <w:t xml:space="preserve">Quantum Natural Gradient (QNG):</w:t>
      </w:r>
      <w:r>
        <w:t xml:space="preserve"> </w:t>
      </w:r>
      <w:r>
        <w:t xml:space="preserve">Usa a inversa da QFIM como pré-condicionador: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sSup>
            <m:e>
              <m:r>
                <m:rPr>
                  <m:sty m:val="p"/>
                  <m:scr m:val="script"/>
                </m:rPr>
                <m:t>F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</m:oMath>
      </m:oMathPara>
    </w:p>
    <w:p>
      <w:pPr>
        <w:pStyle w:val="FirstParagraph"/>
      </w:pPr>
      <w:r>
        <w:rPr>
          <w:bCs/>
          <w:b/>
        </w:rPr>
        <w:t xml:space="preserve">Vantagem:</w:t>
      </w:r>
      <w:r>
        <w:t xml:space="preserve"> </w:t>
      </w:r>
      <w:r>
        <w:t xml:space="preserve">QNG segue geodésicas no espaço de estados (caminhos mais diretos).</w:t>
      </w:r>
    </w:p>
    <w:p>
      <w:pPr>
        <w:pStyle w:val="BodyText"/>
      </w:pPr>
      <w:r>
        <w:rPr>
          <w:bCs/>
          <w:b/>
        </w:rPr>
        <w:t xml:space="preserve">Desvantagem:</w:t>
      </w:r>
      <w:r>
        <w:t xml:space="preserve"> </w:t>
      </w:r>
      <w:r>
        <w:t xml:space="preserve">Custo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p</m:t>
                </m:r>
              </m:e>
              <m:sup>
                <m:r>
                  <m:t>3</m:t>
                </m:r>
              </m:sup>
            </m:sSup>
          </m:e>
        </m:d>
      </m:oMath>
      <w:r>
        <w:t xml:space="preserve"> </w:t>
      </w:r>
      <w:r>
        <w:t xml:space="preserve">para inverter</w:t>
      </w:r>
      <w:r>
        <w:t xml:space="preserve"> </w:t>
      </w:r>
      <m:oMath>
        <m:r>
          <m:rPr>
            <m:sty m:val="p"/>
            <m:scr m:val="script"/>
          </m:rPr>
          <m:t>F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Alternativa Aproximada:</w:t>
      </w:r>
      <w:r>
        <w:t xml:space="preserve"> </w:t>
      </w:r>
      <w:r>
        <w:t xml:space="preserve">Usar apenas diagonal: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r>
            <m:t>η</m:t>
          </m:r>
          <m:r>
            <m:rPr>
              <m:nor/>
              <m:sty m:val="p"/>
            </m:rPr>
            <m:t>diag</m:t>
          </m:r>
          <m:sSup>
            <m:e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sty m:val="p"/>
                      <m:scr m:val="script"/>
                    </m:rPr>
                    <m:t>F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⊙</m:t>
          </m:r>
          <m:sSub>
            <m:e>
              <m:r>
                <m:rPr>
                  <m:sty m:val="p"/>
                </m:rPr>
                <m:t>∇</m:t>
              </m:r>
            </m:e>
            <m:sub>
              <m:r>
                <m:t>θ</m:t>
              </m:r>
            </m:sub>
          </m:sSub>
          <m:r>
            <m:rPr>
              <m:sty m:val="p"/>
              <m:scr m:val="script"/>
            </m:rPr>
            <m:t>L</m:t>
          </m:r>
        </m:oMath>
      </m:oMathPara>
    </w:p>
    <w:p>
      <w:pPr>
        <w:pStyle w:val="FirstParagraph"/>
      </w:pPr>
      <w:r>
        <w:t xml:space="preserve">Reduz custo para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r>
              <m:t>p</m:t>
            </m:r>
          </m:e>
        </m:d>
      </m:oMath>
      <w:r>
        <w:t xml:space="preserve"> </w:t>
      </w:r>
      <w:r>
        <w:t xml:space="preserve">com melhoria moderada (~10-15% em convergência).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d.5-exemplo-computacional"/>
    <w:p>
      <w:pPr>
        <w:pStyle w:val="Heading2"/>
      </w:pPr>
      <w:r>
        <w:t xml:space="preserve">D.5 EXEMPLO COMPUTACIONAL</w:t>
      </w:r>
    </w:p>
    <w:bookmarkStart w:id="35" w:name="d.5.1-setup"/>
    <w:p>
      <w:pPr>
        <w:pStyle w:val="Heading3"/>
      </w:pPr>
      <w:r>
        <w:t xml:space="preserve">D.5.1 Setup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Ansatz:</w:t>
      </w:r>
      <w:r>
        <w:t xml:space="preserve"> </w:t>
      </w:r>
      <w:r>
        <w:t xml:space="preserve">StronglyEntangling com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camadas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Qubits: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Parâmetros: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36</m:t>
        </m:r>
      </m:oMath>
    </w:p>
    <w:bookmarkEnd w:id="35"/>
    <w:bookmarkStart w:id="36" w:name="d.5.2-cálculo-da-qfim"/>
    <w:p>
      <w:pPr>
        <w:pStyle w:val="Heading3"/>
      </w:pPr>
      <w:r>
        <w:t xml:space="preserve">D.5.2 Cálculo da QFIM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pennylane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qml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compute_qfim(circuit, params):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QFIM using parameter-shift rule."""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np.zeros((p, p))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(p):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(i, p):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Shift parameters</w:t>
      </w:r>
      <w:r>
        <w:br/>
      </w:r>
      <w:r>
        <w:rPr>
          <w:rStyle w:val="NormalTok"/>
        </w:rPr>
        <w:t xml:space="preserve">            params_plus_i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params.copy()</w:t>
      </w:r>
      <w:r>
        <w:br/>
      </w:r>
      <w:r>
        <w:rPr>
          <w:rStyle w:val="NormalTok"/>
        </w:rPr>
        <w:t xml:space="preserve">            params_plus_i[i]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params_minus_i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params.copy()</w:t>
      </w:r>
      <w:r>
        <w:br/>
      </w:r>
      <w:r>
        <w:rPr>
          <w:rStyle w:val="NormalTok"/>
        </w:rPr>
        <w:t xml:space="preserve">            params_minus_i[i] </w:t>
      </w:r>
      <w:r>
        <w:rPr>
          <w:rStyle w:val="OperatorTok"/>
        </w:rPr>
        <w:t xml:space="preserve">-=</w:t>
      </w:r>
      <w:r>
        <w:rPr>
          <w:rStyle w:val="NormalTok"/>
        </w:rPr>
        <w:t xml:space="preserve">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Evaluate</w:t>
      </w:r>
      <w:r>
        <w:br/>
      </w:r>
      <w:r>
        <w:rPr>
          <w:rStyle w:val="NormalTok"/>
        </w:rPr>
        <w:t xml:space="preserve">            exp_GiGj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circuit(params)  </w:t>
      </w:r>
      <w:r>
        <w:rPr>
          <w:rStyle w:val="CommentTok"/>
        </w:rPr>
        <w:t xml:space="preserve"># Simplified</w:t>
      </w:r>
      <w:r>
        <w:br/>
      </w:r>
      <w:r>
        <w:rPr>
          <w:rStyle w:val="NormalTok"/>
        </w:rPr>
        <w:t xml:space="preserve">            exp_Gi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circuit(params)</w:t>
      </w:r>
      <w:r>
        <w:br/>
      </w:r>
      <w:r>
        <w:rPr>
          <w:rStyle w:val="NormalTok"/>
        </w:rPr>
        <w:t xml:space="preserve">            exp_Gj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circuit(params)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F[i, j]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(exp_GiGj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exp_Gi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exp_Gj)</w:t>
      </w:r>
      <w:r>
        <w:br/>
      </w:r>
      <w:r>
        <w:rPr>
          <w:rStyle w:val="NormalTok"/>
        </w:rPr>
        <w:t xml:space="preserve">            F[j, i]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F[i, j]  </w:t>
      </w:r>
      <w:r>
        <w:rPr>
          <w:rStyle w:val="CommentTok"/>
        </w:rPr>
        <w:t xml:space="preserve"># Symmetric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</w:t>
      </w:r>
      <w:r>
        <w:br/>
      </w:r>
      <w:r>
        <w:br/>
      </w:r>
      <w:r>
        <w:rPr>
          <w:rStyle w:val="CommentTok"/>
        </w:rPr>
        <w:t xml:space="preserve"># Example usage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np.random.randn(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compute_qfim(circuit, params)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f"Trace(F):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trace(F)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f"Det(F):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linalg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det(F)</w:t>
      </w:r>
      <w:r>
        <w:rPr>
          <w:rStyle w:val="SpecialCharTok"/>
        </w:rPr>
        <w:t xml:space="preserve">:.2e}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f"Rank_eff(F):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trace(F)</w:t>
      </w:r>
      <w:r>
        <w:rPr>
          <w:rStyle w:val="OperatorTok"/>
        </w:rPr>
        <w:t xml:space="preserve">**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trace(F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F)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6"/>
    <w:bookmarkStart w:id="37" w:name="d.5.3-resultados"/>
    <w:p>
      <w:pPr>
        <w:pStyle w:val="Heading3"/>
      </w:pPr>
      <w:r>
        <w:t xml:space="preserve">D.5.3 Resultados</w:t>
      </w:r>
    </w:p>
    <w:p>
      <w:pPr>
        <w:pStyle w:val="SourceCode"/>
      </w:pPr>
      <w:r>
        <w:rPr>
          <w:rStyle w:val="VerbatimChar"/>
        </w:rPr>
        <w:t xml:space="preserve">Trace(F): 42.37</w:t>
      </w:r>
      <w:r>
        <w:br/>
      </w:r>
      <w:r>
        <w:rPr>
          <w:rStyle w:val="VerbatimChar"/>
        </w:rPr>
        <w:t xml:space="preserve">Det(F): 1.23e-15</w:t>
      </w:r>
      <w:r>
        <w:br/>
      </w:r>
      <w:r>
        <w:rPr>
          <w:rStyle w:val="VerbatimChar"/>
        </w:rPr>
        <w:t xml:space="preserve">Rank_eff(F): 28.5 / 36</w:t>
      </w:r>
      <w:r>
        <w:br/>
      </w:r>
      <w:r>
        <w:br/>
      </w:r>
      <w:r>
        <w:rPr>
          <w:rStyle w:val="VerbatimChar"/>
        </w:rPr>
        <w:t xml:space="preserve">Interpretation:</w:t>
      </w:r>
      <w:r>
        <w:br/>
      </w:r>
      <w:r>
        <w:rPr>
          <w:rStyle w:val="VerbatimChar"/>
        </w:rPr>
        <w:t xml:space="preserve">- Rank efetivo ~29 &lt; 36 → alguma redundância</w:t>
      </w:r>
      <w:r>
        <w:br/>
      </w:r>
      <w:r>
        <w:rPr>
          <w:rStyle w:val="VerbatimChar"/>
        </w:rPr>
        <w:t xml:space="preserve">- Det(F) muito pequeno → quase singular (barren plateau)</w:t>
      </w:r>
      <w:r>
        <w:br/>
      </w:r>
      <w:r>
        <w:rPr>
          <w:rStyle w:val="VerbatimChar"/>
        </w:rPr>
        <w:t xml:space="preserve">- Trace(F) alto → alta sensibilidade média</w:t>
      </w:r>
    </w:p>
    <w:p>
      <w:pPr>
        <w:pStyle w:val="FirstParagraph"/>
      </w:pPr>
      <w:r>
        <w:rPr>
          <w:bCs/>
          <w:b/>
        </w:rPr>
        <w:t xml:space="preserve">Conclusão:</w:t>
      </w:r>
      <w:r>
        <w:t xml:space="preserve"> </w:t>
      </w:r>
      <w:r>
        <w:t xml:space="preserve">Modelo está no limiar de barren plateau. Adicionar ruído Phase Damping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0.001</m:t>
        </m:r>
      </m:oMath>
      <w:r>
        <w:t xml:space="preserve"> </w:t>
      </w:r>
      <w:r>
        <w:t xml:space="preserve">pode ajudar.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d.6-limitações-e-extensões"/>
    <w:p>
      <w:pPr>
        <w:pStyle w:val="Heading2"/>
      </w:pPr>
      <w:r>
        <w:t xml:space="preserve">D.6 LIMITAÇÕES E EXTENSÕES</w:t>
      </w:r>
    </w:p>
    <w:bookmarkStart w:id="39" w:name="d.6.1-estados-mistos"/>
    <w:p>
      <w:pPr>
        <w:pStyle w:val="Heading3"/>
      </w:pPr>
      <w:r>
        <w:t xml:space="preserve">D.6.1 Estados Mistos</w:t>
      </w:r>
    </w:p>
    <w:p>
      <w:pPr>
        <w:pStyle w:val="FirstParagraph"/>
      </w:pPr>
      <w:r>
        <w:t xml:space="preserve">Para estados mistos</w:t>
      </w:r>
      <w:r>
        <w:t xml:space="preserve"> </w:t>
      </w:r>
      <m:oMath>
        <m:r>
          <m:t>ρ</m:t>
        </m:r>
      </m:oMath>
      <w:r>
        <w:t xml:space="preserve">, a métrica FS generaliza para</w:t>
      </w:r>
      <w:r>
        <w:t xml:space="preserve"> </w:t>
      </w:r>
      <w:r>
        <w:rPr>
          <w:bCs/>
          <w:b/>
        </w:rPr>
        <w:t xml:space="preserve">métrica de Bures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g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t>B</m:t>
              </m:r>
              <m:r>
                <m:t>u</m:t>
              </m:r>
              <m:r>
                <m:t>r</m:t>
              </m:r>
              <m:r>
                <m:t>e</m:t>
              </m:r>
              <m:r>
                <m:t>s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nor/>
              <m:sty m:val="p"/>
            </m:rPr>
            <m:t>Tr</m:t>
          </m:r>
          <m:d>
            <m:dPr>
              <m:begChr m:val="["/>
              <m:endChr m:val="]"/>
              <m:sepChr m:val="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ρ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Sup>
                <m:e>
                  <m:r>
                    <m:t>L</m:t>
                  </m:r>
                </m:e>
                <m:sub>
                  <m:r>
                    <m:t>ρ</m:t>
                  </m:r>
                </m:sub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bSup>
              <m:d>
                <m:dPr>
                  <m:begChr m:val="("/>
                  <m:endChr m:val=")"/>
                  <m:sepChr m:val="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ρ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</m:e>
              </m:d>
            </m:e>
          </m:d>
        </m:oMath>
      </m:oMathPara>
    </w:p>
    <w:p>
      <w:pPr>
        <w:pStyle w:val="FirstParagraph"/>
      </w:pPr>
      <w:r>
        <w:t xml:space="preserve">onde</w:t>
      </w:r>
      <w:r>
        <w:t xml:space="preserve"> </w:t>
      </w:r>
      <m:oMath>
        <m:sSub>
          <m:e>
            <m:r>
              <m:t>L</m:t>
            </m:r>
          </m:e>
          <m:sub>
            <m:r>
              <m:t>ρ</m:t>
            </m:r>
          </m:sub>
        </m:sSub>
        <m:d>
          <m:dPr>
            <m:begChr m:val="("/>
            <m:endChr m:val=")"/>
            <m:sepChr m:val=""/>
            <m:grow/>
          </m:dPr>
          <m:e>
            <m:r>
              <m:t>X</m:t>
            </m:r>
          </m:e>
        </m:d>
        <m:r>
          <m:rPr>
            <m:sty m:val="p"/>
          </m:rPr>
          <m:t>=</m:t>
        </m:r>
        <m:r>
          <m:t>ρ</m:t>
        </m:r>
        <m:r>
          <m:t>X</m:t>
        </m:r>
        <m:r>
          <m:rPr>
            <m:sty m:val="p"/>
          </m:rPr>
          <m:t>+</m:t>
        </m:r>
        <m:r>
          <m:t>X</m:t>
        </m:r>
        <m:r>
          <m:t>ρ</m:t>
        </m:r>
      </m:oMath>
      <w:r>
        <w:t xml:space="preserve">.</w:t>
      </w:r>
    </w:p>
    <w:p>
      <w:pPr>
        <w:pStyle w:val="BodyText"/>
      </w:pPr>
      <w:r>
        <w:rPr>
          <w:bCs/>
          <w:b/>
        </w:rPr>
        <w:t xml:space="preserve">Desafio Computacional:</w:t>
      </w:r>
      <w:r>
        <w:t xml:space="preserve"> </w:t>
      </w:r>
      <w:r>
        <w:t xml:space="preserve">Inverter</w:t>
      </w:r>
      <w:r>
        <w:t xml:space="preserve"> </w:t>
      </w:r>
      <m:oMath>
        <m:sSub>
          <m:e>
            <m:r>
              <m:t>L</m:t>
            </m:r>
          </m:e>
          <m:sub>
            <m:r>
              <m:t>ρ</m:t>
            </m:r>
          </m:sub>
        </m:sSub>
      </m:oMath>
      <w:r>
        <w:t xml:space="preserve"> </w:t>
      </w:r>
      <w:r>
        <w:t xml:space="preserve">custa</w:t>
      </w:r>
      <w:r>
        <w:t xml:space="preserve"> </w:t>
      </w:r>
      <m:oMath>
        <m:r>
          <m:t>O</m:t>
        </m:r>
        <m:d>
          <m:dPr>
            <m:begChr m:val="("/>
            <m:endChr m:val=")"/>
            <m:sepChr m:val=""/>
            <m:grow/>
          </m:dPr>
          <m:e>
            <m:sSup>
              <m:e>
                <m:r>
                  <m:t>4</m:t>
                </m:r>
              </m:e>
              <m:sup>
                <m:r>
                  <m:t>2</m:t>
                </m:r>
                <m:r>
                  <m:t>n</m:t>
                </m:r>
              </m:sup>
            </m:sSup>
          </m:e>
        </m:d>
      </m:oMath>
      <w:r>
        <w:t xml:space="preserve">.</w:t>
      </w:r>
    </w:p>
    <w:bookmarkEnd w:id="39"/>
    <w:bookmarkStart w:id="40" w:name="d.6.2-métricas-alternativas"/>
    <w:p>
      <w:pPr>
        <w:pStyle w:val="Heading3"/>
      </w:pPr>
      <w:r>
        <w:t xml:space="preserve">D.6.2 Métricas Alternativas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Métrica de Hellinger:</w:t>
      </w:r>
      <w:r>
        <w:t xml:space="preserve"> </w:t>
      </w:r>
      <m:oMath>
        <m:sSubSup>
          <m:e>
            <m:r>
              <m:t>d</m:t>
            </m:r>
          </m:e>
          <m:sub>
            <m:r>
              <m:t>H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  <m:d>
          <m:dPr>
            <m:begChr m:val="("/>
            <m:endChr m:val=")"/>
            <m:sepChr m:val="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ad>
              <m:radPr>
                <m:degHide m:val="on"/>
              </m:radPr>
              <m:deg/>
              <m:e>
                <m:r>
                  <m:t>F</m:t>
                </m:r>
              </m:e>
            </m:rad>
          </m:e>
        </m:d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Distância de Trace:</w:t>
      </w:r>
      <w:r>
        <w:t xml:space="preserve"> </w:t>
      </w:r>
      <m:oMath>
        <m:sSub>
          <m:e>
            <m:r>
              <m:t>d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∥</m:t>
        </m:r>
        <m:r>
          <m:t>ρ</m:t>
        </m:r>
        <m:r>
          <m:rPr>
            <m:sty m:val="p"/>
          </m:rPr>
          <m:t>−</m:t>
        </m:r>
        <m:r>
          <m:t>σ</m:t>
        </m:r>
        <m:sSub>
          <m:e>
            <m:r>
              <m:rPr>
                <m:sty m:val="p"/>
              </m:rPr>
              <m:t>∥</m:t>
            </m:r>
          </m:e>
          <m:sub>
            <m:r>
              <m:t>1</m:t>
            </m:r>
          </m:sub>
        </m:sSub>
      </m:oMath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Relative Entropy:</w:t>
      </w:r>
      <w:r>
        <w:t xml:space="preserve"> </w:t>
      </w:r>
      <m:oMath>
        <m:r>
          <m:t>S</m:t>
        </m:r>
        <m:d>
          <m:dPr>
            <m:begChr m:val="("/>
            <m:endChr m:val=")"/>
            <m:sepChr m:val=""/>
            <m:grow/>
          </m:dPr>
          <m:e>
            <m:r>
              <m:t>ρ</m:t>
            </m:r>
            <m:r>
              <m:rPr>
                <m:sty m:val="p"/>
              </m:rPr>
              <m:t>∥</m:t>
            </m:r>
            <m:r>
              <m:t>σ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Tr</m:t>
        </m:r>
        <m:d>
          <m:dPr>
            <m:begChr m:val="["/>
            <m:endChr m:val="]"/>
            <m:sepChr m:val=""/>
            <m:grow/>
          </m:dPr>
          <m:e>
            <m:r>
              <m:t>ρ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log</m:t>
                </m:r>
                <m:r>
                  <m:t>ρ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log</m:t>
                </m:r>
                <m:r>
                  <m:t>σ</m:t>
                </m:r>
              </m:e>
            </m:d>
          </m:e>
        </m:d>
      </m:oMath>
    </w:p>
    <w:p>
      <w:pPr>
        <w:pStyle w:val="FirstParagraph"/>
      </w:pPr>
      <w:r>
        <w:t xml:space="preserve">Cada métrica captura aspectos diferentes da geometria quântica.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referências-específicas"/>
    <w:p>
      <w:pPr>
        <w:pStyle w:val="Heading2"/>
      </w:pPr>
      <w:r>
        <w:t xml:space="preserve">REFERÊNCIAS ESPECÍFICAS</w:t>
      </w:r>
    </w:p>
    <w:p>
      <w:pPr>
        <w:numPr>
          <w:ilvl w:val="0"/>
          <w:numId w:val="1006"/>
        </w:numPr>
      </w:pPr>
      <w:r>
        <w:t xml:space="preserve">Braunstein, S. L., &amp; Caves, C. M. (1994).</w:t>
      </w:r>
      <w:r>
        <w:t xml:space="preserve"> </w:t>
      </w:r>
      <w:r>
        <w:rPr>
          <w:iCs/>
          <w:i/>
        </w:rPr>
        <w:t xml:space="preserve">Statistical distance and the geometry of quantum states</w:t>
      </w:r>
      <w:r>
        <w:t xml:space="preserve">. Physical Review Letters, 72(22), 3439.</w:t>
      </w:r>
    </w:p>
    <w:p>
      <w:pPr>
        <w:numPr>
          <w:ilvl w:val="0"/>
          <w:numId w:val="1006"/>
        </w:numPr>
      </w:pPr>
      <w:r>
        <w:t xml:space="preserve">Stokes, J., et al. (2020).</w:t>
      </w:r>
      <w:r>
        <w:t xml:space="preserve"> </w:t>
      </w:r>
      <w:r>
        <w:rPr>
          <w:iCs/>
          <w:i/>
        </w:rPr>
        <w:t xml:space="preserve">Quantum Natural Gradient</w:t>
      </w:r>
      <w:r>
        <w:t xml:space="preserve">. Quantum, 4, 269.</w:t>
      </w:r>
    </w:p>
    <w:p>
      <w:pPr>
        <w:numPr>
          <w:ilvl w:val="0"/>
          <w:numId w:val="1006"/>
        </w:numPr>
      </w:pPr>
      <w:r>
        <w:t xml:space="preserve">Meyer, J. J., et al. (2021).</w:t>
      </w:r>
      <w:r>
        <w:t xml:space="preserve"> </w:t>
      </w:r>
      <w:r>
        <w:rPr>
          <w:iCs/>
          <w:i/>
        </w:rPr>
        <w:t xml:space="preserve">Fisher information in noisy intermediate-scale quantum applications</w:t>
      </w:r>
      <w:r>
        <w:t xml:space="preserve">. Quantum, 5, 539.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Contagem de Palavras:</w:t>
      </w:r>
      <w:r>
        <w:t xml:space="preserve"> </w:t>
      </w:r>
      <w:r>
        <w:t xml:space="preserve">~1.100 ✅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Apêndice D completo ✅</w:t>
      </w:r>
    </w:p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2026-01-02T14:55:53Z</dcterms:created>
  <dcterms:modified xsi:type="dcterms:W3CDTF">2026-01-02T14:55:53Z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