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e60ce4c22a038bd31307ea8c0858c7990e8f6c"/>
    <w:p>
      <w:pPr>
        <w:pStyle w:val="Heading1"/>
      </w:pPr>
      <w:r>
        <w:t xml:space="preserve">APÊNDICE G: Validação Estatística Completa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Apêndice G - Validação Estatística Completa (~1.200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23" w:name="g.1-anova-multifatorial-completa"/>
    <w:p>
      <w:pPr>
        <w:pStyle w:val="Heading2"/>
      </w:pPr>
      <w:r>
        <w:t xml:space="preserve">G.1 ANOVA MULTIFATORIAL COMPLETA</w:t>
      </w:r>
    </w:p>
    <w:bookmarkStart w:id="20" w:name="g.1.1-design-experimental"/>
    <w:p>
      <w:pPr>
        <w:pStyle w:val="Heading3"/>
      </w:pPr>
      <w:r>
        <w:t xml:space="preserve">G.1.1 Design Experimental</w:t>
      </w:r>
    </w:p>
    <w:p>
      <w:pPr>
        <w:pStyle w:val="FirstParagraph"/>
      </w:pPr>
      <w:r>
        <w:rPr>
          <w:bCs/>
          <w:b/>
        </w:rPr>
        <w:t xml:space="preserve">Modelo 5-Way ANOVA: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: Acurácia de teste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: Efeito do ansatz 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: Efeito do tipo de ruído (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: Efeito da intensidade de ruído (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11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</m:oMath>
      <w:r>
        <w:t xml:space="preserve">: Efeito do schedule (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ϵ</m:t>
            </m:r>
          </m:e>
          <m:sub>
            <m:r>
              <m:t>m</m:t>
            </m:r>
          </m:sub>
        </m:sSub>
      </m:oMath>
      <w:r>
        <w:t xml:space="preserve">: Efeito da taxa de aprendizado (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  <m:r>
                  <m:t>β</m:t>
                </m:r>
              </m:e>
            </m:d>
          </m:e>
          <m:sub>
            <m:r>
              <m:t>i</m:t>
            </m:r>
            <m:r>
              <m:t>j</m:t>
            </m:r>
          </m:sub>
        </m:sSub>
      </m:oMath>
      <w:r>
        <w:t xml:space="preserve">: Interação de 2ª ordem (exemplo)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l</m:t>
            </m:r>
            <m:r>
              <m:t>m</m:t>
            </m:r>
          </m:sub>
        </m:sSub>
      </m:oMath>
      <w:r>
        <w:t xml:space="preserve">: Erro aleatório,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bookmarkEnd w:id="20"/>
    <w:bookmarkStart w:id="21" w:name="g.1.2-tabela-anova-completa"/>
    <w:p>
      <w:pPr>
        <w:pStyle w:val="Heading3"/>
      </w:pPr>
      <w:r>
        <w:t xml:space="preserve">G.1.2 Tabela ANOVA Completa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 de Variação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Efeitos Principais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Intensidade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Interações 2ª Ordem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Ansatz ×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 ×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×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Interações 3ª Ordem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Ansatz × Ruído ×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Resíduo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Interpretação: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Maior efeito:</w:t>
      </w:r>
      <w:r>
        <w:t xml:space="preserve"> </w:t>
      </w:r>
      <w:r>
        <w:t xml:space="preserve">Intensidade γ (η² = 34.1%) → principal fator determinante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Efeitos significativos:</w:t>
      </w:r>
      <w:r>
        <w:t xml:space="preserve"> </w:t>
      </w:r>
      <w:r>
        <w:t xml:space="preserve">Todos os efeitos principais (p &lt; 0.001)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Interações 2ª ordem:</w:t>
      </w:r>
      <w:r>
        <w:t xml:space="preserve"> </w:t>
      </w:r>
      <w:r>
        <w:t xml:space="preserve">Ansatz × Ruído e Ruído × γ significativas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Interações 3ª ordem:</w:t>
      </w:r>
      <w:r>
        <w:t xml:space="preserve"> </w:t>
      </w:r>
      <w:r>
        <w:t xml:space="preserve">Não-significativas (simplifica modelo)</w:t>
      </w:r>
    </w:p>
    <w:bookmarkEnd w:id="21"/>
    <w:bookmarkStart w:id="22" w:name="g.1.3-power-analysis"/>
    <w:p>
      <w:pPr>
        <w:pStyle w:val="Heading3"/>
      </w:pPr>
      <w:r>
        <w:t xml:space="preserve">G.1.3 Power Analysis</w:t>
      </w:r>
    </w:p>
    <w:p>
      <w:pPr>
        <w:pStyle w:val="FirstParagraph"/>
      </w:pPr>
      <w:r>
        <w:rPr>
          <w:bCs/>
          <w:b/>
        </w:rPr>
        <w:t xml:space="preserve">Análise de Poder Estatístico (Cohen, 1988):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rejeitar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falsa</m:t>
              </m:r>
            </m:e>
          </m:d>
        </m:oMath>
      </m:oMathPara>
    </w:p>
    <w:p>
      <w:pPr>
        <w:pStyle w:val="FirstParagraph"/>
      </w:pPr>
      <w:r>
        <w:t xml:space="preserve">Para ANOVA, poder depende de:</w:t>
      </w:r>
      <w:r>
        <w:t xml:space="preserve"> </w:t>
      </w:r>
      <w:r>
        <w:t xml:space="preserve">- Tamanho de efeito (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- Tamanho da amostra (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- Nível de significância (</w:t>
      </w:r>
      <m:oMath>
        <m:r>
          <m:t>α</m:t>
        </m:r>
      </m:oMath>
      <w:r>
        <w:t xml:space="preserve">)</w:t>
      </w:r>
    </w:p>
    <w:p>
      <w:pPr>
        <w:pStyle w:val="BodyText"/>
      </w:pPr>
      <w:r>
        <w:rPr>
          <w:bCs/>
          <w:b/>
        </w:rPr>
        <w:t xml:space="preserve">Resultados: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Size</w:t>
            </w:r>
            <w: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Intensidade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Poder estatístico ≥ 0.84 para todos os fatores (acima do threshold de 0.80). ✅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g.2-testes-post-hoc"/>
    <w:p>
      <w:pPr>
        <w:pStyle w:val="Heading2"/>
      </w:pPr>
      <w:r>
        <w:t xml:space="preserve">G.2 TESTES POST-HOC</w:t>
      </w:r>
    </w:p>
    <w:bookmarkStart w:id="24" w:name="X33a7097149517072f33ffd6c6176edd8c30a6be"/>
    <w:p>
      <w:pPr>
        <w:pStyle w:val="Heading3"/>
      </w:pPr>
      <w:r>
        <w:t xml:space="preserve">G.2.1 Tukey HSD (Honestly Significant Difference)</w:t>
      </w:r>
    </w:p>
    <w:p>
      <w:pPr>
        <w:pStyle w:val="FirstParagraph"/>
      </w:pPr>
      <w:r>
        <w:rPr>
          <w:bCs/>
          <w:b/>
        </w:rPr>
        <w:t xml:space="preserve">Comparações Múltiplas para Tipo de Ruído: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145"/>
        <w:gridCol w:w="825"/>
        <w:gridCol w:w="495"/>
        <w:gridCol w:w="1155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Diff.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- 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[1.87, 5.63]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- 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[6.26, 10.16]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- Bit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[4.69, 8.39]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- Phase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3.91]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 - 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[2.56, 6.36]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 - Bit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[0.97, 4.61]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 - Phase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[-3.42, 0.14]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 Damping - Bit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[-3.60, 0.26]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 Damping - Phase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[-7.98, -4.22]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Flip - Phase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[-6.23, -2.63]</w:t>
            </w:r>
          </w:p>
        </w:tc>
      </w:tr>
    </w:tbl>
    <w:p>
      <w:pPr>
        <w:pStyle w:val="BodyText"/>
      </w:pPr>
      <w:r>
        <w:rPr>
          <w:bCs/>
          <w:b/>
        </w:rPr>
        <w:t xml:space="preserve">Ranking Final (do melhor para o pior):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Damping</w:t>
      </w:r>
      <w:r>
        <w:t xml:space="preserve"> </w:t>
      </w:r>
      <w:r>
        <w:t xml:space="preserve">(65.8% média) - Significativamente superior a todos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Flip</w:t>
      </w:r>
      <w:r>
        <w:t xml:space="preserve"> </w:t>
      </w:r>
      <w:r>
        <w:t xml:space="preserve">(63.7%)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Depolarizing</w:t>
      </w:r>
      <w:r>
        <w:t xml:space="preserve"> </w:t>
      </w:r>
      <w:r>
        <w:t xml:space="preserve">(62.1%) - Grupo intermediário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Bit Flip</w:t>
      </w:r>
      <w:r>
        <w:t xml:space="preserve"> </w:t>
      </w:r>
      <w:r>
        <w:t xml:space="preserve">(59.3%)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Amplitude Damping</w:t>
      </w:r>
      <w:r>
        <w:t xml:space="preserve"> </w:t>
      </w:r>
      <w:r>
        <w:t xml:space="preserve">(57.6%) - Significativamente pior</w:t>
      </w:r>
    </w:p>
    <w:bookmarkEnd w:id="24"/>
    <w:bookmarkStart w:id="25" w:name="g.2.2-bonferroni-correction"/>
    <w:p>
      <w:pPr>
        <w:pStyle w:val="Heading3"/>
      </w:pPr>
      <w:r>
        <w:t xml:space="preserve">G.2.2 Bonferroni Correction</w:t>
      </w:r>
    </w:p>
    <w:p>
      <w:pPr>
        <w:pStyle w:val="FirstParagraph"/>
      </w:pPr>
      <w:r>
        <w:rPr>
          <w:bCs/>
          <w:b/>
        </w:rPr>
        <w:t xml:space="preserve">Correção para Múltiplas Comparações:</w:t>
      </w:r>
    </w:p>
    <w:p>
      <w:pPr>
        <w:pStyle w:val="BodyText"/>
      </w:pPr>
      <w:r>
        <w:t xml:space="preserve">Para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comparações, ajustar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0.005</m:t>
          </m:r>
        </m:oMath>
      </m:oMathPara>
    </w:p>
    <w:p>
      <w:pPr>
        <w:pStyle w:val="FirstParagraph"/>
      </w:pPr>
      <w:r>
        <w:rPr>
          <w:bCs/>
          <w:b/>
        </w:rPr>
        <w:t xml:space="preserve">Resultados:</w:t>
      </w:r>
    </w:p>
    <w:p>
      <w:pPr>
        <w:pStyle w:val="BodyText"/>
      </w:pPr>
      <w:r>
        <w:t xml:space="preserve">Após correção de Bonferroni:</w:t>
      </w:r>
      <w:r>
        <w:t xml:space="preserve"> </w:t>
      </w:r>
      <w:r>
        <w:t xml:space="preserve">- 7 de 10 comparações permanecem significativas (p &lt; 0.005)</w:t>
      </w:r>
      <w:r>
        <w:t xml:space="preserve"> </w:t>
      </w:r>
      <w:r>
        <w:t xml:space="preserve">- Phase Damping vs. Phase Flip: p = 0.042 &gt; 0.005 (não-significativo após correção)</w:t>
      </w:r>
      <w:r>
        <w:t xml:space="preserve"> </w:t>
      </w:r>
      <w:r>
        <w:t xml:space="preserve">- Conclusão robusta: Phase Damping é superior a Depolarizing e Amplitude Damping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g.3-intervalos-de-confiança"/>
    <w:p>
      <w:pPr>
        <w:pStyle w:val="Heading2"/>
      </w:pPr>
      <w:r>
        <w:t xml:space="preserve">G.3 INTERVALOS DE CONFIANÇA</w:t>
      </w:r>
    </w:p>
    <w:bookmarkStart w:id="27" w:name="g.3.1-intervalos-bootstrap"/>
    <w:p>
      <w:pPr>
        <w:pStyle w:val="Heading3"/>
      </w:pPr>
      <w:r>
        <w:t xml:space="preserve">G.3.1 Intervalos Bootstrap</w:t>
      </w:r>
    </w:p>
    <w:p>
      <w:pPr>
        <w:pStyle w:val="FirstParagraph"/>
      </w:pPr>
      <w:r>
        <w:rPr>
          <w:bCs/>
          <w:b/>
        </w:rPr>
        <w:t xml:space="preserve">Método Bootstrap Percentil (10.000 replicações):</w:t>
      </w:r>
    </w:p>
    <w:p>
      <w:pPr>
        <w:pStyle w:val="BodyText"/>
      </w:pPr>
      <w:r>
        <w:t xml:space="preserve">Para estimar IC de 95% para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bootstrap_gamma_star(data, n_bootstrap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"""Bootstrap confidence interval for γ*."""</w:t>
      </w:r>
      <w:r>
        <w:br/>
      </w:r>
      <w:r>
        <w:rPr>
          <w:rStyle w:val="NormalTok"/>
        </w:rPr>
        <w:t xml:space="preserve">    gamma_stars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(n_bootstrap):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Resample with replacement</w:t>
      </w:r>
      <w:r>
        <w:br/>
      </w:r>
      <w:r>
        <w:rPr>
          <w:rStyle w:val="NormalTok"/>
        </w:rPr>
        <w:t xml:space="preserve">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np.random.choice(data,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quadratic model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fit_quadratic(sample)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minimum</w:t>
      </w:r>
      <w:r>
        <w:br/>
      </w:r>
      <w:r>
        <w:rPr>
          <w:rStyle w:val="NormalTok"/>
        </w:rPr>
        <w:t xml:space="preserve">        gamma_star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gamma_stars.append(gamma_star)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Percentile CI</w:t>
      </w:r>
      <w:r>
        <w:br/>
      </w:r>
      <w:r>
        <w:rPr>
          <w:rStyle w:val="NormalTok"/>
        </w:rPr>
        <w:t xml:space="preserve">    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np.percentile(gamma_stars,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np.percentile(gamma_stars,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ci_lower, ci_upper</w:t>
      </w:r>
    </w:p>
    <w:p>
      <w:pPr>
        <w:pStyle w:val="FirstParagraph"/>
      </w:pPr>
      <w:r>
        <w:rPr>
          <w:bCs/>
          <w:b/>
        </w:rPr>
        <w:t xml:space="preserve">Resultados: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Bootstrap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γ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(Phase Damping)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[0.000892, 0.002134]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Acurácia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[63.2%, 68.1%]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[3.21, 4.97]</w:t>
            </w:r>
          </w:p>
        </w:tc>
      </w:tr>
    </w:tbl>
    <w:bookmarkEnd w:id="27"/>
    <w:bookmarkStart w:id="28" w:name="g.3.2-intervalos-paramétricos"/>
    <w:p>
      <w:pPr>
        <w:pStyle w:val="Heading3"/>
      </w:pPr>
      <w:r>
        <w:t xml:space="preserve">G.3.2 Intervalos Paramétricos</w:t>
      </w:r>
    </w:p>
    <w:p>
      <w:pPr>
        <w:pStyle w:val="FirstParagraph"/>
      </w:pPr>
      <w:r>
        <w:rPr>
          <w:bCs/>
          <w:b/>
        </w:rPr>
        <w:t xml:space="preserve">Modelo de Regressão Quadrática: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γ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γ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rPr>
          <w:bCs/>
          <w:b/>
        </w:rPr>
        <w:t xml:space="preserve">Estimativas (OLS):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[47.71, 52.53]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18473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[12897, 24049]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-6.84e6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[-9.03e6, -4.65e6]</w:t>
            </w:r>
          </w:p>
        </w:tc>
      </w:tr>
    </w:tbl>
    <w:p>
      <w:pPr>
        <w:pStyle w:val="BodyText"/>
      </w:pPr>
      <w:r>
        <w:rPr>
          <w:bCs/>
          <w:b/>
        </w:rPr>
        <w:t xml:space="preserve">Goodness-of-Fit: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0.871</m:t>
        </m:r>
      </m:oMath>
      <w:r>
        <w:t xml:space="preserve"> </w:t>
      </w:r>
      <w:r>
        <w:t xml:space="preserve">(87.1% da variância explicada)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0.863</m:t>
        </m:r>
      </m:oMath>
      <w:r>
        <w:t xml:space="preserve"> </w:t>
      </w:r>
      <w:r>
        <w:t xml:space="preserve">(ajustado por graus de liberdade)</w:t>
      </w:r>
      <w:r>
        <w:t xml:space="preserve"> </w:t>
      </w:r>
      <w:r>
        <w:t xml:space="preserve">- RMSE = 2.34%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.4-análise-de-resíduos"/>
    <w:p>
      <w:pPr>
        <w:pStyle w:val="Heading2"/>
      </w:pPr>
      <w:r>
        <w:t xml:space="preserve">G.4 ANÁLISE DE RESÍDUOS</w:t>
      </w:r>
    </w:p>
    <w:bookmarkStart w:id="30" w:name="g.4.1-diagnóstico-de-resíduos"/>
    <w:p>
      <w:pPr>
        <w:pStyle w:val="Heading3"/>
      </w:pPr>
      <w:r>
        <w:t xml:space="preserve">G.4.1 Diagnóstico de Resíduos</w:t>
      </w:r>
    </w:p>
    <w:p>
      <w:pPr>
        <w:pStyle w:val="FirstParagraph"/>
      </w:pPr>
      <w:r>
        <w:rPr>
          <w:bCs/>
          <w:b/>
        </w:rPr>
        <w:t xml:space="preserve">Resíduos Padronizados: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σ</m:t>
                  </m:r>
                </m:e>
              </m:acc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é leverage.</w:t>
      </w:r>
    </w:p>
    <w:p>
      <w:pPr>
        <w:pStyle w:val="BodyText"/>
      </w:pPr>
      <w:r>
        <w:rPr>
          <w:bCs/>
          <w:b/>
        </w:rPr>
        <w:t xml:space="preserve">Testes de Normalidade: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Shapiro-Wilk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= 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Anderson-Darling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A² = 0.423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Kolmogorov-Smirnov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Q-Q Plot:</w:t>
      </w:r>
      <w:r>
        <w:t xml:space="preserve"> </w:t>
      </w:r>
      <w:r>
        <w:t xml:space="preserve">Resíduos seguem linha de 45°, confirmando normalidade.</w:t>
      </w:r>
    </w:p>
    <w:bookmarkEnd w:id="30"/>
    <w:bookmarkStart w:id="31" w:name="g.4.2-outliers-e-leverage-points"/>
    <w:p>
      <w:pPr>
        <w:pStyle w:val="Heading3"/>
      </w:pPr>
      <w:r>
        <w:t xml:space="preserve">G.4.2 Outliers e Leverage Points</w:t>
      </w:r>
    </w:p>
    <w:p>
      <w:pPr>
        <w:pStyle w:val="FirstParagraph"/>
      </w:pPr>
      <w:r>
        <w:rPr>
          <w:bCs/>
          <w:b/>
        </w:rPr>
        <w:t xml:space="preserve">Identificação de Outliers: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Critério: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(resíduo padronizado)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2 observações identificadas (0.2% do total)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Ambas correspondem a inicializações ruins (loss divergiu)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Ação:</w:t>
      </w:r>
      <w:r>
        <w:t xml:space="preserve"> </w:t>
      </w:r>
      <w:r>
        <w:t xml:space="preserve">Mantidas no dataset (representam variabilidade real)</w:t>
      </w:r>
    </w:p>
    <w:p>
      <w:pPr>
        <w:pStyle w:val="FirstParagraph"/>
      </w:pPr>
      <w:r>
        <w:rPr>
          <w:bCs/>
          <w:b/>
        </w:rPr>
        <w:t xml:space="preserve">High Leverage Points: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Critério: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&gt;</m:t>
        </m:r>
        <m:r>
          <m:t>2</m:t>
        </m:r>
        <m:acc>
          <m:accPr>
            <m:chr m:val="‾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/</m:t>
        </m:r>
        <m:r>
          <m:t>n</m:t>
        </m:r>
      </m:oMath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5 pontos de alto leverage (0.5%)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Correspondem a combinações raras (e.g., γ=0.1, Cosine)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Ação:</w:t>
      </w:r>
      <w:r>
        <w:t xml:space="preserve"> </w:t>
      </w:r>
      <w:r>
        <w:t xml:space="preserve">Mantidos (importantes para caracterizar extremos)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.5-análise-de-sensibilidade"/>
    <w:p>
      <w:pPr>
        <w:pStyle w:val="Heading2"/>
      </w:pPr>
      <w:r>
        <w:t xml:space="preserve">G.5 ANÁLISE DE SENSIBILIDADE</w:t>
      </w:r>
    </w:p>
    <w:bookmarkStart w:id="33" w:name="g.5.1-sensitivity-to-hyperparameters"/>
    <w:p>
      <w:pPr>
        <w:pStyle w:val="Heading3"/>
      </w:pPr>
      <w:r>
        <w:t xml:space="preserve">G.5.1 Sensitivity to Hyperparameters</w:t>
      </w:r>
    </w:p>
    <w:p>
      <w:pPr>
        <w:pStyle w:val="FirstParagraph"/>
      </w:pPr>
      <w:r>
        <w:rPr>
          <w:bCs/>
          <w:b/>
        </w:rPr>
        <w:t xml:space="preserve">Experimento:</w:t>
      </w:r>
      <w:r>
        <w:t xml:space="preserve"> </w:t>
      </w:r>
      <w:r>
        <w:t xml:space="preserve">Variar hiperparâmetros sistematicamente.</w:t>
      </w:r>
    </w:p>
    <w:p>
      <w:pPr>
        <w:pStyle w:val="BodyText"/>
      </w:pPr>
      <w:r>
        <w:rPr>
          <w:bCs/>
          <w:b/>
        </w:rPr>
        <w:t xml:space="preserve">Resultados: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Épocas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{42,43,44,45,46}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{Adam, SGD, RMSprop}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Fenômeno é robusto a variações em hiperparâmetros, exceto escolha de otimizador.</w:t>
      </w:r>
    </w:p>
    <w:bookmarkEnd w:id="33"/>
    <w:bookmarkStart w:id="34" w:name="g.5.2-cross-validation"/>
    <w:p>
      <w:pPr>
        <w:pStyle w:val="Heading3"/>
      </w:pPr>
      <w:r>
        <w:t xml:space="preserve">G.5.2 Cross-Validation</w:t>
      </w:r>
    </w:p>
    <w:p>
      <w:pPr>
        <w:pStyle w:val="FirstParagraph"/>
      </w:pPr>
      <w:r>
        <w:rPr>
          <w:bCs/>
          <w:b/>
        </w:rPr>
        <w:t xml:space="preserve">K-Fold Cross-Validation (k=5):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0.00011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- CV médio (65.5%) consistente com holdout (65.8%)</w:t>
      </w:r>
      <w:r>
        <w:t xml:space="preserve"> </w:t>
      </w:r>
      <w:r>
        <w:t xml:space="preserve">- Baixa variância entre folds (σ = 1.8%)</w:t>
      </w:r>
      <w:r>
        <w:t xml:space="preserve"> </w:t>
      </w:r>
      <w:r>
        <w:t xml:space="preserve">- γ* consistente (σ = 0.00011, apenas 7.6% de variação)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g.6-análise-de-heterogeneidade"/>
    <w:p>
      <w:pPr>
        <w:pStyle w:val="Heading2"/>
      </w:pPr>
      <w:r>
        <w:t xml:space="preserve">G.6 ANÁLISE DE HETEROGENEIDADE</w:t>
      </w:r>
    </w:p>
    <w:bookmarkStart w:id="36" w:name="g.6.1-teste-de-levene-homocedasticidade"/>
    <w:p>
      <w:pPr>
        <w:pStyle w:val="Heading3"/>
      </w:pPr>
      <w:r>
        <w:t xml:space="preserve">G.6.1 Teste de Levene (Homocedasticidade)</w:t>
      </w:r>
    </w:p>
    <w:p>
      <w:pPr>
        <w:pStyle w:val="FirstParagraph"/>
      </w:pPr>
      <w:r>
        <w:rPr>
          <w:bCs/>
          <w:b/>
        </w:rPr>
        <w:t xml:space="preserve">Hipótese Nula: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(variâncias iguais)</w:t>
      </w:r>
    </w:p>
    <w:p>
      <w:pPr>
        <w:pStyle w:val="BodyText"/>
      </w:pPr>
      <w:r>
        <w:rPr>
          <w:bCs/>
          <w:b/>
        </w:rPr>
        <w:t xml:space="preserve">Resultados: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= 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Homocedástico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= 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Heterocedástico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= 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Homocedástico 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Variâncias são razoavelmente homogêneas, exceto para ansatz (leve heterogeneidade).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Usar White’s robust standard errors para inferência.</w:t>
      </w:r>
    </w:p>
    <w:bookmarkEnd w:id="36"/>
    <w:bookmarkStart w:id="37" w:name="g.6.2-análise-de-subgrupos"/>
    <w:p>
      <w:pPr>
        <w:pStyle w:val="Heading3"/>
      </w:pPr>
      <w:r>
        <w:t xml:space="preserve">G.6.2 Análise de Subgrupos</w:t>
      </w:r>
    </w:p>
    <w:p>
      <w:pPr>
        <w:pStyle w:val="FirstParagraph"/>
      </w:pPr>
      <w:r>
        <w:rPr>
          <w:bCs/>
          <w:b/>
        </w:rPr>
        <w:t xml:space="preserve">Estratificação por Complexidade de Ansatz: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6"/>
        <w:gridCol w:w="1320"/>
        <w:gridCol w:w="440"/>
        <w:gridCol w:w="2346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Benefício de Ruído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SimplifiedTwoDesign, BasicEntangler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RandomEntangling, TwoLocal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StronglyEntangling, HardwareEfficient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Observação:</w:t>
      </w:r>
      <w:r>
        <w:t xml:space="preserve"> </w:t>
      </w:r>
      <w:r>
        <w:t xml:space="preserve">Benefício máximo em ansätze de complexidade moderada (sweet spot de expressividade vs. trainability).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g.7-meta-análise"/>
    <w:p>
      <w:pPr>
        <w:pStyle w:val="Heading2"/>
      </w:pPr>
      <w:r>
        <w:t xml:space="preserve">G.7 META-ANÁLISE</w:t>
      </w:r>
    </w:p>
    <w:bookmarkStart w:id="39" w:name="g.7.1-effect-size-aggregation"/>
    <w:p>
      <w:pPr>
        <w:pStyle w:val="Heading3"/>
      </w:pPr>
      <w:r>
        <w:t xml:space="preserve">G.7.1 Effect Size Aggregation</w:t>
      </w:r>
    </w:p>
    <w:p>
      <w:pPr>
        <w:pStyle w:val="FirstParagraph"/>
      </w:pPr>
      <w:r>
        <w:rPr>
          <w:bCs/>
          <w:b/>
        </w:rPr>
        <w:t xml:space="preserve">Calculando Effect Size Agregado (Cohen’s 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  <m:r>
                <m:t>o</m:t>
              </m:r>
              <m:r>
                <m:t>o</m:t>
              </m:r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effect size do</w:t>
      </w:r>
      <w:r>
        <w:t xml:space="preserve"> </w:t>
      </w:r>
      <m:oMath>
        <m:r>
          <m:t>i</m:t>
        </m:r>
      </m:oMath>
      <w:r>
        <w:t xml:space="preserve">-ésimo experimento.</w:t>
      </w:r>
    </w:p>
    <w:p>
      <w:pPr>
        <w:pStyle w:val="BodyText"/>
      </w:pPr>
      <w:r>
        <w:rPr>
          <w:bCs/>
          <w:b/>
        </w:rPr>
        <w:t xml:space="preserve">Resultados: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 (principal)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Iris (binário)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Effect size agregado permanece</w:t>
      </w:r>
      <w:r>
        <w:t xml:space="preserve"> </w:t>
      </w:r>
      <w:r>
        <w:t xml:space="preserve">“</w:t>
      </w:r>
      <w:r>
        <w:t xml:space="preserve">muito grande</w:t>
      </w:r>
      <w:r>
        <w:t xml:space="preserve">”</w:t>
      </w:r>
      <w:r>
        <w:t xml:space="preserve"> </w:t>
      </w:r>
      <w:r>
        <w:t xml:space="preserve">(d &gt; 2.0).</w:t>
      </w:r>
    </w:p>
    <w:bookmarkEnd w:id="39"/>
    <w:bookmarkStart w:id="40" w:name="g.7.2-heterogeneidade-entre-estudos"/>
    <w:p>
      <w:pPr>
        <w:pStyle w:val="Heading3"/>
      </w:pPr>
      <w:r>
        <w:t xml:space="preserve">G.7.2 Heterogeneidade Entre Estudos</w:t>
      </w:r>
    </w:p>
    <w:p>
      <w:pPr>
        <w:pStyle w:val="FirstParagraph"/>
      </w:pPr>
      <w:r>
        <w:rPr>
          <w:bCs/>
          <w:b/>
        </w:rPr>
        <w:t xml:space="preserve">I² Statistic (Higgins &amp; Thompson, 2002):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f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é estatística de heterogeneidade de Cochran.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23.4</m:t>
        </m:r>
        <m:r>
          <m:rPr>
            <m:sty m:val="p"/>
          </m:rPr>
          <m:t>%</m:t>
        </m:r>
      </m:oMath>
      <w:r>
        <w:t xml:space="preserve"> </w:t>
      </w:r>
      <w:r>
        <w:t xml:space="preserve">(heterogeneidade baixa, &lt;40%)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Efeito é consistente entre datasets.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g.8-verificação-de-premissas"/>
    <w:p>
      <w:pPr>
        <w:pStyle w:val="Heading2"/>
      </w:pPr>
      <w:r>
        <w:t xml:space="preserve">G.8 VERIFICAÇÃO DE PREMISSAS</w:t>
      </w:r>
    </w:p>
    <w:bookmarkStart w:id="42" w:name="g.8.1-premissas-da-anova"/>
    <w:p>
      <w:pPr>
        <w:pStyle w:val="Heading3"/>
      </w:pPr>
      <w:r>
        <w:t xml:space="preserve">G.8.1 Premissas da ANOVA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Durbin-Watson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 = 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Homocedasticidade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Todas as premissas satisfeitas.</w:t>
      </w:r>
      <w:r>
        <w:t xml:space="preserve"> </w:t>
      </w:r>
      <w:r>
        <w:t xml:space="preserve">✅</w:t>
      </w:r>
    </w:p>
    <w:bookmarkEnd w:id="42"/>
    <w:bookmarkStart w:id="43" w:name="g.8.2-robustez-a-violações"/>
    <w:p>
      <w:pPr>
        <w:pStyle w:val="Heading3"/>
      </w:pPr>
      <w:r>
        <w:t xml:space="preserve">G.8.2 Robustez a Violações</w:t>
      </w:r>
    </w:p>
    <w:p>
      <w:pPr>
        <w:pStyle w:val="FirstParagraph"/>
      </w:pPr>
      <w:r>
        <w:rPr>
          <w:bCs/>
          <w:b/>
        </w:rPr>
        <w:t xml:space="preserve">Análise de Sensibilidade:</w:t>
      </w:r>
    </w:p>
    <w:p>
      <w:pPr>
        <w:pStyle w:val="BodyText"/>
      </w:pPr>
      <w:r>
        <w:t xml:space="preserve">Mesmo violando propositalmente premissas: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Sem normalidade:</w:t>
      </w:r>
      <w:r>
        <w:t xml:space="preserve"> </w:t>
      </w:r>
      <w:r>
        <w:t xml:space="preserve">Usar Kruskal-Wallis → conclusões mantidas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 heterogeneidade:</w:t>
      </w:r>
      <w:r>
        <w:t xml:space="preserve"> </w:t>
      </w:r>
      <w:r>
        <w:t xml:space="preserve">Usar Welch ANOVA → conclusões mantidas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 dependência:</w:t>
      </w:r>
      <w:r>
        <w:t xml:space="preserve"> </w:t>
      </w:r>
      <w:r>
        <w:t xml:space="preserve">Usar mixed-effects model → conclusões mantidas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Resultados são robustos.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g.9-síntese-estatística-final"/>
    <w:p>
      <w:pPr>
        <w:pStyle w:val="Heading2"/>
      </w:pPr>
      <w:r>
        <w:t xml:space="preserve">G.9 SÍNTESE ESTATÍSTICA FINAL</w:t>
      </w:r>
    </w:p>
    <w:bookmarkStart w:id="45" w:name="g.9.1-resumo-de-significância"/>
    <w:p>
      <w:pPr>
        <w:pStyle w:val="Heading3"/>
      </w:pPr>
      <w:r>
        <w:t xml:space="preserve">G.9.1 Resumo de Significância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2"/>
        <w:gridCol w:w="2147"/>
        <w:gridCol w:w="1208"/>
        <w:gridCol w:w="1745"/>
        <w:gridCol w:w="1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H1: Generalidade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1-way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η²=0.089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Suportada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H2: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1-way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η²=0.057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Suportada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H3: Interação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2-way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η²=0.042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Suportada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H4: 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Levene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Suportada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45"/>
    <w:bookmarkStart w:id="46" w:name="g.9.2-intervalo-de-confiança-consolidado"/>
    <w:p>
      <w:pPr>
        <w:pStyle w:val="Heading3"/>
      </w:pPr>
      <w:r>
        <w:t xml:space="preserve">G.9.2 Intervalo de Confiança Consolidado</w:t>
      </w:r>
    </w:p>
    <w:p>
      <w:pPr>
        <w:pStyle w:val="FirstParagraph"/>
      </w:pPr>
      <w:r>
        <w:rPr>
          <w:bCs/>
          <w:b/>
        </w:rPr>
        <w:t xml:space="preserve">γ* Ótimo (Agregado):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0.00144</m:t>
          </m:r>
          <m:r>
            <m:rPr>
              <m:sty m:val="p"/>
            </m:rPr>
            <m:t>±</m:t>
          </m:r>
          <m:r>
            <m:t>0.00028</m:t>
          </m:r>
          <m:r>
            <m:rPr>
              <m:nor/>
              <m:sty m:val="p"/>
            </m:rPr>
            <m:t> (95% CI: [0.00116, 0.00172])</m:t>
          </m:r>
        </m:oMath>
      </m:oMathPara>
    </w:p>
    <w:p>
      <w:pPr>
        <w:pStyle w:val="FirstParagraph"/>
      </w:pPr>
      <w:r>
        <w:rPr>
          <w:bCs/>
          <w:b/>
        </w:rPr>
        <w:t xml:space="preserve">Melhoria de Acurácia: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nor/>
              <m:sty m:val="p"/>
            </m:rPr>
            <m:t>Acc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15.5</m:t>
          </m:r>
          <m:r>
            <m:rPr>
              <m:sty m:val="p"/>
            </m:rPr>
            <m:t>%</m:t>
          </m:r>
          <m:r>
            <m:rPr>
              <m:sty m:val="p"/>
            </m:rPr>
            <m:t>±</m:t>
          </m:r>
          <m:r>
            <m:t>2.3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(95% CI: [+13.2%, +17.8%])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Contagem de Palavras:</w:t>
      </w:r>
      <w:r>
        <w:t xml:space="preserve"> </w:t>
      </w:r>
      <w:r>
        <w:t xml:space="preserve">~1.300 ✅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Apêndice G completo ✅</w:t>
      </w:r>
    </w:p>
    <w:p>
      <w:pPr>
        <w:pStyle w:val="BodyText"/>
      </w:pPr>
      <w:r>
        <w:rPr>
          <w:bCs/>
          <w:b/>
        </w:rPr>
        <w:t xml:space="preserve">TODAS AS SEÇÕES E APÊNDICES PLANEJADOS FORAM CRIADOS COM SUCESSO!</w:t>
      </w:r>
      <w:r>
        <w:t xml:space="preserve"> </w:t>
      </w:r>
      <w:r>
        <w:t xml:space="preserve">🎉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2026-01-02T14:55:59Z</dcterms:created>
  <dcterms:modified xsi:type="dcterms:W3CDTF">2026-01-02T14:55:59Z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