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hecklist-de-auditoria---0-100-pontos"/>
    <w:p>
      <w:pPr>
        <w:pStyle w:val="Heading1"/>
      </w:pPr>
      <w:r>
        <w:t xml:space="preserve">Checklist de Auditoria - 0-100 Pontos</w:t>
      </w:r>
    </w:p>
    <w:p>
      <w:pPr>
        <w:pStyle w:val="FirstParagraph"/>
      </w:pPr>
      <w:r>
        <w:rPr>
          <w:bCs/>
          <w:b/>
        </w:rPr>
        <w:t xml:space="preserve">Data</w:t>
      </w:r>
      <w:r>
        <w:t xml:space="preserve">: 2025-12-26 18:57:23</w:t>
      </w:r>
      <w:r>
        <w:t xml:space="preserve"> </w:t>
      </w:r>
      <w:r>
        <w:rPr>
          <w:bCs/>
          <w:b/>
        </w:rPr>
        <w:t xml:space="preserve">Configuração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bCs/>
          <w:b/>
        </w:rPr>
        <w:t xml:space="preserve">Manuscrito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artigo_cientifico</w:t>
      </w:r>
    </w:p>
    <w:bookmarkStart w:id="21" w:name="pontuação-final"/>
    <w:p>
      <w:pPr>
        <w:pStyle w:val="Heading2"/>
      </w:pPr>
      <w:r>
        <w:t xml:space="preserve">🎯 Pontuação Final</w:t>
      </w:r>
    </w:p>
    <w:bookmarkStart w:id="20" w:name="pontos-100.0"/>
    <w:p>
      <w:pPr>
        <w:pStyle w:val="Heading3"/>
      </w:pPr>
      <w:r>
        <w:rPr>
          <w:bCs/>
          <w:b/>
        </w:rPr>
        <w:t xml:space="preserve">100/100 pontos (100.0%)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EXCELENTE</w:t>
      </w:r>
      <w:r>
        <w:t xml:space="preserve"> </w:t>
      </w:r>
      <w:r>
        <w:t xml:space="preserve">- Pronto para submissão a periódicos Qualis A1</w:t>
      </w:r>
    </w:p>
    <w:bookmarkEnd w:id="20"/>
    <w:bookmarkEnd w:id="21"/>
    <w:bookmarkStart w:id="26" w:name="detalhamento-por-categoria"/>
    <w:p>
      <w:pPr>
        <w:pStyle w:val="Heading2"/>
      </w:pPr>
      <w:r>
        <w:t xml:space="preserve">📊 Detalhamento por Categoria</w:t>
      </w:r>
    </w:p>
    <w:bookmarkStart w:id="22" w:name="reprodutibilidade-3030-pts-100"/>
    <w:p>
      <w:pPr>
        <w:pStyle w:val="Heading3"/>
      </w:pPr>
      <w:r>
        <w:t xml:space="preserve">Reprodutibilidade: 30/30 pts (100%)</w:t>
      </w:r>
    </w:p>
    <w:p>
      <w:pPr>
        <w:numPr>
          <w:ilvl w:val="0"/>
          <w:numId w:val="1001"/>
        </w:numPr>
        <w:pStyle w:val="Compact"/>
      </w:pPr>
      <w:r>
        <w:t xml:space="preserve">✓ Environment file found (10/10)</w:t>
      </w:r>
    </w:p>
    <w:p>
      <w:pPr>
        <w:numPr>
          <w:ilvl w:val="0"/>
          <w:numId w:val="1001"/>
        </w:numPr>
        <w:pStyle w:val="Compact"/>
      </w:pPr>
      <w:r>
        <w:t xml:space="preserve">✓ Seeds documented (10/10)</w:t>
      </w:r>
    </w:p>
    <w:p>
      <w:pPr>
        <w:numPr>
          <w:ilvl w:val="0"/>
          <w:numId w:val="1001"/>
        </w:numPr>
        <w:pStyle w:val="Compact"/>
      </w:pPr>
      <w:r>
        <w:t xml:space="preserve">✓ Execution pipeline documented (10/10)</w:t>
      </w:r>
    </w:p>
    <w:bookmarkEnd w:id="22"/>
    <w:bookmarkStart w:id="23" w:name="rastreabilidade-3030-pts-100"/>
    <w:p>
      <w:pPr>
        <w:pStyle w:val="Heading3"/>
      </w:pPr>
      <w:r>
        <w:t xml:space="preserve">Rastreabilidade: 30/30 pts (100%)</w:t>
      </w:r>
    </w:p>
    <w:p>
      <w:pPr>
        <w:numPr>
          <w:ilvl w:val="0"/>
          <w:numId w:val="1002"/>
        </w:numPr>
        <w:pStyle w:val="Compact"/>
      </w:pPr>
      <w:r>
        <w:t xml:space="preserve">✓ Traceability table complete (15/15)</w:t>
      </w:r>
    </w:p>
    <w:p>
      <w:pPr>
        <w:numPr>
          <w:ilvl w:val="0"/>
          <w:numId w:val="1002"/>
        </w:numPr>
        <w:pStyle w:val="Compact"/>
      </w:pPr>
      <w:r>
        <w:t xml:space="preserve">✓ Code→Method mapping complete (15/15)</w:t>
      </w:r>
    </w:p>
    <w:bookmarkEnd w:id="23"/>
    <w:bookmarkStart w:id="24" w:name="rigor-estatístico-2020-pts-100"/>
    <w:p>
      <w:pPr>
        <w:pStyle w:val="Heading3"/>
      </w:pPr>
      <w:r>
        <w:t xml:space="preserve">Rigor Estatístico: 20/20 pts (100%)</w:t>
      </w:r>
    </w:p>
    <w:p>
      <w:pPr>
        <w:numPr>
          <w:ilvl w:val="0"/>
          <w:numId w:val="1003"/>
        </w:numPr>
        <w:pStyle w:val="Compact"/>
      </w:pPr>
      <w:r>
        <w:t xml:space="preserve">✓ Statistical tests documented (5/5)</w:t>
      </w:r>
    </w:p>
    <w:p>
      <w:pPr>
        <w:numPr>
          <w:ilvl w:val="0"/>
          <w:numId w:val="1003"/>
        </w:numPr>
        <w:pStyle w:val="Compact"/>
      </w:pPr>
      <w:r>
        <w:t xml:space="preserve">✓ Multiple comparison correction applied (5/5)</w:t>
      </w:r>
    </w:p>
    <w:p>
      <w:pPr>
        <w:numPr>
          <w:ilvl w:val="0"/>
          <w:numId w:val="1003"/>
        </w:numPr>
        <w:pStyle w:val="Compact"/>
      </w:pPr>
      <w:r>
        <w:t xml:space="preserve">✓ Confidence intervals reported (5/5)</w:t>
      </w:r>
    </w:p>
    <w:p>
      <w:pPr>
        <w:numPr>
          <w:ilvl w:val="0"/>
          <w:numId w:val="1003"/>
        </w:numPr>
        <w:pStyle w:val="Compact"/>
      </w:pPr>
      <w:r>
        <w:t xml:space="preserve">✓ Effect sizes reported (5/5)</w:t>
      </w:r>
    </w:p>
    <w:bookmarkEnd w:id="24"/>
    <w:bookmarkStart w:id="25" w:name="transparência-2020-pts-100"/>
    <w:p>
      <w:pPr>
        <w:pStyle w:val="Heading3"/>
      </w:pPr>
      <w:r>
        <w:t xml:space="preserve">Transparência: 20/20 pts (100%)</w:t>
      </w:r>
    </w:p>
    <w:p>
      <w:pPr>
        <w:numPr>
          <w:ilvl w:val="0"/>
          <w:numId w:val="1004"/>
        </w:numPr>
        <w:pStyle w:val="Compact"/>
      </w:pPr>
      <w:r>
        <w:t xml:space="preserve">✓ Code publicly available (10/10)</w:t>
      </w:r>
    </w:p>
    <w:p>
      <w:pPr>
        <w:numPr>
          <w:ilvl w:val="0"/>
          <w:numId w:val="1004"/>
        </w:numPr>
        <w:pStyle w:val="Compact"/>
      </w:pPr>
      <w:r>
        <w:t xml:space="preserve">✓ Data availability documented (5/5)</w:t>
      </w:r>
    </w:p>
    <w:p>
      <w:pPr>
        <w:numPr>
          <w:ilvl w:val="0"/>
          <w:numId w:val="1004"/>
        </w:numPr>
        <w:pStyle w:val="Compact"/>
      </w:pPr>
      <w:r>
        <w:t xml:space="preserve">✓ Limitations and threats to validity discussed (5/5)</w:t>
      </w:r>
    </w:p>
    <w:bookmarkEnd w:id="25"/>
    <w:bookmarkEnd w:id="26"/>
    <w:bookmarkStart w:id="27" w:name="recomendações"/>
    <w:p>
      <w:pPr>
        <w:pStyle w:val="Heading2"/>
      </w:pPr>
      <w:r>
        <w:t xml:space="preserve">💡 Recomendações</w:t>
      </w:r>
    </w:p>
    <w:p>
      <w:pPr>
        <w:pStyle w:val="FirstParagraph"/>
      </w:pPr>
      <w:r>
        <w:t xml:space="preserve">Excelente trabalho! O manuscrito atende aos mais altos padrões:</w:t>
      </w:r>
    </w:p>
    <w:p>
      <w:pPr>
        <w:numPr>
          <w:ilvl w:val="0"/>
          <w:numId w:val="1005"/>
        </w:numPr>
        <w:pStyle w:val="Compact"/>
      </w:pPr>
      <w:r>
        <w:t xml:space="preserve">Revisar uma última vez antes da submissão</w:t>
      </w:r>
    </w:p>
    <w:p>
      <w:pPr>
        <w:numPr>
          <w:ilvl w:val="0"/>
          <w:numId w:val="1005"/>
        </w:numPr>
        <w:pStyle w:val="Compact"/>
      </w:pPr>
      <w:r>
        <w:t xml:space="preserve">Verificar formatação específica do periódico-alvo</w:t>
      </w:r>
    </w:p>
    <w:p>
      <w:pPr>
        <w:numPr>
          <w:ilvl w:val="0"/>
          <w:numId w:val="1005"/>
        </w:numPr>
        <w:pStyle w:val="Compact"/>
      </w:pPr>
      <w:r>
        <w:t xml:space="preserve">Preparar carta de apresentação (cover letter)</w:t>
      </w:r>
    </w:p>
    <w:bookmarkEnd w:id="27"/>
    <w:bookmarkStart w:id="32" w:name="checklist-detalhado"/>
    <w:p>
      <w:pPr>
        <w:pStyle w:val="Heading2"/>
      </w:pPr>
      <w:r>
        <w:t xml:space="preserve">📋 Checklist Detalhado</w:t>
      </w:r>
    </w:p>
    <w:bookmarkStart w:id="28" w:name="reprodutibilidade-30-pts"/>
    <w:p>
      <w:pPr>
        <w:pStyle w:val="Heading3"/>
      </w:pPr>
      <w:r>
        <w:t xml:space="preserve">Reprodutibilidade (30 pts)</w:t>
      </w:r>
    </w:p>
    <w:p>
      <w:pPr>
        <w:numPr>
          <w:ilvl w:val="0"/>
          <w:numId w:val="1006"/>
        </w:numPr>
        <w:pStyle w:val="Compact"/>
      </w:pPr>
      <w:r>
        <w:t xml:space="preserve">☐ Ambiente documentado (10 pts)</w:t>
      </w:r>
    </w:p>
    <w:p>
      <w:pPr>
        <w:numPr>
          <w:ilvl w:val="0"/>
          <w:numId w:val="1006"/>
        </w:numPr>
        <w:pStyle w:val="Compact"/>
      </w:pPr>
      <w:r>
        <w:t xml:space="preserve">☐ Seeds fixas e reportadas (10 pts)</w:t>
      </w:r>
    </w:p>
    <w:p>
      <w:pPr>
        <w:numPr>
          <w:ilvl w:val="0"/>
          <w:numId w:val="1006"/>
        </w:numPr>
        <w:pStyle w:val="Compact"/>
      </w:pPr>
      <w:r>
        <w:t xml:space="preserve">☐ Pipeline executável (10 pts)</w:t>
      </w:r>
    </w:p>
    <w:bookmarkEnd w:id="28"/>
    <w:bookmarkStart w:id="29" w:name="rastreabilidade-30-pts"/>
    <w:p>
      <w:pPr>
        <w:pStyle w:val="Heading3"/>
      </w:pPr>
      <w:r>
        <w:t xml:space="preserve">Rastreabilidade (30 pts)</w:t>
      </w:r>
    </w:p>
    <w:p>
      <w:pPr>
        <w:numPr>
          <w:ilvl w:val="0"/>
          <w:numId w:val="1007"/>
        </w:numPr>
        <w:pStyle w:val="Compact"/>
      </w:pPr>
      <w:r>
        <w:t xml:space="preserve">☐ Tabela de rastreabilidade completa (15 pts)</w:t>
      </w:r>
    </w:p>
    <w:p>
      <w:pPr>
        <w:numPr>
          <w:ilvl w:val="0"/>
          <w:numId w:val="1007"/>
        </w:numPr>
        <w:pStyle w:val="Compact"/>
      </w:pPr>
      <w:r>
        <w:t xml:space="preserve">☐ Mapa código→método completo (15 pts)</w:t>
      </w:r>
    </w:p>
    <w:bookmarkEnd w:id="29"/>
    <w:bookmarkStart w:id="30" w:name="rigor-estatístico-20-pts"/>
    <w:p>
      <w:pPr>
        <w:pStyle w:val="Heading3"/>
      </w:pPr>
      <w:r>
        <w:t xml:space="preserve">Rigor Estatístico (20 pts)</w:t>
      </w:r>
    </w:p>
    <w:p>
      <w:pPr>
        <w:numPr>
          <w:ilvl w:val="0"/>
          <w:numId w:val="1008"/>
        </w:numPr>
        <w:pStyle w:val="Compact"/>
      </w:pPr>
      <w:r>
        <w:t xml:space="preserve">☐ Testes apropriados (5 pts)</w:t>
      </w:r>
    </w:p>
    <w:p>
      <w:pPr>
        <w:numPr>
          <w:ilvl w:val="0"/>
          <w:numId w:val="1008"/>
        </w:numPr>
        <w:pStyle w:val="Compact"/>
      </w:pPr>
      <w:r>
        <w:t xml:space="preserve">☐ Correção para múltiplas comparações (5 pts)</w:t>
      </w:r>
    </w:p>
    <w:p>
      <w:pPr>
        <w:numPr>
          <w:ilvl w:val="0"/>
          <w:numId w:val="1008"/>
        </w:numPr>
        <w:pStyle w:val="Compact"/>
      </w:pPr>
      <w:r>
        <w:t xml:space="preserve">☐ Intervalos de confiança (5 pts)</w:t>
      </w:r>
    </w:p>
    <w:p>
      <w:pPr>
        <w:numPr>
          <w:ilvl w:val="0"/>
          <w:numId w:val="1008"/>
        </w:numPr>
        <w:pStyle w:val="Compact"/>
      </w:pPr>
      <w:r>
        <w:t xml:space="preserve">☐ Tamanhos de efeito (5 pts)</w:t>
      </w:r>
    </w:p>
    <w:bookmarkEnd w:id="30"/>
    <w:bookmarkStart w:id="31" w:name="transparência-20-pts"/>
    <w:p>
      <w:pPr>
        <w:pStyle w:val="Heading3"/>
      </w:pPr>
      <w:r>
        <w:t xml:space="preserve">Transparência (20 pts)</w:t>
      </w:r>
    </w:p>
    <w:p>
      <w:pPr>
        <w:numPr>
          <w:ilvl w:val="0"/>
          <w:numId w:val="1009"/>
        </w:numPr>
        <w:pStyle w:val="Compact"/>
      </w:pPr>
      <w:r>
        <w:t xml:space="preserve">☐ Código disponível publicamente (10 pts)</w:t>
      </w:r>
    </w:p>
    <w:p>
      <w:pPr>
        <w:numPr>
          <w:ilvl w:val="0"/>
          <w:numId w:val="1009"/>
        </w:numPr>
        <w:pStyle w:val="Compact"/>
      </w:pPr>
      <w:r>
        <w:t xml:space="preserve">☐ Dados disponíveis publicamente (5 pts)</w:t>
      </w:r>
    </w:p>
    <w:p>
      <w:pPr>
        <w:numPr>
          <w:ilvl w:val="0"/>
          <w:numId w:val="1009"/>
        </w:numPr>
        <w:pStyle w:val="Compact"/>
      </w:pPr>
      <w:r>
        <w:t xml:space="preserve">☐ Limitações e ameaças à validade discutidas (5 pts)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Gerado automaticamente por MegaPrompt v2.0 Audit Checklist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2026-01-02T14:54:13Z</dcterms:created>
  <dcterms:modified xsi:type="dcterms:W3CDTF">2026-01-02T14:54:13Z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