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4" w:name="X1cc810d3da0c90b62752aeeade661e3ea9495cb"/>
    <w:p>
      <w:pPr>
        <w:pStyle w:val="Heading1"/>
      </w:pPr>
      <w:r>
        <w:t xml:space="preserve">Desenvolvimento educacional em microrregião do Semiárido cearense: o padrão associativo entre desempenho escolar e renda no Sertão de Crateús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Marcelo Claro Laranjeira — ORCID: https://orcid.org/0000-0001-8996-2887</w:t>
      </w:r>
    </w:p>
    <w:p>
      <w:r>
        <w:pict>
          <v:rect style="width:0;height:1.5pt" o:hralign="center" o:hrstd="t" o:hr="t"/>
        </w:pict>
      </w:r>
    </w:p>
    <w:bookmarkStart w:id="9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Este estudo testa, na microrregião do Sertão de Crateús (Ceará, IBGE 23018; nove municípios), a relação entre desempenho escolar (IDEB) e renda municipal em duas dimensões complementares: entre unidades (níveis) e dentro das unidades ao longo do tempo. Com dados oficiais e auditáveis (INEP, edições 2005–2025; IBGE, PIB municipal 2010–2021 deflacionado pelo IPCA; Censo Demográfico 2022) e protocolo inferencial conservador (estimador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com IC95% por bootstrap por cluster; correlação em níveis com bootstrap por cluster; primeiras diferenças; efeitos fixos de município×etapa e ano com erros clusterizados e correção de pequena amostra;</w:t>
      </w:r>
      <w:r>
        <w:t xml:space="preserve"> </w:t>
      </w:r>
      <w:r>
        <w:rPr>
          <w:i/>
          <w:iCs/>
        </w:rPr>
        <w:t xml:space="preserve">wild cluster bootstrap</w:t>
      </w:r>
      <w:r>
        <w:t xml:space="preserve"> </w:t>
      </w:r>
      <w:r>
        <w:t xml:space="preserve">para G=9; MDES e TOST com margem substantiva), encontramos: (i) na dimensão entre municípios (n = 9), a correlação entre IDEB e log do PIB per capita real defasado foi r = −0,24 (IC95% [−0,77; 0,50]; p = 0,52) — sem evidência de associação transversal discernível na microrregião; (ii) dentro das unidades, as primeiras diferenças foram próximas de zero (r = −0,07; p = 0,50) e o coeficiente de efeitos fixos não foi discernível de zero sob erros clusterizados (β = 2,61; IC95% cluster [−1,73; 6,95]; p = 0,20; p</w:t>
      </w:r>
      <w:r>
        <w:t xml:space="preserve"> </w:t>
      </w:r>
      <w:r>
        <w:rPr>
          <w:i/>
          <w:iCs/>
        </w:rPr>
        <w:t xml:space="preserve">wild</w:t>
      </w:r>
      <w:r>
        <w:t xml:space="preserve"> </w:t>
      </w:r>
      <w:r>
        <w:t xml:space="preserve">= 0,23); (iii) o estudo só detectaria efeitos de magnitude incomum (MDES ≈ 6,0 pontos de IDEB por unidade de log do PIB; ≈ 0,57 ponto por +10% do PIB per capita real), e o TOST com margem substantiva (±0,5 ponto) não foi significativo — portanto a precisão é insuficiente para sustentar tanto efeito quanto equivalência; e (iv) os nove municípios atingiram ou superaram as metas projetadas pelo INEP no mesmo ano de referência (99,1% das 108 comparações entre 2011 e 2021), com ganho médio de 5,93 pontos no IDEB de anos iniciais entre 2007 e 2025, sem associação estatisticamente discernível entre ganho educacional e renda do responsável (r = −0,14; p = 0,73; n = 9). Conclui-se que, no Sertão de Crateús, não se sustenta a hipótese de associação renda–desempenho nem entre nem dentro dos municípios; o crescimento educacional observado não acompanha variações de renda municipal — consistente com a literatura sobre políticas educacionais do Ceará, embora sem pretensão causal.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IDEB; renda; microrregião; Ceará; painel municipal; efeitos fixos;</w:t>
      </w:r>
      <w:r>
        <w:t xml:space="preserve"> </w:t>
      </w:r>
      <w:r>
        <w:rPr>
          <w:i/>
          <w:iCs/>
        </w:rPr>
        <w:t xml:space="preserve">wild cluster bootstrap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tests, in the Sertão de Crateús microregion (Ceará state, Brazil; IBGE 23018; nine municipalities), the relationship between school performance (IDEB) and municipal income in two complementary dimensions: across units (levels) and within units over time. Using official auditable data (INEP, 2005–2025 editions; IBGE, municipal GDP 2010–2021 deflated by the IPCA; 2022 Demographic Census) and a conservative inferential protocol (between estimator with cluster-bootstrap 95% CI; level correlation with cluster bootstrap; first differences; municipality×grade and year fixed effects with clustered errors and small-sample correction; wild cluster bootstrap for G=9; MDES and TOST with a substantive margin), we find: (i) across municipalities (n = 9), the correlation between IDEB and lagged real log GDP per capita was r = −0.24 (95% CI [−0.77, 0.50]; p = 0.52) — no discernible cross-sectional association in the microregion; (ii) within units, first differences were near zero (r = −0.07, p = 0.50) and the fixed-effects coefficient was not discernible from zero under clustered errors (β = 2.61; 95% clustered CI [−1.73, 6.95]; p = 0.20; wild p = 0.23); (iii) the study could only detect effects of unusual magnitude (MDES ≈ 6.0 IDEB points per log unit of GDP; ≈ 0.57 point per 10% real GDP per capita growth), and the TOST with a substantive margin (±0.5 point) was not significant — precision is therefore insufficient to claim either effect or equivalence; and (iv) all nine municipalities met the INEP agreed targets in the same reference year (99.1% of 108 comparisons between 2011 and 2021), with a mean gain of 5.93 IDEB points in early grades between 2007 and 2025, with no statistically discernible association between educational gain and household head income (r = −0.14, p = 0.73, n = 9). In Sertão de Crateús, the income–performance association is not supported either across or within municipalities, while observed educational growth does not track municipal income variation — consistent with the literature on Ceará’s education policies, with no causal claims.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IDEB; income; microregion; Ceará; municipal panel; fixed effects; wild cluster bootstrap.</w:t>
      </w:r>
    </w:p>
    <w:p>
      <w:r>
        <w:pict>
          <v:rect style="width:0;height:1.5pt" o:hralign="center" o:hrstd="t" o:hr="t"/>
        </w:pict>
      </w:r>
    </w:p>
    <w:bookmarkEnd w:id="10"/>
    <w:bookmarkStart w:id="11" w:name="introdução"/>
    <w:p>
      <w:pPr>
        <w:pStyle w:val="Heading2"/>
      </w:pPr>
      <w:r>
        <w:t xml:space="preserve">1. Introdução</w:t>
      </w:r>
    </w:p>
    <w:p>
      <w:pPr>
        <w:pStyle w:val="FirstParagraph"/>
      </w:pPr>
      <w:r>
        <w:t xml:space="preserve">A relação entre renda e desempenho educacional é um dos temas mais persistentes da pesquisa em educação comparada. Hanushek e Woessmann (2015) demonstraram que o</w:t>
      </w:r>
      <w:r>
        <w:t xml:space="preserve"> </w:t>
      </w:r>
      <w:r>
        <w:t xml:space="preserve">“capital de conhecimento”</w:t>
      </w:r>
      <w:r>
        <w:t xml:space="preserve"> </w:t>
      </w:r>
      <w:r>
        <w:t xml:space="preserve">de uma nação — medido por habilidades cognitivas, e não apenas por anos de escolaridade — associa-se fortemente ao crescimento econômico de longo prazo. No Brasil, análises de avaliação em larga escala mostram desigualdades substanciais associadas ao nível socioeconômico (Cito; Marôco, 2026), e estudos multiníveis documentam o impacto associativo da pobreza sobre o IDEB (Duarte, 2013; Andrews; Vries, 2012).</w:t>
      </w:r>
    </w:p>
    <w:p>
      <w:pPr>
        <w:pStyle w:val="BodyText"/>
      </w:pPr>
      <w:r>
        <w:t xml:space="preserve">Uma distinção analítica frequentemente negligenciada separa dois tipos de associação entre renda e desempenho escolar: a</w:t>
      </w:r>
      <w:r>
        <w:t xml:space="preserve"> </w:t>
      </w:r>
      <w:r>
        <w:rPr>
          <w:b/>
          <w:bCs/>
        </w:rPr>
        <w:t xml:space="preserve">transversal</w:t>
      </w:r>
      <w:r>
        <w:t xml:space="preserve"> </w:t>
      </w:r>
      <w:r>
        <w:t xml:space="preserve">(entre unidades: municípios mais ricos tendem a ter IDEB mais alto) e a</w:t>
      </w:r>
      <w:r>
        <w:t xml:space="preserve"> </w:t>
      </w:r>
      <w:r>
        <w:rPr>
          <w:b/>
          <w:bCs/>
        </w:rPr>
        <w:t xml:space="preserve">temporal</w:t>
      </w:r>
      <w:r>
        <w:t xml:space="preserve"> </w:t>
      </w:r>
      <w:r>
        <w:t xml:space="preserve">(dentro de uma mesma unidade: quando a renda de um município cresce, seu IDEB cresce?). A primeira é amplamente documentada; a segunda é mais incerta e raramente testada em pequenas escalas. Para o Semiárido brasileiro, onde a pobreza é estrutural e a política educacional estadual (regime de colaboração, alfabetização na idade certa) produziu ganhos notáveis de aprendizagem, essa distinção tem implicações práticas: se a associação for apenas transversal, políticas de crescimento econômico local não deveriam ser tratadas como condição necessária para o avanço educacional.</w:t>
      </w:r>
    </w:p>
    <w:p>
      <w:pPr>
        <w:pStyle w:val="BodyText"/>
      </w:pPr>
      <w:r>
        <w:t xml:space="preserve">A microrregião do Sertão de Crateús (IBGE 23018), no Ceará, oferece um contexto privilegiado para esse teste: nove municípios pequenos, de baixa renda, sob a mesma coordenação estadual de políticas educacionais, com série histórica completa do IDEB (2005–2025) e indicadores municipais oficiais de renda (PIB municipal e Censo Demográfico 2022).</w:t>
      </w:r>
    </w:p>
    <w:p>
      <w:pPr>
        <w:pStyle w:val="BodyText"/>
      </w:pPr>
      <w:r>
        <w:rPr>
          <w:b/>
          <w:bCs/>
        </w:rPr>
        <w:t xml:space="preserve">Pergunta de pesquisa (RQ):</w:t>
      </w:r>
      <w:r>
        <w:t xml:space="preserve"> </w:t>
      </w:r>
      <w:r>
        <w:t xml:space="preserve">no Sertão de Crateús, a associação entre renda municipal e desempenho escolar no IDEB é transversal (entre municípios), temporal (dentro dos municípios), ou ambas? Em particular: (a) municípios com maior renda têm IDEB mais alto? (b) variações de renda dentro do município acompanham variações de IDEB? (c) o ganho educacional observado na região depende da renda municipal, e os municípios cumprem as metas pactuadas pelo INEP?</w:t>
      </w:r>
    </w:p>
    <w:p>
      <w:pPr>
        <w:pStyle w:val="BodyText"/>
      </w:pPr>
      <w:r>
        <w:t xml:space="preserve">Deliberadamente, este estudo não testa causalidade: trata-se de evidência associativa, com descrição explícita dos limites de inferência. As hipóteses operacionalizadas na Seção 3 respondem diretamente à RQ.</w:t>
      </w:r>
    </w:p>
    <w:bookmarkEnd w:id="11"/>
    <w:bookmarkStart w:id="15" w:name="fundamentação"/>
    <w:p>
      <w:pPr>
        <w:pStyle w:val="Heading2"/>
      </w:pPr>
      <w:r>
        <w:t xml:space="preserve">2. Fundamentação</w:t>
      </w:r>
    </w:p>
    <w:bookmarkStart w:id="12" w:name="o-ideb-como-indicador-e-política"/>
    <w:p>
      <w:pPr>
        <w:pStyle w:val="Heading3"/>
      </w:pPr>
      <w:r>
        <w:t xml:space="preserve">2.1 O IDEB como indicador e política</w:t>
      </w:r>
    </w:p>
    <w:p>
      <w:pPr>
        <w:pStyle w:val="FirstParagraph"/>
      </w:pPr>
      <w:r>
        <w:t xml:space="preserve">O IDEB, criado em 2007, combina fluxo escolar e proficiência no SAEB, atribuindo metas bianuais às escolas públicas (Soares; Xavier, 2013; Schneider; Nardi, 2014). A literatura critica seu caráter de accountability gerencial (Afonso, 2012), mas reconhece sua função mobilizadora (Lacruz; Américo; Carniel, 2019). Brunello e Kiss (2022) mostram, em contexto internacional, que alunos em séries de avaliações com consequências (</w:t>
      </w:r>
      <w:r>
        <w:t xml:space="preserve">“high stakes”</w:t>
      </w:r>
      <w:r>
        <w:t xml:space="preserve">) apresentam desempenho superior em matemática.</w:t>
      </w:r>
    </w:p>
    <w:bookmarkEnd w:id="12"/>
    <w:bookmarkStart w:id="13" w:name="Xd87c13bb06bd8a4f55ccbbda574fbc51710ba1f"/>
    <w:p>
      <w:pPr>
        <w:pStyle w:val="Heading3"/>
      </w:pPr>
      <w:r>
        <w:t xml:space="preserve">2.2 O caso do Ceará: regime de colaboração e alfabetização</w:t>
      </w:r>
    </w:p>
    <w:p>
      <w:pPr>
        <w:pStyle w:val="FirstParagraph"/>
      </w:pPr>
      <w:r>
        <w:t xml:space="preserve">O Ceará tornou-se caso emblemático por seu regime de colaboração entre estado e municípios, institucionalizado pelo Programa Alfabetização na Idade Certa (PAIC, Lei estadual 14.026/2007). A literatura documenta ganhos expressivos de alfabetização e aprendizagem associados às políticas cearenses (Costa; Carnoy, 2015; Cruz; Ribeiro; Batista, 2022), com evidência de que a coordenação regional pode produzir resultados comparáveis à coordenação nacional (Segatto; Oliveira; Silva, 2024). Carnoy et al. (2017) mostraram, em análise intranacional, que diferenças estaduais de desempenho no Brasil podem ensinar sobre políticas eficazes — e o Ceará figura entre os casos de maior progresso. (A denominação legal do programa é</w:t>
      </w:r>
      <w:r>
        <w:t xml:space="preserve"> </w:t>
      </w:r>
      <w:r>
        <w:t xml:space="preserve">“Alfabetização na Idade Certa”</w:t>
      </w:r>
      <w:r>
        <w:t xml:space="preserve">; a literatura às vezes usa a variação</w:t>
      </w:r>
      <w:r>
        <w:t xml:space="preserve"> </w:t>
      </w:r>
      <w:r>
        <w:t xml:space="preserve">“Aprendizagem na Idade Certa”</w:t>
      </w:r>
      <w:r>
        <w:t xml:space="preserve">, como no título de Cruz, Ribeiro e Batista, 2022.)</w:t>
      </w:r>
    </w:p>
    <w:bookmarkEnd w:id="13"/>
    <w:bookmarkStart w:id="14" w:name="X530bb4f9efc39837d8d6f6c7c09e81039394131"/>
    <w:p>
      <w:pPr>
        <w:pStyle w:val="Heading3"/>
      </w:pPr>
      <w:r>
        <w:t xml:space="preserve">2.3 Renda e desempenho: associação transversal vs. temporal</w:t>
      </w:r>
    </w:p>
    <w:p>
      <w:pPr>
        <w:pStyle w:val="FirstParagraph"/>
      </w:pPr>
      <w:r>
        <w:t xml:space="preserve">Em análises transversais, municípios mais ricos tendem a apresentar IDEB mais alto (Duarte, 2013; Andrews; Vries, 2012). Contudo, dentro de uma mesma unidade ao longo do tempo, a variação da renda não costuma acompanhar a variação do desempenho — o crescimento do IDEB frequentemente ocorre mesmo onde a renda cresce pouco, como documentado para municípios pobres brasileiros (Andrews; Vries, 2012). Esse contraste entre associação transversal (em níveis) e ausência de associação temporal (dentro das unidades) fundamenta a distinção operacional deste estudo: medir separadamente as duas dimensões na mesma microrregião, em vez de combiná-las em um único coeficiente. A literatura metodológica recomenda, nesse contexto, tratar o número de municípios como o tamanho efetivo da amostra transversal (Cameron; Gelbach; Miller, 2008) e usar procedimentos de inferência robustos a poucos clusters (MacKinnon; Webb, 2017).</w:t>
      </w:r>
    </w:p>
    <w:bookmarkEnd w:id="14"/>
    <w:bookmarkEnd w:id="15"/>
    <w:bookmarkStart w:id="21" w:name="método"/>
    <w:p>
      <w:pPr>
        <w:pStyle w:val="Heading2"/>
      </w:pPr>
      <w:r>
        <w:t xml:space="preserve">3. Método</w:t>
      </w:r>
    </w:p>
    <w:bookmarkStart w:id="16" w:name="delimitação-e-dados"/>
    <w:p>
      <w:pPr>
        <w:pStyle w:val="Heading3"/>
      </w:pPr>
      <w:r>
        <w:t xml:space="preserve">3.1 Delimitação e dados</w:t>
      </w:r>
    </w:p>
    <w:p>
      <w:pPr>
        <w:pStyle w:val="FirstParagraph"/>
      </w:pPr>
      <w:r>
        <w:t xml:space="preserve">A microrregião do Sertão de Crateús (IBGE 23018) compreende nove municípios: Ararendá (2301257), Crateús (2304103), Independência (2305605), Ipaporanga (2305654), Monsenhor Tabosa (2308609), Nova Russas (2309300), Novo Oriente (2309409), Quiterianópolis (2311264) e Tamboril (2313203). Usaram-se apenas fontes oficiais e auditáveis: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INEP — IDEB municipal</w:t>
      </w:r>
      <w:r>
        <w:t xml:space="preserve">, edição 2025 (série 2005–2025), rede Municipal, anos iniciais e finais do ensino fundamental (download.inep.gov.br);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PIB dos Municípios</w:t>
      </w:r>
      <w:r>
        <w:t xml:space="preserve">, base 2010–2021 (ftp.ibge.gov.br), PIB per capita a preços correntes,</w:t>
      </w:r>
      <w:r>
        <w:t xml:space="preserve"> </w:t>
      </w:r>
      <w:r>
        <w:rPr>
          <w:b/>
          <w:bCs/>
        </w:rPr>
        <w:t xml:space="preserve">deflacionado para R$ de 2021</w:t>
      </w:r>
      <w:r>
        <w:t xml:space="preserve"> </w:t>
      </w:r>
      <w:r>
        <w:t xml:space="preserve">pelo IPCA médio anual (IPEA Data, série PRECOS12_IPCA12, dezen/1993 = 100; fonte original IBGE/SNIPC);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Censo Demográfico 2022</w:t>
      </w:r>
      <w:r>
        <w:t xml:space="preserve">, agregados por município: rendimento nominal médio mensal das pessoas responsáveis (V06004) e mediana (V06006);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IBGE — Malha municipal 2023</w:t>
      </w:r>
      <w:r>
        <w:t xml:space="preserve"> </w:t>
      </w:r>
      <w:r>
        <w:t xml:space="preserve">(geoftp), para os mapas.</w:t>
      </w:r>
    </w:p>
    <w:p>
      <w:pPr>
        <w:pStyle w:val="FirstParagraph"/>
      </w:pPr>
      <w:r>
        <w:t xml:space="preserve">Todos os downloads foram registrados em manifesto de proveniência (URL, timestamp, SHA-256), disponível em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 O IPCE (IPC Marketing Editora), mencionado na demanda original, é um índice comercial sem acesso público auditável; portanto, usaram-se como proxies oficiais o PIB per capita e a renda do responsável, com essa limitação declarada.</w:t>
      </w:r>
    </w:p>
    <w:bookmarkEnd w:id="16"/>
    <w:bookmarkStart w:id="17" w:name="painel-e-variáveis"/>
    <w:p>
      <w:pPr>
        <w:pStyle w:val="Heading3"/>
      </w:pPr>
      <w:r>
        <w:t xml:space="preserve">3.2 Painel e variáveis</w:t>
      </w:r>
    </w:p>
    <w:p>
      <w:pPr>
        <w:pStyle w:val="FirstParagraph"/>
      </w:pPr>
      <w:r>
        <w:t xml:space="preserve">O painel emparelha, por município e ano, o IDEB observado ao log do PIB per capita real defasado em dois anos (IDEB do ano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com PIB de</w:t>
      </w:r>
      <w:r>
        <w:t xml:space="preserve"> </w:t>
      </w:r>
      <w:r>
        <w:rPr>
          <w:i/>
          <w:iCs/>
        </w:rPr>
        <w:t xml:space="preserve">t</w:t>
      </w:r>
      <w:r>
        <w:t xml:space="preserve">−2), suavizando contemporaneidade mecânica. Para a microrregião, o painel de estimação cobre os anos IDEB 2013–2023 (n = 108 observações; 9 municípios × 6 anos × 2 etapas), com missingness de IDEB de 0,5% (1 de 198 pares município-etapa-ano); no Ceará, 1,3%, e no Brasil, 26,2% (o painel nacional de níveis usa os anos disponíveis em lista completa, sem imputação). A defasagem principal de 2 anos foi declarada</w:t>
      </w:r>
      <w:r>
        <w:t xml:space="preserve"> </w:t>
      </w:r>
      <w:r>
        <w:rPr>
          <w:i/>
          <w:iCs/>
        </w:rPr>
        <w:t xml:space="preserve">a priori</w:t>
      </w:r>
      <w:r>
        <w:t xml:space="preserve">; a Seção 4.6 mostra a robustez para lags 0–4. Para contextualização, repetiram-se as análises para o Ceará (184 municípios) e o Brasil (5.360 municípios).</w:t>
      </w:r>
    </w:p>
    <w:bookmarkEnd w:id="17"/>
    <w:bookmarkStart w:id="18" w:name="hipóteses"/>
    <w:p>
      <w:pPr>
        <w:pStyle w:val="Heading3"/>
      </w:pPr>
      <w:r>
        <w:t xml:space="preserve">3.3 Hipóteses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 (níveis):</w:t>
      </w:r>
      <w:r>
        <w:t xml:space="preserve"> </w:t>
      </w:r>
      <w:r>
        <w:t xml:space="preserve">a correlação transversal entre IDEB e log do PIB per capita real é positiva e estatisticamente discernível (r ≥ 0,3; IC95% sem 0). Estimada na dimensão</w:t>
      </w:r>
      <w:r>
        <w:t xml:space="preserve"> </w:t>
      </w:r>
      <w:r>
        <w:rPr>
          <w:i/>
          <w:iCs/>
        </w:rPr>
        <w:t xml:space="preserve">entre municípios</w:t>
      </w:r>
      <w:r>
        <w:t xml:space="preserve"> </w:t>
      </w:r>
      <w:r>
        <w:t xml:space="preserve">(médias temporais, n = 9), com IC95% por bootstrap por cluster.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 (dentro):</w:t>
      </w:r>
      <w:r>
        <w:t xml:space="preserve"> </w:t>
      </w:r>
      <w:r>
        <w:t xml:space="preserve">a associação dentro das unidades é fraca ou nula — primeiras diferenças r próximo de zero e coeficiente de efeitos fixos de município×etapa e ano não significativo sob erros clusterizados. A hipótese é avaliada por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(ver 3.5), não por</w:t>
      </w:r>
      <w:r>
        <w:t xml:space="preserve"> </w:t>
      </w:r>
      <w:r>
        <w:t xml:space="preserve">“confirmação”</w:t>
      </w:r>
      <w:r>
        <w:t xml:space="preserve"> </w:t>
      </w:r>
      <w:r>
        <w:t xml:space="preserve">de nulidade.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H3 (metas e ganho):</w:t>
      </w:r>
      <w:r>
        <w:t xml:space="preserve"> </w:t>
      </w:r>
      <w:r>
        <w:t xml:space="preserve">(a) os municípios cumprem as metas projetadas pelo INEP no</w:t>
      </w:r>
      <w:r>
        <w:t xml:space="preserve"> </w:t>
      </w:r>
      <w:r>
        <w:rPr>
          <w:b/>
          <w:bCs/>
        </w:rPr>
        <w:t xml:space="preserve">mesmo ano de referência</w:t>
      </w:r>
      <w:r>
        <w:t xml:space="preserve"> </w:t>
      </w:r>
      <w:r>
        <w:t xml:space="preserve">(IDEB observado em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≥ meta em</w:t>
      </w:r>
      <w:r>
        <w:t xml:space="preserve"> </w:t>
      </w:r>
      <w:r>
        <w:rPr>
          <w:i/>
          <w:iCs/>
        </w:rPr>
        <w:t xml:space="preserve">t</w:t>
      </w:r>
      <w:r>
        <w:t xml:space="preserve">, para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∈ {2011, 2013, 2015, 2017, 2019, 2021}); (b) o ganho educacional 2007→2025 (anos iniciais) não se associa à renda municipal. São proposições separadas e testadas independentemente.</w:t>
      </w:r>
    </w:p>
    <w:bookmarkEnd w:id="18"/>
    <w:bookmarkStart w:id="19" w:name="procedimentos-de-validação"/>
    <w:p>
      <w:pPr>
        <w:pStyle w:val="Heading3"/>
      </w:pPr>
      <w:r>
        <w:t xml:space="preserve">3.4 Procedimentos de validação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Between-estimator (dimensão transversal):</w:t>
      </w:r>
      <w:r>
        <w:t xml:space="preserve"> </w:t>
      </w:r>
      <w:r>
        <w:t xml:space="preserve">média temporal de IDEB e de log do PIB real por município; correlação de Pearson entre as médias (n = 9), com IC95% e p por bootstrap por cluster reamostrando municípios (seed 42, 5.000 réplicas) e jackknife por município.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Correlações em níveis (pooled):</w:t>
      </w:r>
      <w:r>
        <w:t xml:space="preserve"> </w:t>
      </w:r>
      <w:r>
        <w:t xml:space="preserve">Pearson em todas as observações, com IC95% por bootstrap por cluster (município), 5.000 réplicas (500 quando o número de clusters excede 50). Reportada como complemento, sem reivindicação de tamanho efetivo de amostra transversal.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Primeiras diferenças:</w:t>
      </w:r>
      <w:r>
        <w:t xml:space="preserve"> </w:t>
      </w:r>
      <w:r>
        <w:t xml:space="preserve">correlação de Pearson das diferenças de primeira ordem dentro de cada município-etapa (p nominal; n pequeno, poder baixo — declarado).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Efeitos fixos:</w:t>
      </w:r>
      <w:r>
        <w:t xml:space="preserve"> </w:t>
      </w:r>
      <w:r>
        <w:t xml:space="preserve">regressão com efeitos fixos de</w:t>
      </w:r>
      <w:r>
        <w:t xml:space="preserve"> </w:t>
      </w:r>
      <w:r>
        <w:rPr>
          <w:b/>
          <w:bCs/>
        </w:rPr>
        <w:t xml:space="preserve">município×etapa</w:t>
      </w:r>
      <w:r>
        <w:t xml:space="preserve"> </w:t>
      </w:r>
      <w:r>
        <w:t xml:space="preserve">(par único) e ano via within-transformation dupla. Reportam-se erros padrão homocedásticos (transparência) e</w:t>
      </w:r>
      <w:r>
        <w:t xml:space="preserve"> </w:t>
      </w:r>
      <w:r>
        <w:rPr>
          <w:b/>
          <w:bCs/>
        </w:rPr>
        <w:t xml:space="preserve">erros padrão clusterizados por município</w:t>
      </w:r>
      <w:r>
        <w:t xml:space="preserve"> </w:t>
      </w:r>
      <w:r>
        <w:t xml:space="preserve">(CRVE com correção de pequena amostra, t com G−1 graus de liberdade). Com G = 9, o teste t cluster pode super-rejeitar; reporta-se também o</w:t>
      </w:r>
      <w:r>
        <w:t xml:space="preserve"> </w:t>
      </w:r>
      <w:r>
        <w:rPr>
          <w:b/>
          <w:bCs/>
        </w:rPr>
        <w:t xml:space="preserve">wild cluster bootstrap</w:t>
      </w:r>
      <w:r>
        <w:t xml:space="preserve"> </w:t>
      </w:r>
      <w:r>
        <w:t xml:space="preserve">(Rademacher, 9.999 réplicas) sob H0 (Cameron; Gelbach; Miller, 2008; MacKinnon; Webb, 2017).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Validação interna (LOOCV por município):</w:t>
      </w:r>
      <w:r>
        <w:t xml:space="preserve"> </w:t>
      </w:r>
      <w:r>
        <w:t xml:space="preserve">para cada um dos nove municípios, calcula-se a correlação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município retido (12 observações: 6 anos × 2 etapas) e reporta-se a distribuição. Trata-se de estabilidade do sinal</w:t>
      </w:r>
      <w:r>
        <w:t xml:space="preserve"> </w:t>
      </w:r>
      <w:r>
        <w:rPr>
          <w:i/>
          <w:iCs/>
        </w:rPr>
        <w:t xml:space="preserve">dentro da unidade</w:t>
      </w:r>
      <w:r>
        <w:t xml:space="preserve"> </w:t>
      </w:r>
      <w:r>
        <w:t xml:space="preserve">(co-tendência temporal) —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é réplica da associação transversal entre municípios nem validação externa.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MDES/TOST:</w:t>
      </w:r>
      <w:r>
        <w:t xml:space="preserve"> </w:t>
      </w:r>
      <w:r>
        <w:t xml:space="preserve">mínimo efeito detectável (poder 80%, α 5%) baseado no erro padrão clusterizado, traduzido em pontos de IDEB por +10% do PIB per capita real; teste de equivalência (TOST) com margem substantiva</w:t>
      </w:r>
      <w:r>
        <w:t xml:space="preserve"> </w:t>
      </w:r>
      <w:r>
        <w:rPr>
          <w:b/>
          <w:bCs/>
        </w:rPr>
        <w:t xml:space="preserve">SESOI ±0,5 ponto de IDEB</w:t>
      </w:r>
      <w:r>
        <w:t xml:space="preserve"> </w:t>
      </w:r>
      <w:r>
        <w:t xml:space="preserve">(Lakens; Scheel; Isager, 2018; Bloom, 1995) e reporte de margem ±0,10 como transparência.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scripts</w:t>
      </w:r>
      <w:r>
        <w:t xml:space="preserve"> </w:t>
      </w:r>
      <w:r>
        <w:rPr>
          <w:rStyle w:val="VerbatimChar"/>
        </w:rPr>
        <w:t xml:space="preserve">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analise_crateus_r428.py</w:t>
      </w:r>
      <w:r>
        <w:t xml:space="preserve">; saídas completas em</w:t>
      </w:r>
      <w:r>
        <w:t xml:space="preserve"> </w:t>
      </w:r>
      <w:r>
        <w:rPr>
          <w:rStyle w:val="VerbatimChar"/>
        </w:rPr>
        <w:t xml:space="preserve">outputs/expanded/resultados_r428.json</w:t>
      </w:r>
      <w:r>
        <w:t xml:space="preserve"> </w:t>
      </w:r>
      <w:r>
        <w:t xml:space="preserve">e proveniência</w:t>
      </w:r>
      <w:r>
        <w:t xml:space="preserve"> </w:t>
      </w:r>
      <w:r>
        <w:rPr>
          <w:rStyle w:val="VerbatimChar"/>
        </w:rPr>
        <w:t xml:space="preserve">provenance_r428.json</w:t>
      </w:r>
      <w:r>
        <w:t xml:space="preserve">; deflator em</w:t>
      </w:r>
      <w:r>
        <w:t xml:space="preserve"> </w:t>
      </w:r>
      <w:r>
        <w:rPr>
          <w:rStyle w:val="VerbatimChar"/>
        </w:rPr>
        <w:t xml:space="preserve">data/processed/ipca_medias_anuais.json</w:t>
      </w:r>
      <w:r>
        <w:t xml:space="preserve">.</w:t>
      </w:r>
    </w:p>
    <w:bookmarkEnd w:id="19"/>
    <w:bookmarkStart w:id="20" w:name="Xf130f7615d50ebd486343bd202b9ac90a014781"/>
    <w:p>
      <w:pPr>
        <w:pStyle w:val="Heading3"/>
      </w:pPr>
      <w:r>
        <w:t xml:space="preserve">3.5 Critérios de invalidação empírica (falsificabilidade)</w:t>
      </w:r>
    </w:p>
    <w:p>
      <w:pPr>
        <w:pStyle w:val="FirstParagraph"/>
      </w:pPr>
      <w:r>
        <w:t xml:space="preserve">Para que as hipóteses sejam testáveis, cada uma tem critérios de rejeição pré-definidos, passíveis de refutação pelos dados: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H1 seria rejeitada</w:t>
      </w:r>
      <w:r>
        <w:t xml:space="preserve"> </w:t>
      </w:r>
      <w:r>
        <w:t xml:space="preserve">se o IC95% do bootstrap por cluster incluísse zero ou se a correlação entre municípios fosse negativa.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H2 seria rejeitada</w:t>
      </w:r>
      <w:r>
        <w:t xml:space="preserve"> </w:t>
      </w:r>
      <w:r>
        <w:t xml:space="preserve">se o coeficiente de efeitos fixos (clusterizado, ou o p do wild cluster bootstrap) fosse estatisticamente discernível de zero ao nível de 5% ou se as primeiras diferenças mostrassem correlação |r| ≥ 0,30 com p &lt; 0,05.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H3(a) seria rejeitada</w:t>
      </w:r>
      <w:r>
        <w:t xml:space="preserve"> </w:t>
      </w:r>
      <w:r>
        <w:t xml:space="preserve">se a maioria dos municípios (≥ 5 de 9) ficasse abaixo da meta do INEP no mesmo ano em algum ciclo de 2011 a 2021;</w:t>
      </w:r>
      <w:r>
        <w:t xml:space="preserve"> </w:t>
      </w:r>
      <w:r>
        <w:rPr>
          <w:b/>
          <w:bCs/>
        </w:rPr>
        <w:t xml:space="preserve">H3(b) seria rejeitada</w:t>
      </w:r>
      <w:r>
        <w:t xml:space="preserve"> </w:t>
      </w:r>
      <w:r>
        <w:t xml:space="preserve">se o ganho educacional correlacionasse positiva e significativamente com a renda municipal (r &gt; 0,30; p &lt; 0,05).</w:t>
      </w:r>
    </w:p>
    <w:p>
      <w:pPr>
        <w:pStyle w:val="FirstParagraph"/>
      </w:pPr>
      <w:r>
        <w:t xml:space="preserve">A não-detecção (MDES alto, TOST não significativo) é tratada como resultado informativo de poder estatístico, não como confirmação de ausência de efeito:</w:t>
      </w:r>
      <w:r>
        <w:t xml:space="preserve"> </w:t>
      </w:r>
      <w:r>
        <w:rPr>
          <w:b/>
          <w:bCs/>
        </w:rPr>
        <w:t xml:space="preserve">não-detecção ≠ equivalência</w:t>
      </w:r>
      <w:r>
        <w:t xml:space="preserve"> </w:t>
      </w:r>
      <w:r>
        <w:t xml:space="preserve">(Lakens; Scheel; Isager, 2018).</w:t>
      </w:r>
    </w:p>
    <w:bookmarkEnd w:id="20"/>
    <w:bookmarkEnd w:id="21"/>
    <w:bookmarkStart w:id="29" w:name="resultados"/>
    <w:p>
      <w:pPr>
        <w:pStyle w:val="Heading2"/>
      </w:pPr>
      <w:r>
        <w:t xml:space="preserve">4. Resultados</w:t>
      </w:r>
    </w:p>
    <w:bookmarkStart w:id="22" w:name="dimensão-entre-municípios-h1"/>
    <w:p>
      <w:pPr>
        <w:pStyle w:val="Heading3"/>
      </w:pPr>
      <w:r>
        <w:t xml:space="preserve">4.1 Dimensão entre municípios (H1)</w:t>
      </w:r>
    </w:p>
    <w:p>
      <w:pPr>
        <w:pStyle w:val="FirstParagraph"/>
      </w:pPr>
      <w:r>
        <w:t xml:space="preserve">Na microrregião, a correlação entre as médias municipais de IDEB e de log do PIB per capita real defasado foi r = −0,24 (IC95% bootstrap por cluster [−0,77; 0,50]; p = 0,52; n = 9 municípios) — sem evidência de associação transversal discernível, e o sinal estimado é inclusive negativo. O jackknife confirma a fragilidade: o r varia de −0,48 (removendo Independência) a +0,02 (removendo Crateús). Na escala Ceará, o between foi r = 0,03 (IC95% [−0,10; 0,15]; p = 0,76; n = 184); no Brasil, r = 0,49 (IC95% [0,47; 0,51]; p &lt; 0,001; n = 5.360). A associação transversal só aparece no agregado nacional, não na microrregião nem no Ceará; H1</w:t>
      </w:r>
      <w:r>
        <w:t xml:space="preserve"> </w:t>
      </w:r>
      <w:r>
        <w:rPr>
          <w:b/>
          <w:bCs/>
        </w:rPr>
        <w:t xml:space="preserve">é rejeitada</w:t>
      </w:r>
      <w:r>
        <w:t xml:space="preserve"> </w:t>
      </w:r>
      <w:r>
        <w:t xml:space="preserve">para a microrregião (Figura 1).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1 — Associação em níveis entre IDEB e log do PIB per capita real (Sertão de Crateús, 2013–2023), por etapa.</w:t>
            </w:r>
          </w:p>
        </w:tc>
      </w:tr>
    </w:tbl>
    <w:p>
      <w:pPr>
        <w:pStyle w:val="ImageCaption"/>
      </w:pPr>
      <w:r>
        <w:t xml:space="preserve">Figura 1 — Associação em níveis entre IDEB e log do PIB per capita real (Sertão de Crateús, 2013–2023), por etapa.</w:t>
      </w:r>
    </w:p>
    <w:p>
      <w:pPr>
        <w:pStyle w:val="BodyText"/>
      </w:pPr>
      <w:r>
        <w:rPr>
          <w:b/>
          <w:bCs/>
        </w:rPr>
        <w:t xml:space="preserve">Tabela 1 — Between-estimator (médias municipais) por escala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n (municípios)</w:t>
            </w:r>
          </w:p>
        </w:tc>
        <w:tc>
          <w:tcPr/>
          <w:p>
            <w:pPr>
              <w:pStyle w:val="Compact"/>
            </w:pPr>
            <w:r>
              <w:t xml:space="preserve">r between</w:t>
            </w:r>
          </w:p>
        </w:tc>
        <w:tc>
          <w:tcPr/>
          <w:p>
            <w:pPr>
              <w:pStyle w:val="Compact"/>
            </w:pPr>
            <w:r>
              <w:t xml:space="preserve">IC95% bootstrap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Microrregião Sertão de Crateús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−0,24</w:t>
            </w:r>
          </w:p>
        </w:tc>
        <w:tc>
          <w:tcPr/>
          <w:p>
            <w:pPr>
              <w:pStyle w:val="Compact"/>
            </w:pPr>
            <w:r>
              <w:t xml:space="preserve">[−0,77; 0,50]</w:t>
            </w:r>
          </w:p>
        </w:tc>
        <w:tc>
          <w:tcPr/>
          <w:p>
            <w:pPr>
              <w:pStyle w:val="Compact"/>
            </w:pPr>
            <w:r>
              <w:t xml:space="preserve">0,52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Ceará</w:t>
            </w:r>
          </w:p>
        </w:tc>
        <w:tc>
          <w:tcPr/>
          <w:p>
            <w:pPr>
              <w:pStyle w:val="Compact"/>
            </w:pPr>
            <w:r>
              <w:t xml:space="preserve">184</w:t>
            </w:r>
          </w:p>
        </w:tc>
        <w:tc>
          <w:tcPr/>
          <w:p>
            <w:pPr>
              <w:pStyle w:val="Compact"/>
            </w:pPr>
            <w:r>
              <w:t xml:space="preserve">0,03</w:t>
            </w:r>
          </w:p>
        </w:tc>
        <w:tc>
          <w:tcPr/>
          <w:p>
            <w:pPr>
              <w:pStyle w:val="Compact"/>
            </w:pPr>
            <w:r>
              <w:t xml:space="preserve">[−0,10; 0,15]</w:t>
            </w:r>
          </w:p>
        </w:tc>
        <w:tc>
          <w:tcPr/>
          <w:p>
            <w:pPr>
              <w:pStyle w:val="Compact"/>
            </w:pPr>
            <w:r>
              <w:t xml:space="preserve">0,76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Brasil</w:t>
            </w:r>
          </w:p>
        </w:tc>
        <w:tc>
          <w:tcPr/>
          <w:p>
            <w:pPr>
              <w:pStyle w:val="Compact"/>
            </w:pPr>
            <w:r>
              <w:t xml:space="preserve">5.360</w:t>
            </w:r>
          </w:p>
        </w:tc>
        <w:tc>
          <w:tcPr/>
          <w:p>
            <w:pPr>
              <w:pStyle w:val="Compact"/>
            </w:pPr>
            <w:r>
              <w:t xml:space="preserve">0,49</w:t>
            </w:r>
          </w:p>
        </w:tc>
        <w:tc>
          <w:tcPr/>
          <w:p>
            <w:pPr>
              <w:pStyle w:val="Compact"/>
            </w:pPr>
            <w:r>
              <w:t xml:space="preserve">[0,47; 0,51]</w:t>
            </w:r>
          </w:p>
        </w:tc>
        <w:tc>
          <w:tcPr/>
          <w:p>
            <w:pPr>
              <w:pStyle w:val="Compact"/>
            </w:pPr>
            <w:r>
              <w:t xml:space="preserve">&lt; 0,001</w:t>
            </w:r>
          </w:p>
        </w:tc>
      </w:tr>
    </w:tbl>
    <w:bookmarkEnd w:id="22"/>
    <w:bookmarkStart w:id="23" w:name="associação-dentro-das-unidades-h2"/>
    <w:p>
      <w:pPr>
        <w:pStyle w:val="Heading3"/>
      </w:pPr>
      <w:r>
        <w:t xml:space="preserve">4.2 Associação dentro das unidades (H2)</w:t>
      </w:r>
    </w:p>
    <w:p>
      <w:pPr>
        <w:pStyle w:val="FirstParagraph"/>
      </w:pPr>
      <w:r>
        <w:t xml:space="preserve">As primeiras diferenças dentro de município-etapa na microrregião foram próximas de zero: r = −0,07 (p = 0,50; n = 90). O coeficiente de efeitos fixos de município×etapa e ano foi β = 2,61 (SE homocedástico 1,28, p nominal 0,046; SE clusterizado 1,88; IC95% cluster [−1,73; 6,95]; p = 0,20 com t(G−1); wild cluster bootstrap p = 0,23; n = 108; 9 clusters): positivo, mas</w:t>
      </w:r>
      <w:r>
        <w:t xml:space="preserve"> </w:t>
      </w:r>
      <w:r>
        <w:rPr>
          <w:b/>
          <w:bCs/>
        </w:rPr>
        <w:t xml:space="preserve">não discernível de zero sob inferência cluster-robusta</w:t>
      </w:r>
      <w:r>
        <w:t xml:space="preserve">. Para o Ceará, β = −0,0006 (SE cluster 0,14; IC95% [−0,27; 0,27]; p = 0,997). Para o Brasil, β = 0,11 (SE cluster 0,024; IC95% [0,07; 0,16]; p &lt; 0,001): pequeno, embora discernível dado o enorme n. H2 não é rejeitada na microrregião: dentro das unidades, a associação entre variação de renda e variação de IDEB não é discernível — mas, dada a precisão limitada, o correto é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, não</w:t>
      </w:r>
      <w:r>
        <w:t xml:space="preserve"> </w:t>
      </w:r>
      <w:r>
        <w:t xml:space="preserve">“confirmação”</w:t>
      </w:r>
      <w:r>
        <w:t xml:space="preserve"> </w:t>
      </w:r>
      <w:r>
        <w:t xml:space="preserve">de nulidade.</w:t>
      </w:r>
    </w:p>
    <w:p>
      <w:pPr>
        <w:pStyle w:val="BodyText"/>
      </w:pPr>
      <w:r>
        <w:rPr>
          <w:b/>
          <w:bCs/>
        </w:rPr>
        <w:t xml:space="preserve">Tabela 2 — Associação dentro das unidades por escala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1ª diferenças r (p)</w:t>
            </w:r>
          </w:p>
        </w:tc>
        <w:tc>
          <w:tcPr/>
          <w:p>
            <w:pPr>
              <w:pStyle w:val="Compact"/>
            </w:pPr>
            <w:r>
              <w:t xml:space="preserve">n (1ª dif.)</w:t>
            </w:r>
          </w:p>
        </w:tc>
        <w:tc>
          <w:tcPr/>
          <w:p>
            <w:pPr>
              <w:pStyle w:val="Compact"/>
            </w:pPr>
            <w:r>
              <w:t xml:space="preserve">FE β (IC95% cluster; p cluster)</w:t>
            </w:r>
          </w:p>
        </w:tc>
        <w:tc>
          <w:tcPr/>
          <w:p>
            <w:pPr>
              <w:pStyle w:val="Compact"/>
            </w:pPr>
            <w:r>
              <w:t xml:space="preserve">p wild</w:t>
            </w:r>
          </w:p>
        </w:tc>
        <w:tc>
          <w:tcPr/>
          <w:p>
            <w:pPr>
              <w:pStyle w:val="Compact"/>
            </w:pPr>
            <w:r>
              <w:t xml:space="preserve">n (FE)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Microrregião Sertão de Crateús</w:t>
            </w:r>
          </w:p>
        </w:tc>
        <w:tc>
          <w:tcPr/>
          <w:p>
            <w:pPr>
              <w:pStyle w:val="Compact"/>
            </w:pPr>
            <w:r>
              <w:t xml:space="preserve">−0,07 (0,50)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2,61 ([−1,73; 6,95]; 0,20)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Ceará</w:t>
            </w:r>
          </w:p>
        </w:tc>
        <w:tc>
          <w:tcPr/>
          <w:p>
            <w:pPr>
              <w:pStyle w:val="Compact"/>
            </w:pPr>
            <w:r>
              <w:t xml:space="preserve">−0,01 (0,77)</w:t>
            </w:r>
          </w:p>
        </w:tc>
        <w:tc>
          <w:tcPr/>
          <w:p>
            <w:pPr>
              <w:pStyle w:val="Compact"/>
            </w:pPr>
            <w:r>
              <w:t xml:space="preserve">1.834</w:t>
            </w:r>
          </w:p>
        </w:tc>
        <w:tc>
          <w:tcPr/>
          <w:p>
            <w:pPr>
              <w:pStyle w:val="Compact"/>
            </w:pPr>
            <w:r>
              <w:t xml:space="preserve">−0,0006 ([−0,27; 0,27]; 0,997)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2.202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Brasil</w:t>
            </w:r>
          </w:p>
        </w:tc>
        <w:tc>
          <w:tcPr/>
          <w:p>
            <w:pPr>
              <w:pStyle w:val="Compact"/>
            </w:pPr>
            <w:r>
              <w:t xml:space="preserve">0,04 (&lt; 0,001)</w:t>
            </w:r>
          </w:p>
        </w:tc>
        <w:tc>
          <w:tcPr/>
          <w:p>
            <w:pPr>
              <w:pStyle w:val="Compact"/>
            </w:pPr>
            <w:r>
              <w:t xml:space="preserve">39.760</w:t>
            </w:r>
          </w:p>
        </w:tc>
        <w:tc>
          <w:tcPr/>
          <w:p>
            <w:pPr>
              <w:pStyle w:val="Compact"/>
            </w:pPr>
            <w:r>
              <w:t xml:space="preserve">0,11 ([0,07; 0,16]; &lt; 0,001)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48.695</w:t>
            </w:r>
          </w:p>
        </w:tc>
      </w:tr>
    </w:tbl>
    <w:bookmarkEnd w:id="23"/>
    <w:bookmarkStart w:id="24" w:name="X25b1f22221eb48867ffad697f441343b62d7f93"/>
    <w:p>
      <w:pPr>
        <w:pStyle w:val="Heading3"/>
      </w:pPr>
      <w:r>
        <w:t xml:space="preserve">4.3 Validação interna: estabilidade do sinal dentro da unidade</w:t>
      </w:r>
    </w:p>
    <w:p>
      <w:pPr>
        <w:pStyle w:val="FirstParagraph"/>
      </w:pPr>
      <w:r>
        <w:t xml:space="preserve">A correlação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de cada município retido (12 observações em níveis) foi positiva em 9/9 municípios (100%), com média r = 0,44 (mediana 0,46; DP 0,20). Os valores variam de 0,08 (Quiterianópolis) a 0,72 (Ararendá). Essa estabilidade reflete</w:t>
      </w:r>
      <w:r>
        <w:t xml:space="preserve"> </w:t>
      </w:r>
      <w:r>
        <w:rPr>
          <w:b/>
          <w:bCs/>
        </w:rPr>
        <w:t xml:space="preserve">co-tendência temporal</w:t>
      </w:r>
      <w:r>
        <w:t xml:space="preserve"> </w:t>
      </w:r>
      <w:r>
        <w:t xml:space="preserve">de IDEB e renda dentro da unidade e não replica a associação transversal entre municípios: trata-se de validação</w:t>
      </w:r>
      <w:r>
        <w:t xml:space="preserve"> </w:t>
      </w:r>
      <w:r>
        <w:rPr>
          <w:b/>
          <w:bCs/>
        </w:rPr>
        <w:t xml:space="preserve">interna</w:t>
      </w:r>
      <w:r>
        <w:t xml:space="preserve">, não de validação externa nem de réplica da dimensão entre unidades (Figuras 2 e 3).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2 — Trajetória do IDEB por município, 2007–2025 (anos iniciais e finais).</w:t>
            </w:r>
          </w:p>
        </w:tc>
      </w:tr>
    </w:tbl>
    <w:p>
      <w:pPr>
        <w:pStyle w:val="ImageCaption"/>
      </w:pPr>
      <w:r>
        <w:t xml:space="preserve">Figura 2 — Trajetória do IDEB por município, 2007–2025 (anos iniciais e finais).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3 — Validação interna: correlação dentro do município retido (r em níveis).</w:t>
            </w:r>
          </w:p>
        </w:tc>
      </w:tr>
    </w:tbl>
    <w:p>
      <w:pPr>
        <w:pStyle w:val="ImageCaption"/>
      </w:pPr>
      <w:r>
        <w:t xml:space="preserve">Figura 3 — Validação interna: correlação dentro do município retido (r em níveis).</w:t>
      </w:r>
    </w:p>
    <w:p>
      <w:pPr>
        <w:pStyle w:val="BodyText"/>
      </w:pPr>
      <w:r>
        <w:rPr>
          <w:b/>
          <w:bCs/>
        </w:rPr>
        <w:t xml:space="preserve">Tabela 3 — Validação interna por município (r dentro da unidade, 12 observações)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r dentro</w:t>
            </w:r>
          </w:p>
        </w:tc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r dentro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Ararendá</w:t>
            </w:r>
          </w:p>
        </w:tc>
        <w:tc>
          <w:tcPr/>
          <w:p>
            <w:pPr>
              <w:pStyle w:val="Compact"/>
            </w:pPr>
            <w:r>
              <w:t xml:space="preserve">0,72</w:t>
            </w:r>
          </w:p>
        </w:tc>
        <w:tc>
          <w:tcPr/>
          <w:p>
            <w:pPr>
              <w:pStyle w:val="Compact"/>
            </w:pPr>
            <w:r>
              <w:t xml:space="preserve">Nova Russas</w:t>
            </w:r>
          </w:p>
        </w:tc>
        <w:tc>
          <w:tcPr/>
          <w:p>
            <w:pPr>
              <w:pStyle w:val="Compact"/>
            </w:pPr>
            <w:r>
              <w:t xml:space="preserve">0,65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Crateús</w:t>
            </w:r>
          </w:p>
        </w:tc>
        <w:tc>
          <w:tcPr/>
          <w:p>
            <w:pPr>
              <w:pStyle w:val="Compact"/>
            </w:pPr>
            <w:r>
              <w:t xml:space="preserve">0,51</w:t>
            </w:r>
          </w:p>
        </w:tc>
        <w:tc>
          <w:tcPr/>
          <w:p>
            <w:pPr>
              <w:pStyle w:val="Compact"/>
            </w:pPr>
            <w:r>
              <w:t xml:space="preserve">Novo Oriente</w:t>
            </w:r>
          </w:p>
        </w:tc>
        <w:tc>
          <w:tcPr/>
          <w:p>
            <w:pPr>
              <w:pStyle w:val="Compact"/>
            </w:pPr>
            <w:r>
              <w:t xml:space="preserve">0,27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Quiterianópolis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Ipaporanga</w:t>
            </w:r>
          </w:p>
        </w:tc>
        <w:tc>
          <w:tcPr/>
          <w:p>
            <w:pPr>
              <w:pStyle w:val="Compact"/>
            </w:pPr>
            <w:r>
              <w:t xml:space="preserve">0,46</w:t>
            </w:r>
          </w:p>
        </w:tc>
        <w:tc>
          <w:tcPr/>
          <w:p>
            <w:pPr>
              <w:pStyle w:val="Compact"/>
            </w:pPr>
            <w:r>
              <w:t xml:space="preserve">Tamboril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Monsenhor Tabosa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mdes-e-tost"/>
    <w:p>
      <w:pPr>
        <w:pStyle w:val="Heading3"/>
      </w:pPr>
      <w:r>
        <w:t xml:space="preserve">4.4 MDES e TOST</w:t>
      </w:r>
    </w:p>
    <w:p>
      <w:pPr>
        <w:pStyle w:val="FirstParagraph"/>
      </w:pPr>
      <w:r>
        <w:t xml:space="preserve">Com n municipal de 9 e 108 observações, o mínimo efeito detectável foi de 6,01 pontos de IDEB por unidade de log do PIB real (erro clusterizado, G−1 = 8 graus de liberdade; 3,63 com erro homocedástico) — muito acima de qualquer coeficiente plausível. Traduzido em termos substantivos: o estudo</w:t>
      </w:r>
      <w:r>
        <w:t xml:space="preserve"> </w:t>
      </w:r>
      <w:r>
        <w:rPr>
          <w:b/>
          <w:bCs/>
        </w:rPr>
        <w:t xml:space="preserve">não detectaria</w:t>
      </w:r>
      <w:r>
        <w:t xml:space="preserve"> </w:t>
      </w:r>
      <w:r>
        <w:t xml:space="preserve">um efeito de +10% de crescimento do PIB per capita real que movesse o IDEB em cerca de 0,57 ponto. O teste de equivalência (TOST) com margem substantiva ±0,5 ponto não foi significativo (p = 0,85; com margem ±0,10, p = 0,89). Portanto, o correto é declarar</w:t>
      </w:r>
      <w:r>
        <w:t xml:space="preserve"> </w:t>
      </w:r>
      <w:r>
        <w:rPr>
          <w:b/>
          <w:bCs/>
        </w:rPr>
        <w:t xml:space="preserve">precisão insuficiente</w:t>
      </w:r>
      <w:r>
        <w:t xml:space="preserve">: a amostra não permite afirmar efeito, mas tampouco permite declarar equivalência. Essa é uma limitação central, explicitamente assumida (Lakens; Scheel; Isager, 2018).</w:t>
      </w:r>
    </w:p>
    <w:bookmarkEnd w:id="25"/>
    <w:bookmarkStart w:id="26" w:name="h3-metas-do-inep-e-ganho-educacional"/>
    <w:p>
      <w:pPr>
        <w:pStyle w:val="Heading3"/>
      </w:pPr>
      <w:r>
        <w:t xml:space="preserve">4.5 H3 — metas do INEP e ganho educacional</w:t>
      </w:r>
    </w:p>
    <w:p>
      <w:pPr>
        <w:pStyle w:val="FirstParagraph"/>
      </w:pPr>
      <w:r>
        <w:rPr>
          <w:b/>
          <w:bCs/>
        </w:rPr>
        <w:t xml:space="preserve">H3(a):</w:t>
      </w:r>
      <w:r>
        <w:t xml:space="preserve"> </w:t>
      </w:r>
      <w:r>
        <w:t xml:space="preserve">comparando o IDEB observado com a projeção do INEP no</w:t>
      </w:r>
      <w:r>
        <w:t xml:space="preserve"> </w:t>
      </w:r>
      <w:r>
        <w:rPr>
          <w:b/>
          <w:bCs/>
        </w:rPr>
        <w:t xml:space="preserve">mesmo ano</w:t>
      </w:r>
      <w:r>
        <w:t xml:space="preserve"> </w:t>
      </w:r>
      <w:r>
        <w:t xml:space="preserve">(2011–2021), os nove municípios cumpriram a meta em 107 de 108 comparações (99,1%); no único desvio, um município, em 2013, não atingiu a meta. Em 2021, todos os 18 pares município-etapa cumpriram a meta; em anos iniciais, todos os nove municípios a atingiram ou superaram (ex.: Crateús, 6,5 vs. meta 5,2; Novo Oriente, 8,9 vs. 5,6).</w:t>
      </w:r>
      <w:r>
        <w:t xml:space="preserve"> </w:t>
      </w:r>
      <w:r>
        <w:rPr>
          <w:b/>
          <w:bCs/>
        </w:rPr>
        <w:t xml:space="preserve">H3(b):</w:t>
      </w:r>
      <w:r>
        <w:t xml:space="preserve"> </w:t>
      </w:r>
      <w:r>
        <w:t xml:space="preserve">o ganho médio do IDEB de anos iniciais entre 2007 e 2025 foi de 5,93 pontos, com todos os municípios acima da meta; a correlação entre ganho e renda média do responsável foi r = −0,14 (p = 0,73; n = 9; Figura 4). Não há evidência de que municípios com maior renda tenham tido maior ganho educacional.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4 — Ganho de IDEB (2007→2025, anos iniciais) e renda média do responsável (Censo 2022).</w:t>
            </w:r>
          </w:p>
        </w:tc>
      </w:tr>
    </w:tbl>
    <w:p>
      <w:pPr>
        <w:pStyle w:val="ImageCaption"/>
      </w:pPr>
      <w:r>
        <w:t xml:space="preserve">Figura 4 — Ganho de IDEB (2007→2025, anos iniciais) e renda média do responsável (Censo 2022).</w:t>
      </w:r>
    </w:p>
    <w:p>
      <w:pPr>
        <w:pStyle w:val="BodyText"/>
      </w:pPr>
      <w:r>
        <w:rPr>
          <w:b/>
          <w:bCs/>
        </w:rPr>
        <w:t xml:space="preserve">Tabela 4 — IDEB 2025, ganho 2007–2025 e meta 2021 (anos iniciais)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Município</w:t>
            </w:r>
          </w:p>
        </w:tc>
        <w:tc>
          <w:tcPr/>
          <w:p>
            <w:pPr>
              <w:pStyle w:val="Compact"/>
            </w:pPr>
            <w:r>
              <w:t xml:space="preserve">IDEB 2007</w:t>
            </w:r>
          </w:p>
        </w:tc>
        <w:tc>
          <w:tcPr/>
          <w:p>
            <w:pPr>
              <w:pStyle w:val="Compact"/>
            </w:pPr>
            <w:r>
              <w:t xml:space="preserve">IDEB 2025</w:t>
            </w:r>
          </w:p>
        </w:tc>
        <w:tc>
          <w:tcPr/>
          <w:p>
            <w:pPr>
              <w:pStyle w:val="Compact"/>
            </w:pPr>
            <w:r>
              <w:t xml:space="preserve">Ganho</w:t>
            </w:r>
          </w:p>
        </w:tc>
        <w:tc>
          <w:tcPr/>
          <w:p>
            <w:pPr>
              <w:pStyle w:val="Compact"/>
            </w:pPr>
            <w:r>
              <w:t xml:space="preserve">Meta 2021</w:t>
            </w:r>
          </w:p>
        </w:tc>
        <w:tc>
          <w:tcPr/>
          <w:p>
            <w:pPr>
              <w:pStyle w:val="Compact"/>
            </w:pPr>
            <w:r>
              <w:t xml:space="preserve">IDEB 2021</w:t>
            </w:r>
          </w:p>
        </w:tc>
        <w:tc>
          <w:tcPr/>
          <w:p>
            <w:pPr>
              <w:pStyle w:val="Compact"/>
            </w:pPr>
            <w:r>
              <w:t xml:space="preserve">Atingiu 2021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Ararendá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6,4</w:t>
            </w:r>
          </w:p>
        </w:tc>
        <w:tc>
          <w:tcPr/>
          <w:p>
            <w:pPr>
              <w:pStyle w:val="Compact"/>
            </w:pPr>
            <w:r>
              <w:t xml:space="preserve">5,3</w:t>
            </w:r>
          </w:p>
        </w:tc>
        <w:tc>
          <w:tcPr/>
          <w:p>
            <w:pPr>
              <w:pStyle w:val="Compact"/>
            </w:pPr>
            <w:r>
              <w:t xml:space="preserve">9,5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Crateús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8,5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6,5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Independência</w:t>
            </w:r>
          </w:p>
        </w:tc>
        <w:tc>
          <w:tcPr/>
          <w:p>
            <w:pPr>
              <w:pStyle w:val="Compact"/>
            </w:pPr>
            <w:r>
              <w:t xml:space="preserve">3,7</w:t>
            </w:r>
          </w:p>
        </w:tc>
        <w:tc>
          <w:tcPr/>
          <w:p>
            <w:pPr>
              <w:pStyle w:val="Compact"/>
            </w:pPr>
            <w:r>
              <w:t xml:space="preserve">9,8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5,2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Ipaporanga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9,9</w:t>
            </w:r>
          </w:p>
        </w:tc>
        <w:tc>
          <w:tcPr/>
          <w:p>
            <w:pPr>
              <w:pStyle w:val="Compact"/>
            </w:pPr>
            <w:r>
              <w:t xml:space="preserve">6,7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Monsenhor Tabosa</w:t>
            </w:r>
          </w:p>
        </w:tc>
        <w:tc>
          <w:tcPr/>
          <w:p>
            <w:pPr>
              <w:pStyle w:val="Compact"/>
            </w:pPr>
            <w:r>
              <w:t xml:space="preserve">2,6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6,3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 Russas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6,7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7,2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Novo Oriente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5,6</w:t>
            </w:r>
          </w:p>
        </w:tc>
        <w:tc>
          <w:tcPr/>
          <w:p>
            <w:pPr>
              <w:pStyle w:val="Compact"/>
            </w:pPr>
            <w:r>
              <w:t xml:space="preserve">8,9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Quiterianópolis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3,2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  <w:tc>
          <w:tcPr/>
          <w:p>
            <w:pPr>
              <w:pStyle w:val="Compact"/>
            </w:pPr>
            <w:r>
              <w:t xml:space="preserve">5,9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Tamboril</w:t>
            </w:r>
          </w:p>
        </w:tc>
        <w:tc>
          <w:tcPr/>
          <w:p>
            <w:pPr>
              <w:pStyle w:val="Compact"/>
            </w:pPr>
            <w:r>
              <w:t xml:space="preserve">3,1</w:t>
            </w:r>
          </w:p>
        </w:tc>
        <w:tc>
          <w:tcPr/>
          <w:p>
            <w:pPr>
              <w:pStyle w:val="Compact"/>
            </w:pPr>
            <w:r>
              <w:t xml:space="preserve">9,3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6,6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</w:tr>
    </w:tbl>
    <w:bookmarkEnd w:id="26"/>
    <w:bookmarkStart w:id="27" w:name="robustez-da-defasagem"/>
    <w:p>
      <w:pPr>
        <w:pStyle w:val="Heading3"/>
      </w:pPr>
      <w:r>
        <w:t xml:space="preserve">4.6 Robustez da defasagem</w:t>
      </w:r>
    </w:p>
    <w:p>
      <w:pPr>
        <w:pStyle w:val="FirstParagraph"/>
      </w:pPr>
      <w:r>
        <w:t xml:space="preserve">Para as defasagens 0–4, a correlação pooled (níveis) variou entre r = 0,16 e r = 0,26 na microrregião e as primeiras diferenças oscilaram entre −0,07 e +0,18, sem padrão monotônico — reforçando que nenhuma especificação produz associação temporal discernível na microrregião.</w:t>
      </w:r>
    </w:p>
    <w:bookmarkEnd w:id="27"/>
    <w:bookmarkStart w:id="28" w:name="mapas"/>
    <w:p>
      <w:pPr>
        <w:pStyle w:val="Heading3"/>
      </w:pPr>
      <w:r>
        <w:t xml:space="preserve">4.7 Mapas</w:t>
      </w:r>
    </w:p>
    <w:p>
      <w:pPr>
        <w:pStyle w:val="FirstParagraph"/>
      </w:pPr>
      <w:r>
        <w:t xml:space="preserve">Os mapas coropléticos (Figuras 5 e 6) apresentam os dois proxies oficiais de desenvolvimento por município: renda média mensal do responsável (Censo 2022, IBGE) e PIB per capita (2021, IBGE). Crateús, sede regional, destaca-se em ambos os indicadores; os demais municípios concentram-se nas faixas inferiores, retratando a heterogeneidade intra-regional que a análise transversal explora.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5 — Renda média mensal do responsável por município (Censo 2022, IBGE).</w:t>
            </w:r>
          </w:p>
        </w:tc>
      </w:tr>
    </w:tbl>
    <w:p>
      <w:pPr>
        <w:pStyle w:val="ImageCaption"/>
      </w:pPr>
      <w:r>
        <w:t xml:space="preserve">Figura 5 — Renda média mensal do responsável por município (Censo 2022, IBGE).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Figura 6 — PIB per capita por município (2021, IBGE).</w:t>
            </w:r>
          </w:p>
        </w:tc>
      </w:tr>
    </w:tbl>
    <w:p>
      <w:pPr>
        <w:pStyle w:val="ImageCaption"/>
      </w:pPr>
      <w:r>
        <w:t xml:space="preserve">Figura 6 — PIB per capita por município (2021, IBGE).</w:t>
      </w:r>
    </w:p>
    <w:bookmarkEnd w:id="28"/>
    <w:bookmarkEnd w:id="29"/>
    <w:bookmarkStart w:id="30" w:name="discussão"/>
    <w:p>
      <w:pPr>
        <w:pStyle w:val="Heading2"/>
      </w:pPr>
      <w:r>
        <w:t xml:space="preserve">5. Discussão</w:t>
      </w:r>
    </w:p>
    <w:p>
      <w:pPr>
        <w:pStyle w:val="FirstParagraph"/>
      </w:pPr>
      <w:r>
        <w:t xml:space="preserve">Os resultados indicam que, no Sertão de Crateús,</w:t>
      </w:r>
      <w:r>
        <w:t xml:space="preserve"> </w:t>
      </w:r>
      <w:r>
        <w:rPr>
          <w:b/>
          <w:bCs/>
        </w:rPr>
        <w:t xml:space="preserve">não se sustenta a hipótese de associação renda–desempenho em nenhuma das duas dimensões testadas</w:t>
      </w:r>
      <w:r>
        <w:t xml:space="preserve">: entre municípios, a correlação estimada é negativa e não discernível de zero (r = −0,24; IC95% [−0,77; 0,50]; Figura 1); dentro dos municípios, as primeiras diferenças são próximas de zero e os efeitos fixos não são discerníveis de zero sob erros clusterizados (β = 2,61; IC95% [−1,73; 6,95]; p = 0,20; Figuras 2 e 3). A precisão do estudo é limitada (MDES ≈ 6,0; TOST não significativo mesmo com margem substantiva), de modo que a leitura correta é de</w:t>
      </w:r>
      <w:r>
        <w:t xml:space="preserve"> </w:t>
      </w:r>
      <w:r>
        <w:rPr>
          <w:b/>
          <w:bCs/>
        </w:rPr>
        <w:t xml:space="preserve">precisão insuficiente para detectar efeitos plausíveis</w:t>
      </w:r>
      <w:r>
        <w:t xml:space="preserve">, e não de prova de ausência de efeito.</w:t>
      </w:r>
    </w:p>
    <w:p>
      <w:pPr>
        <w:pStyle w:val="BodyText"/>
      </w:pPr>
      <w:r>
        <w:t xml:space="preserve">Dois pontos merecem destaque. Primeiro, a ausência de associação transversal discernível na microrregião — ao contrário do agregado nacional (r = 0,49 no Brasil) — sugere que, em contextos de pobreza estrutural com política educacional coordenada, a variação de renda entre municípios pequenos explica pouco da variação de desempenho. Segundo, o crescimento educacional não acompanhou a renda: municípios pobres da microrregião alcançaram IDEB 2025 elevado (até 9,9 pontos) e todos cumpriram as metas do INEP no ano de referência — o que é compatível com a literatura sobre políticas educacionais cearenses (PAIC, regime de colaboração, alfabetização na idade certa), que associa os ganhos a fatores institucionais e pedagógicos, e não à variação econômica local (Costa; Carnoy, 2015; Cruz; Ribeiro; Batista, 2022; Segatto; Oliveira; Silva, 2024).</w:t>
      </w:r>
    </w:p>
    <w:p>
      <w:pPr>
        <w:pStyle w:val="BodyText"/>
      </w:pPr>
      <w:r>
        <w:t xml:space="preserve">As limitações são explícitas: (i) n municipal de 9 e 108 observações implica poder estatístico baixo (MDES ≈ 6,0 com erro clusterizado), tornando a ausência de associação temporal e transversal uma</w:t>
      </w:r>
      <w:r>
        <w:t xml:space="preserve"> </w:t>
      </w:r>
      <w:r>
        <w:rPr>
          <w:b/>
          <w:bCs/>
        </w:rPr>
        <w:t xml:space="preserve">não-detecção</w:t>
      </w:r>
      <w:r>
        <w:t xml:space="preserve"> </w:t>
      </w:r>
      <w:r>
        <w:t xml:space="preserve">e não uma prova de ausência; (ii) com G = 9, o teste t cluster pode super-rejeitar — daí o wild cluster bootstrap como robustez (MacKinnon; Webb, 2017); (iii) o PIB municipal e a renda do responsável são proxies do desenvolvimento local — o IPCE original não é auditável; (iv) não há pretensão causal; (v) os efeitos fixos controlam fatores invariantes no tempo e choques comuns por ano, mas não outros confundidores variáveis; (vi) a comparação das metas do INEP é descritiva e não controla por tendências subjacentes.</w:t>
      </w:r>
    </w:p>
    <w:bookmarkEnd w:id="30"/>
    <w:bookmarkStart w:id="31" w:name="considerações-finais"/>
    <w:p>
      <w:pPr>
        <w:pStyle w:val="Heading2"/>
      </w:pPr>
      <w:r>
        <w:t xml:space="preserve">6. Considerações finais</w:t>
      </w:r>
    </w:p>
    <w:p>
      <w:pPr>
        <w:pStyle w:val="FirstParagraph"/>
      </w:pPr>
      <w:r>
        <w:t xml:space="preserve">Este estudo responde à pergunta de pesquisa com evidência associativa subnacional: no Sertão de Crateús, a relação entre renda e desempenho escolar</w:t>
      </w:r>
      <w:r>
        <w:t xml:space="preserve"> </w:t>
      </w:r>
      <w:r>
        <w:rPr>
          <w:b/>
          <w:bCs/>
        </w:rPr>
        <w:t xml:space="preserve">não é discernível nem entre nem dentro dos municípios</w:t>
      </w:r>
      <w:r>
        <w:t xml:space="preserve"> </w:t>
      </w:r>
      <w:r>
        <w:t xml:space="preserve">— a associação transversal observada no agregado nacional não se reproduz na microrregião, e a variação temporal da renda não acompanha a variação do desempenho. Adicionalmente, os dados oficiais mostram que os nove municípios atingiram ou superaram as metas projetadas pelo INEP na grande maioria das 108 comparações município-etapa-ano (99,1%; único desvio em Ipaporanga, 2013) — e, em 2021, todos os 18 pares cumpriram a meta —, com ganhos médios de cerca de seis pontos no período 2007–2025 e IDEB 2025 elevado mesmo em municípios de baixa renda. A ausência de associação entre ganho educacional e renda sugere que fatores de política educacional — e não a variação econômica — estão associados à trajetória observada, em linha com a literatura do Ceará. Recomenda-se, para estudos futuros, ampliar o painel para todas as microrregiões cearenses e estaduais (aumentando o número efetivo de unidades), incorporar controles de política (PAIC, ICMS educacional) e utilizar estratégias quase-experimentais para testar mecanismos causais específicos.</w:t>
      </w:r>
    </w:p>
    <w:bookmarkEnd w:id="31"/>
    <w:bookmarkStart w:id="32" w:name="referências"/>
    <w:p>
      <w:pPr>
        <w:pStyle w:val="Heading2"/>
      </w:pPr>
      <w:r>
        <w:t xml:space="preserve">Referências</w:t>
      </w:r>
    </w:p>
    <w:p>
      <w:pPr>
        <w:pStyle w:val="FirstParagraph"/>
      </w:pPr>
      <w:r>
        <w:t xml:space="preserve">AFONSO, A. J. Para uma concetualização alternativa de accountability em educação.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33, n. 119, p. 471–484, 2012. https://doi.org/10.1590/S0101-73302012000200008</w:t>
      </w:r>
    </w:p>
    <w:p>
      <w:pPr>
        <w:pStyle w:val="BodyText"/>
      </w:pPr>
      <w:r>
        <w:t xml:space="preserve">ANDREWS, C. W.; VRIES, M. S. de. Pobreza e municipalização da educação: análise dos resultados do IDEB (2005-2009).</w:t>
      </w:r>
      <w:r>
        <w:t xml:space="preserve"> </w:t>
      </w:r>
      <w:r>
        <w:rPr>
          <w:i/>
          <w:iCs/>
        </w:rPr>
        <w:t xml:space="preserve">Cadernos de Pesquisa</w:t>
      </w:r>
      <w:r>
        <w:t xml:space="preserve">, São Paulo, v. 42, n. 147, p. 826–847, 2012. https://doi.org/10.1590/S0100-15742012000300010</w:t>
      </w:r>
    </w:p>
    <w:p>
      <w:pPr>
        <w:pStyle w:val="BodyText"/>
      </w:pPr>
      <w:r>
        <w:t xml:space="preserve">BLOOM, H. S. Minimum detectable effects: a simple way to report the statistical power of experimental designs.</w:t>
      </w:r>
      <w:r>
        <w:t xml:space="preserve"> </w:t>
      </w:r>
      <w:r>
        <w:rPr>
          <w:i/>
          <w:iCs/>
        </w:rPr>
        <w:t xml:space="preserve">Evaluation Review</w:t>
      </w:r>
      <w:r>
        <w:t xml:space="preserve">, Thousand Oaks, v. 19, n. 5, p. 547–556, 1995. https://doi.org/10.1177/0193841X9501900504</w:t>
      </w:r>
    </w:p>
    <w:p>
      <w:pPr>
        <w:pStyle w:val="BodyText"/>
      </w:pPr>
      <w:r>
        <w:t xml:space="preserve">BRUNELLO, G.; KISS, D. Math scores in high stakes grades.</w:t>
      </w:r>
      <w:r>
        <w:t xml:space="preserve"> </w:t>
      </w:r>
      <w:r>
        <w:rPr>
          <w:i/>
          <w:iCs/>
        </w:rPr>
        <w:t xml:space="preserve">Economics of Education Review</w:t>
      </w:r>
      <w:r>
        <w:t xml:space="preserve">, v. 87, 102219, 2022. https://doi.org/10.1016/j.econedurev.2021.102219</w:t>
      </w:r>
    </w:p>
    <w:p>
      <w:pPr>
        <w:pStyle w:val="BodyText"/>
      </w:pPr>
      <w:r>
        <w:t xml:space="preserve">CAMERON, A. C.; GELBACH, J. B.; MILLER, D. L. Bootstrap-based improvements for inference with clustered errors.</w:t>
      </w:r>
      <w:r>
        <w:t xml:space="preserve"> </w:t>
      </w:r>
      <w:r>
        <w:rPr>
          <w:i/>
          <w:iCs/>
        </w:rPr>
        <w:t xml:space="preserve">The Review of Economics and Statistics</w:t>
      </w:r>
      <w:r>
        <w:t xml:space="preserve">, Cambridge, MA, v. 90, n. 3, p. 414–427, 2008. https://doi.org/10.1162/rest.90.3.414</w:t>
      </w:r>
    </w:p>
    <w:p>
      <w:pPr>
        <w:pStyle w:val="BodyText"/>
      </w:pPr>
      <w:r>
        <w:t xml:space="preserve">CARNOY, M.; MAROTTA, L.; LOUZANO, P.; KHAVENSON, T.; GUIMARÃES, F. R. F.; CARNAUBA, F. Intranational comparative education: what state differences in student achievement can teach us about improving education — the case of Brazil.</w:t>
      </w:r>
      <w:r>
        <w:t xml:space="preserve"> </w:t>
      </w:r>
      <w:r>
        <w:rPr>
          <w:i/>
          <w:iCs/>
        </w:rPr>
        <w:t xml:space="preserve">Comparative Education Review</w:t>
      </w:r>
      <w:r>
        <w:t xml:space="preserve">, Chicago, v. 61, n. 4, p. 726–759, nov. 2017. https://doi.org/10.1086/693981</w:t>
      </w:r>
    </w:p>
    <w:p>
      <w:pPr>
        <w:pStyle w:val="BodyText"/>
      </w:pPr>
      <w:r>
        <w:t xml:space="preserve">CITO, L.; MARÔCO, J. Beyond the average: mapping educational inequality in Brazil with PISA 2022.</w:t>
      </w:r>
      <w:r>
        <w:t xml:space="preserve"> </w:t>
      </w:r>
      <w:r>
        <w:rPr>
          <w:i/>
          <w:iCs/>
        </w:rPr>
        <w:t xml:space="preserve">Large-scale Assessments in Education</w:t>
      </w:r>
      <w:r>
        <w:t xml:space="preserve">, v. 14, art. 30, 2026. https://doi.org/10.1186/s40536-026-00302-0</w:t>
      </w:r>
    </w:p>
    <w:p>
      <w:pPr>
        <w:pStyle w:val="BodyText"/>
      </w:pPr>
      <w:r>
        <w:t xml:space="preserve">COSTA, L. O.; CARNOY, M. The effectiveness of an early-grade literacy intervention on the cognitive achievement of Brazilian students.</w:t>
      </w:r>
      <w:r>
        <w:t xml:space="preserve"> </w:t>
      </w:r>
      <w:r>
        <w:rPr>
          <w:i/>
          <w:iCs/>
        </w:rPr>
        <w:t xml:space="preserve">Educational Evaluation and Policy Analysis</w:t>
      </w:r>
      <w:r>
        <w:t xml:space="preserve">, v. 37, n. 4, p. 567–590, 2015. https://doi.org/10.3102/0162373715571437</w:t>
      </w:r>
    </w:p>
    <w:p>
      <w:pPr>
        <w:pStyle w:val="BodyText"/>
      </w:pPr>
      <w:r>
        <w:t xml:space="preserve">CRUZ, M. C. M. T.; RIBEIRO, V. M.; BATISTA, J. M. Contexto de implementação do Programa de Aprendizagem na Idade Certa (PAIC).</w:t>
      </w:r>
      <w:r>
        <w:t xml:space="preserve"> </w:t>
      </w:r>
      <w:r>
        <w:rPr>
          <w:i/>
          <w:iCs/>
        </w:rPr>
        <w:t xml:space="preserve">Revista Ibero-Americana de Estudos em Educação</w:t>
      </w:r>
      <w:r>
        <w:t xml:space="preserve">, Araraquara, v. 17, n. esp. 3, p. 2405–2432, 2022. https://doi.org/10.21723/riaee.v17iesp.3.16719. [Nota: o título do artigo usa a variação</w:t>
      </w:r>
      <w:r>
        <w:t xml:space="preserve"> </w:t>
      </w:r>
      <w:r>
        <w:t xml:space="preserve">“Aprendizagem”</w:t>
      </w:r>
      <w:r>
        <w:t xml:space="preserve">; a denominação legal do programa é</w:t>
      </w:r>
      <w:r>
        <w:t xml:space="preserve"> </w:t>
      </w:r>
      <w:r>
        <w:t xml:space="preserve">“Alfabetização na Idade Certa”</w:t>
      </w:r>
      <w:r>
        <w:t xml:space="preserve"> </w:t>
      </w:r>
      <w:r>
        <w:t xml:space="preserve">(Lei estadual 14.026/2007).]</w:t>
      </w:r>
    </w:p>
    <w:p>
      <w:pPr>
        <w:pStyle w:val="BodyText"/>
      </w:pPr>
      <w:r>
        <w:t xml:space="preserve">DUARTE, N. de S. O impacto da pobreza no Ideb: um estudo multinível.</w:t>
      </w:r>
      <w:r>
        <w:t xml:space="preserve"> </w:t>
      </w:r>
      <w:r>
        <w:rPr>
          <w:i/>
          <w:iCs/>
        </w:rPr>
        <w:t xml:space="preserve">Revista Brasileira de Estudos Pedagógicos</w:t>
      </w:r>
      <w:r>
        <w:t xml:space="preserve">, Brasília, DF, v. 94, n. 237, p. 343–363, 2013. https://doi.org/10.1590/S2176-66812013000200002</w:t>
      </w:r>
    </w:p>
    <w:p>
      <w:pPr>
        <w:pStyle w:val="BodyText"/>
      </w:pPr>
      <w:r>
        <w:t xml:space="preserve">HANUSHEK, E. A.; WOESSMANN, L.</w:t>
      </w:r>
      <w:r>
        <w:t xml:space="preserve"> </w:t>
      </w:r>
      <w:r>
        <w:rPr>
          <w:i/>
          <w:iCs/>
        </w:rPr>
        <w:t xml:space="preserve">The Knowledge Capital of Nations: education and the economics of growth</w:t>
      </w:r>
      <w:r>
        <w:t xml:space="preserve">. Cambridge, MA: MIT Press, 2015. https://doi.org/10.7551/mitpress/9780262029179.001.0001</w:t>
      </w:r>
    </w:p>
    <w:p>
      <w:pPr>
        <w:pStyle w:val="BodyText"/>
      </w:pPr>
      <w:r>
        <w:t xml:space="preserve">LACRUZ, A. J.; AMÉRICO, B. L.; CARNIEL, F. Indicadores de qualidade na educação: análise discriminante dos desempenhos na Prova Brasil.</w:t>
      </w:r>
      <w:r>
        <w:t xml:space="preserve"> </w:t>
      </w:r>
      <w:r>
        <w:rPr>
          <w:i/>
          <w:iCs/>
        </w:rPr>
        <w:t xml:space="preserve">Revista Brasileira de Educação</w:t>
      </w:r>
      <w:r>
        <w:t xml:space="preserve">, Rio de Janeiro, v. 24, e240002, p. 1–26, 2019. https://doi.org/10.1590/S1413-24782019240002</w:t>
      </w:r>
    </w:p>
    <w:p>
      <w:pPr>
        <w:pStyle w:val="BodyText"/>
      </w:pPr>
      <w:r>
        <w:t xml:space="preserve">LAKENS, D.; SCHEEL, A. M.; ISAGER, P. M. Equivalence testing for psychological research: a tutorial.</w:t>
      </w:r>
      <w:r>
        <w:t xml:space="preserve"> </w:t>
      </w:r>
      <w:r>
        <w:rPr>
          <w:i/>
          <w:iCs/>
        </w:rPr>
        <w:t xml:space="preserve">Advances in Methods and Practices in Psychological Science</w:t>
      </w:r>
      <w:r>
        <w:t xml:space="preserve">, Thousand Oaks, v. 1, n. 2, p. 259–269, 2018. https://doi.org/10.1177/2515245918770963</w:t>
      </w:r>
    </w:p>
    <w:p>
      <w:pPr>
        <w:pStyle w:val="BodyText"/>
      </w:pPr>
      <w:r>
        <w:t xml:space="preserve">MACKINNON, J. G.; WEBB, M. D. Wild bootstrap inference for wildly different cluster sizes.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, Chichester, v. 32, n. 2, p. 233–254, 2017. https://doi.org/10.1002/jae.2508</w:t>
      </w:r>
    </w:p>
    <w:p>
      <w:pPr>
        <w:pStyle w:val="BodyText"/>
      </w:pPr>
      <w:r>
        <w:t xml:space="preserve">SCHNEIDER, M. P.; NARDI, E. L. O IDEB e a construção de um modelo de accountability na educação básica brasileira.</w:t>
      </w:r>
      <w:r>
        <w:t xml:space="preserve"> </w:t>
      </w:r>
      <w:r>
        <w:rPr>
          <w:i/>
          <w:iCs/>
        </w:rPr>
        <w:t xml:space="preserve">Revista Portuguesa de Educação</w:t>
      </w:r>
      <w:r>
        <w:t xml:space="preserve">, Braga, v. 27, n. 1, p. 7–28, 2014. https://doi.org/10.21814/rpe.4295</w:t>
      </w:r>
    </w:p>
    <w:p>
      <w:pPr>
        <w:pStyle w:val="BodyText"/>
      </w:pPr>
      <w:r>
        <w:t xml:space="preserve">SEGATTO, C. I.; OLIVEIRA, K. de; SILVA, A. L. N. da. Os limites do PNE (2014-2024) no regime de colaboração.</w:t>
      </w:r>
      <w:r>
        <w:t xml:space="preserve"> </w:t>
      </w:r>
      <w:r>
        <w:rPr>
          <w:i/>
          <w:iCs/>
        </w:rPr>
        <w:t xml:space="preserve">Estudos em Avaliação Educacional</w:t>
      </w:r>
      <w:r>
        <w:t xml:space="preserve">, São Paulo, v. 35, e10549, 2024. https://doi.org/10.18222/eae.v35.10549</w:t>
      </w:r>
    </w:p>
    <w:p>
      <w:pPr>
        <w:pStyle w:val="BodyText"/>
      </w:pPr>
      <w:r>
        <w:t xml:space="preserve">SOARES, J. F.; XAVIER, F. P. Pressupostos educacionais e estatísticos do Ideb.</w:t>
      </w:r>
      <w:r>
        <w:t xml:space="preserve"> </w:t>
      </w:r>
      <w:r>
        <w:rPr>
          <w:i/>
          <w:iCs/>
        </w:rPr>
        <w:t xml:space="preserve">Educação &amp; Sociedade</w:t>
      </w:r>
      <w:r>
        <w:t xml:space="preserve">, Campinas, v. 34, n. 124, p. 903–923, 2013. https://doi.org/10.1590/S0101-73302013000300013</w:t>
      </w:r>
    </w:p>
    <w:bookmarkEnd w:id="32"/>
    <w:bookmarkStart w:id="33" w:name="Xb81c9ee436544be0586c5f0ff6fd02321a9d8f1"/>
    <w:p>
      <w:pPr>
        <w:pStyle w:val="Heading2"/>
      </w:pPr>
      <w:r>
        <w:t xml:space="preserve">Apêndice A — Proveniência e reprodutibilidade</w:t>
      </w:r>
    </w:p>
    <w:p>
      <w:pPr>
        <w:pStyle w:val="Compact"/>
        <w:numPr>
          <w:ilvl w:val="0"/>
          <w:numId w:val="1005"/>
        </w:numPr>
      </w:pPr>
      <w:r>
        <w:t xml:space="preserve">Scripts:</w:t>
      </w:r>
      <w:r>
        <w:t xml:space="preserve"> </w:t>
      </w:r>
      <w:r>
        <w:rPr>
          <w:rStyle w:val="VerbatimChar"/>
        </w:rPr>
        <w:t xml:space="preserve">scripts/baixar_dados.py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scripts/analise_crateus_r428.py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scripts/mapa_crateus.py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scripts/graficos_crateus.py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Manifesto de fontes (URL, timestamp, SHA-256):</w:t>
      </w:r>
      <w:r>
        <w:t xml:space="preserve"> </w:t>
      </w:r>
      <w:r>
        <w:rPr>
          <w:rStyle w:val="VerbatimChar"/>
        </w:rPr>
        <w:t xml:space="preserve">data/raw/SOURCE_MANIFEST.json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Deflator:</w:t>
      </w:r>
      <w:r>
        <w:t xml:space="preserve"> </w:t>
      </w:r>
      <w:r>
        <w:rPr>
          <w:rStyle w:val="VerbatimChar"/>
        </w:rPr>
        <w:t xml:space="preserve">data/processed/ipca_medias_anuais.json</w:t>
      </w:r>
      <w:r>
        <w:t xml:space="preserve"> </w:t>
      </w:r>
      <w:r>
        <w:t xml:space="preserve">(IPEA Data, série PRECOS12_IPCA12; fonte original IBGE/SNIPC; fator 2021/ano).</w:t>
      </w:r>
    </w:p>
    <w:p>
      <w:pPr>
        <w:pStyle w:val="Compact"/>
        <w:numPr>
          <w:ilvl w:val="0"/>
          <w:numId w:val="1005"/>
        </w:numPr>
      </w:pPr>
      <w:r>
        <w:t xml:space="preserve">Resultados completos:</w:t>
      </w:r>
      <w:r>
        <w:t xml:space="preserve"> </w:t>
      </w:r>
      <w:r>
        <w:rPr>
          <w:rStyle w:val="VerbatimChar"/>
        </w:rPr>
        <w:t xml:space="preserve">outputs/expanded/resultados_r428.json</w:t>
      </w:r>
      <w:r>
        <w:t xml:space="preserve">; proveniência computacional:</w:t>
      </w:r>
      <w:r>
        <w:t xml:space="preserve"> </w:t>
      </w:r>
      <w:r>
        <w:rPr>
          <w:rStyle w:val="VerbatimChar"/>
        </w:rPr>
        <w:t xml:space="preserve">outputs/expanded/provenance_r428.json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Figuras:</w:t>
      </w:r>
      <w:r>
        <w:t xml:space="preserve"> </w:t>
      </w:r>
      <w:r>
        <w:rPr>
          <w:rStyle w:val="VerbatimChar"/>
        </w:rPr>
        <w:t xml:space="preserve">outputs/figuras/</w:t>
      </w:r>
      <w:r>
        <w:t xml:space="preserve"> </w:t>
      </w:r>
      <w:r>
        <w:t xml:space="preserve">(scatter de níveis, séries temporais, LOOCV interno, ganho×renda) e</w:t>
      </w:r>
      <w:r>
        <w:t xml:space="preserve"> </w:t>
      </w:r>
      <w:r>
        <w:rPr>
          <w:rStyle w:val="VerbatimChar"/>
        </w:rPr>
        <w:t xml:space="preserve">outputs/mapas/</w:t>
      </w:r>
      <w:r>
        <w:t xml:space="preserve"> </w:t>
      </w:r>
      <w:r>
        <w:t xml:space="preserve">(renda do responsável, PIB per capita).</w:t>
      </w:r>
    </w:p>
    <w:p>
      <w:pPr>
        <w:pStyle w:val="Compact"/>
        <w:numPr>
          <w:ilvl w:val="0"/>
          <w:numId w:val="1005"/>
        </w:numPr>
      </w:pPr>
      <w:r>
        <w:t xml:space="preserve">Fontes: INEP — IDEB municipal, edição 2025 (https://download.inep.gov.br/ideb/resultados/divulgacao_anos_iniciais_municipios_2025.zip e</w:t>
      </w:r>
      <w:r>
        <w:t xml:space="preserve"> </w:t>
      </w:r>
      <w:r>
        <w:rPr>
          <w:i/>
          <w:iCs/>
        </w:rPr>
        <w:t xml:space="preserve">anos_finais</w:t>
      </w:r>
      <w:r>
        <w:t xml:space="preserve">); IBGE — PIB dos Municípios 2021 (https://ftp.ibge.gov.br/Pib_Municipios/2021/base/base_de_dados_2010_2021_xlsx.zip); IBGE — Censo 2022, rendimento do responsável (https://ftp.ibge.gov.br/Censos/Censo_Demografico_2022/…/Agregados_por_municipios_renda_responsavel_BR_20260508_csv.zip); IBGE — malha 2023 (https://geoftp.ibge.gov.br/…/CE_Municipios_2023.zip).</w:t>
      </w:r>
    </w:p>
    <w:p>
      <w:pPr>
        <w:pStyle w:val="Compact"/>
        <w:numPr>
          <w:ilvl w:val="0"/>
          <w:numId w:val="1005"/>
        </w:numPr>
      </w:pPr>
      <w:r>
        <w:t xml:space="preserve">Declaração de limites: evidência associativa; n municipal de 9; MDES ≈ 6,0 (cluster); não-detecção ≠ equivalência; IPCE substituído por proxies oficiais; G=9 com wild cluster bootstrap (MacKinnon; Webb, 2017).</w:t>
      </w:r>
    </w:p>
    <w:bookmarkEnd w:id="33"/>
    <w:bookmarkEnd w:id="34"/>
    <w:sectPr>
      <w:footnotePr>
        <w:numRestart w:val="eachSect"/>
      </w:footnotePr>
      <w:pgSz w:h="16838" w:w="11906"/>
      <w:pgMar w:bottom="1134" w:left="1701" w:right="1134" w:top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  <w:jc w:val="both"/>
    </w:pPr>
    <w:rPr>
      <w:rFonts w:ascii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  <w:jc w:val="both"/>
    </w:pPr>
    <w:rPr>
      <w:rFonts w:ascii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36" w:before="36" w:line="360" w:lineRule="auto"/>
      <w:jc w:val="both"/>
    </w:pPr>
    <w:rPr>
      <w:rFonts w:ascii="Times New Roman" w:eastAsia="Times New Roman" w:hAnsi="Times New Roman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360" w:lineRule="auto"/>
      <w:contextualSpacing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 w:ascii="Times New Roman" w:hAnsi="Times New Roman"/>
      <w:sz w:val="24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  <w:jc w:val="both"/>
    </w:pPr>
    <w:rPr>
      <w:rFonts w:cstheme="majorBidi" w:eastAsiaTheme="majorEastAsia" w:ascii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 w:ascii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line="360" w:lineRule="auto"/>
      <w:jc w:val="both"/>
    </w:pPr>
    <w:rPr>
      <w:rFonts w:ascii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360" w:lineRule="auto"/>
      <w:jc w:val="both"/>
    </w:pPr>
    <w:rPr>
      <w:rFonts w:ascii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360" w:lineRule="auto"/>
      <w:jc w:val="both"/>
    </w:pPr>
    <w:rPr>
      <w:rFonts w:ascii="Times New Roman" w:hAnsi="Times New Roman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line="360" w:lineRule="auto"/>
      <w:jc w:val="both"/>
    </w:pPr>
    <w:rPr>
      <w:rFonts w:ascii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jc w:val="both"/>
      <w:outlineLvl w:val="2"/>
    </w:pPr>
    <w:rPr>
      <w:rFonts w:ascii="Times New Roman" w:cstheme="majorBidi" w:eastAsia="Times New Roman" w:eastAsiaTheme="majorEastAsia" w:hAnsi="Times New Roman"/>
      <w:b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3"/>
    </w:pPr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360" w:lineRule="auto"/>
      <w:jc w:val="both"/>
      <w:outlineLvl w:val="4"/>
    </w:pPr>
    <w:rPr>
      <w:rFonts w:cstheme="majorBidi" w:eastAsiaTheme="majorEastAsia" w:ascii="Times New Roman" w:hAnsi="Times New Roman"/>
      <w:color w:themeColor="accent1" w:themeShade="BF" w:val="0F4761"/>
      <w:sz w:val="2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5"/>
    </w:pPr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360" w:lineRule="auto"/>
      <w:jc w:val="both"/>
      <w:outlineLvl w:val="6"/>
    </w:pPr>
    <w:rPr>
      <w:rFonts w:cstheme="majorBidi" w:eastAsiaTheme="majorEastAsia" w:ascii="Times New Roman" w:hAnsi="Times New Roman"/>
      <w:color w:themeColor="text1" w:themeTint="A6" w:val="595959"/>
      <w:sz w:val="24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7"/>
    </w:pPr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360" w:lineRule="auto"/>
      <w:jc w:val="both"/>
      <w:outlineLvl w:val="8"/>
    </w:pPr>
    <w:rPr>
      <w:rFonts w:cstheme="majorBidi" w:eastAsiaTheme="majorEastAsia" w:ascii="Times New Roman" w:hAnsi="Times New Roman"/>
      <w:color w:themeColor="text1" w:themeTint="D8" w:val="272727"/>
      <w:sz w:val="24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24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i/>
      <w:iCs/>
      <w:color w:themeColor="accent1" w:themeShade="BF" w:val="0F4761"/>
      <w:sz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color w:themeColor="accent1" w:themeShade="BF" w:val="0F4761"/>
      <w:sz w:val="2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A6" w:val="595959"/>
      <w:sz w:val="24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color w:themeColor="text1" w:themeTint="A6" w:val="595959"/>
      <w:sz w:val="24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i/>
      <w:iCs/>
      <w:color w:themeColor="text1" w:themeTint="D8" w:val="272727"/>
      <w:sz w:val="24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color w:themeColor="text1" w:themeTint="D8" w:val="272727"/>
      <w:sz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360" w:lineRule="auto"/>
      <w:jc w:val="both"/>
    </w:pPr>
    <w:rPr>
      <w:rFonts w:ascii="Times New Roman" w:hAnsi="Times New Roman"/>
      <w:sz w:val="24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360" w:lineRule="auto"/>
      <w:ind w:firstLine="0" w:left="480" w:right="480"/>
      <w:jc w:val="both"/>
    </w:pPr>
    <w:rPr>
      <w:rFonts w:ascii="Times New Roman" w:hAnsi="Times New Roman"/>
      <w:sz w:val="24"/>
    </w:rPr>
  </w:style>
  <w:style w:default="1" w:styleId="DefaultParagraphFont" w:type="character">
    <w:name w:val="Default Paragraph Font"/>
    <w:semiHidden/>
    <w:unhideWhenUsed/>
    <w:rPr>
      <w:rFonts w:ascii="Times New Roman" w:hAnsi="Times New Roman"/>
      <w:sz w:val="24"/>
    </w:rPr>
  </w:style>
  <w:style w:default="1" w:styleId="Table" w:type="table">
    <w:name w:val="Table"/>
    <w:basedOn w:val="TableNormal"/>
    <w:semiHidden/>
    <w:unhideWhenUsed/>
    <w:qFormat/>
    <w:pPr>
      <w:spacing w:line="360" w:lineRule="auto"/>
      <w:jc w:val="both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360" w:lineRule="auto"/>
      <w:jc w:val="both"/>
    </w:pPr>
    <w:rPr>
      <w:rFonts w:ascii="Times New Roman" w:hAnsi="Times New Roman"/>
      <w:b/>
      <w:sz w:val="24"/>
    </w:rPr>
  </w:style>
  <w:style w:customStyle="1" w:styleId="Definition" w:type="paragraph">
    <w:name w:val="Definition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styleId="Caption" w:type="paragraph">
    <w:name w:val="Caption"/>
    <w:basedOn w:val="Normal"/>
    <w:link w:val="BodyTextChar"/>
    <w:pPr>
      <w:spacing w:after="120" w:before="0" w:line="360" w:lineRule="auto"/>
      <w:jc w:val="both"/>
    </w:pPr>
    <w:rPr>
      <w:rFonts w:ascii="Times New Roman" w:hAnsi="Times New Roman"/>
      <w:i/>
      <w:sz w:val="24"/>
    </w:rPr>
  </w:style>
  <w:style w:customStyle="1" w:styleId="TableCaption" w:type="paragraph">
    <w:name w:val="Table Caption"/>
    <w:basedOn w:val="Caption"/>
    <w:pPr>
      <w:keepNext/>
      <w:spacing w:line="360" w:lineRule="auto"/>
      <w:jc w:val="both"/>
    </w:pPr>
    <w:rPr>
      <w:rFonts w:ascii="Times New Roman" w:eastAsia="Times New Roman" w:hAnsi="Times New Roman"/>
      <w:sz w:val="20"/>
    </w:rPr>
  </w:style>
  <w:style w:customStyle="1" w:styleId="ImageCaption" w:type="paragraph">
    <w:name w:val="Image Caption"/>
    <w:basedOn w:val="Caption"/>
    <w:pPr>
      <w:spacing w:line="360" w:lineRule="auto"/>
      <w:jc w:val="both"/>
    </w:pPr>
    <w:rPr>
      <w:rFonts w:ascii="Times New Roman" w:hAnsi="Times New Roman"/>
      <w:sz w:val="24"/>
    </w:rPr>
  </w:style>
  <w:style w:customStyle="1" w:styleId="Figure" w:type="paragraph">
    <w:name w:val="Figure"/>
    <w:basedOn w:val="Normal"/>
    <w:pPr>
      <w:spacing w:line="360" w:lineRule="auto"/>
      <w:jc w:val="both"/>
    </w:pPr>
    <w:rPr>
      <w:rFonts w:ascii="Times New Roman" w:hAnsi="Times New Roman"/>
      <w:sz w:val="24"/>
    </w:rPr>
  </w:style>
  <w:style w:customStyle="1" w:styleId="CaptionedFigure" w:type="paragraph">
    <w:name w:val="Captioned Figure"/>
    <w:basedOn w:val="Figure"/>
    <w:pPr>
      <w:keepNext/>
      <w:spacing w:line="360" w:lineRule="auto"/>
      <w:jc w:val="both"/>
    </w:pPr>
    <w:rPr>
      <w:rFonts w:ascii="Times New Roman" w:hAnsi="Times New Roman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/>
      <w:sz w:val="24"/>
    </w:rPr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/>
      <w:sz w:val="24"/>
    </w:rPr>
  </w:style>
  <w:style w:styleId="FootnoteReference" w:type="character">
    <w:name w:val="Footnote Reference"/>
    <w:basedOn w:val="BodyTextChar"/>
    <w:rPr>
      <w:rFonts w:ascii="Times New Roman" w:hAnsi="Times New Roman"/>
      <w:sz w:val="24"/>
      <w:vertAlign w:val="superscript"/>
    </w:rPr>
  </w:style>
  <w:style w:styleId="Hyperlink" w:type="character">
    <w:name w:val="Hyperlink"/>
    <w:basedOn w:val="BodyTextChar"/>
    <w:rPr>
      <w:rFonts w:ascii="Times New Roman" w:hAnsi="Times New Roman"/>
      <w:color w:themeColor="accent1" w:val="4F81BD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360" w:lineRule="auto"/>
      <w:jc w:val="both"/>
      <w:outlineLvl w:val="9"/>
    </w:pPr>
    <w:rPr>
      <w:rFonts w:asciiTheme="majorHAnsi" w:cstheme="majorBidi" w:eastAsiaTheme="majorEastAsia" w:hAnsiTheme="majorHAnsi" w:ascii="Times New Roman" w:hAnsi="Times New Roman"/>
      <w:b w:val="0"/>
      <w:bCs w:val="0"/>
      <w:color w:themeColor="accent1" w:themeShade="BF" w:val="365F91"/>
      <w:sz w:val="24"/>
    </w:rPr>
  </w:style>
  <w:style w:type="paragraph" w:customStyle="1" w:styleId="SourceCode">
    <w:name w:val="Source Code"/>
    <w:basedOn w:val="Normal"/>
    <w:link w:val="VerbatimChar"/>
    <w:pPr>
      <w:wordWrap w:val="off"/>
      <w:spacing w:line="360" w:lineRule="auto"/>
      <w:jc w:val="both"/>
    </w:pPr>
    <w:rPr>
      <w:rFonts w:ascii="Times New Roman" w:hAnsi="Times New Roman"/>
      <w:sz w:val="24"/>
    </w:rPr>
  </w:style>
  <w:style w:type="character" w:customStyle="1" w:styleId="KeywordTok">
    <w:name w:val="Keyword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DataTypeTok">
    <w:name w:val="DataTypeTok"/>
    <w:basedOn w:val="VerbatimChar"/>
    <w:rPr>
      <w:rFonts w:ascii="Times New Roman" w:hAnsi="Times New Roman"/>
      <w:color w:val="902000"/>
      <w:sz w:val="24"/>
    </w:rPr>
  </w:style>
  <w:style w:type="character" w:customStyle="1" w:styleId="DecValTok">
    <w:name w:val="DecValTok"/>
    <w:basedOn w:val="VerbatimChar"/>
    <w:rPr>
      <w:rFonts w:ascii="Times New Roman" w:hAnsi="Times New Roman"/>
      <w:color w:val="40a070"/>
      <w:sz w:val="24"/>
    </w:rPr>
  </w:style>
  <w:style w:type="character" w:customStyle="1" w:styleId="BaseNTok">
    <w:name w:val="BaseNTok"/>
    <w:basedOn w:val="VerbatimChar"/>
    <w:rPr>
      <w:rFonts w:ascii="Times New Roman" w:hAnsi="Times New Roman"/>
      <w:color w:val="40a070"/>
      <w:sz w:val="24"/>
    </w:rPr>
  </w:style>
  <w:style w:type="character" w:customStyle="1" w:styleId="FloatTok">
    <w:name w:val="FloatTok"/>
    <w:basedOn w:val="VerbatimChar"/>
    <w:rPr>
      <w:rFonts w:ascii="Times New Roman" w:hAnsi="Times New Roman"/>
      <w:color w:val="40a070"/>
      <w:sz w:val="24"/>
    </w:rPr>
  </w:style>
  <w:style w:type="character" w:customStyle="1" w:styleId="ConstantTok">
    <w:name w:val="ConstantTok"/>
    <w:basedOn w:val="VerbatimChar"/>
    <w:rPr>
      <w:rFonts w:ascii="Times New Roman" w:hAnsi="Times New Roman"/>
      <w:color w:val="880000"/>
      <w:sz w:val="24"/>
    </w:rPr>
  </w:style>
  <w:style w:type="character" w:customStyle="1" w:styleId="CharTok">
    <w:name w:val="CharTok"/>
    <w:basedOn w:val="VerbatimChar"/>
    <w:rPr>
      <w:rFonts w:ascii="Times New Roman" w:hAnsi="Times New Roman"/>
      <w:color w:val="4070a0"/>
      <w:sz w:val="24"/>
    </w:rPr>
  </w:style>
  <w:style w:type="character" w:customStyle="1" w:styleId="SpecialCharTok">
    <w:name w:val="SpecialCharTok"/>
    <w:basedOn w:val="VerbatimChar"/>
    <w:rPr>
      <w:rFonts w:ascii="Times New Roman" w:hAnsi="Times New Roman"/>
      <w:color w:val="4070a0"/>
      <w:sz w:val="24"/>
    </w:rPr>
  </w:style>
  <w:style w:type="character" w:customStyle="1" w:styleId="StringTok">
    <w:name w:val="StringTok"/>
    <w:basedOn w:val="VerbatimChar"/>
    <w:rPr>
      <w:rFonts w:ascii="Times New Roman" w:hAnsi="Times New Roman"/>
      <w:color w:val="4070a0"/>
      <w:sz w:val="24"/>
    </w:rPr>
  </w:style>
  <w:style w:type="character" w:customStyle="1" w:styleId="VerbatimStringTok">
    <w:name w:val="VerbatimStringTok"/>
    <w:basedOn w:val="VerbatimChar"/>
    <w:rPr>
      <w:rFonts w:ascii="Times New Roman" w:hAnsi="Times New Roman"/>
      <w:color w:val="4070a0"/>
      <w:sz w:val="24"/>
    </w:rPr>
  </w:style>
  <w:style w:type="character" w:customStyle="1" w:styleId="SpecialStringTok">
    <w:name w:val="SpecialStringTok"/>
    <w:basedOn w:val="VerbatimChar"/>
    <w:rPr>
      <w:rFonts w:ascii="Times New Roman" w:hAnsi="Times New Roman"/>
      <w:color w:val="bb6688"/>
      <w:sz w:val="24"/>
    </w:rPr>
  </w:style>
  <w:style w:type="character" w:customStyle="1" w:styleId="ImportTok">
    <w:name w:val="ImportTok"/>
    <w:basedOn w:val="VerbatimChar"/>
    <w:rPr>
      <w:rFonts w:ascii="Times New Roman" w:hAnsi="Times New Roman"/>
      <w:b/>
      <w:color w:val="008000"/>
      <w:sz w:val="24"/>
    </w:rPr>
  </w:style>
  <w:style w:type="character" w:customStyle="1" w:styleId="CommentTok">
    <w:name w:val="CommentTok"/>
    <w:basedOn w:val="VerbatimChar"/>
    <w:rPr>
      <w:rFonts w:ascii="Times New Roman" w:hAnsi="Times New Roman"/>
      <w:i/>
      <w:color w:val="60a0b0"/>
      <w:sz w:val="24"/>
    </w:rPr>
  </w:style>
  <w:style w:type="character" w:customStyle="1" w:styleId="DocumentationTok">
    <w:name w:val="DocumentationTok"/>
    <w:basedOn w:val="VerbatimChar"/>
    <w:rPr>
      <w:rFonts w:ascii="Times New Roman" w:hAnsi="Times New Roman"/>
      <w:i/>
      <w:color w:val="ba2121"/>
      <w:sz w:val="24"/>
    </w:rPr>
  </w:style>
  <w:style w:type="character" w:customStyle="1" w:styleId="AnnotationTok">
    <w:name w:val="Annot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CommentVarTok">
    <w:name w:val="CommentVar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OtherTok">
    <w:name w:val="OtherTok"/>
    <w:basedOn w:val="VerbatimChar"/>
    <w:rPr>
      <w:rFonts w:ascii="Times New Roman" w:hAnsi="Times New Roman"/>
      <w:color w:val="007020"/>
      <w:sz w:val="24"/>
    </w:rPr>
  </w:style>
  <w:style w:type="character" w:customStyle="1" w:styleId="FunctionTok">
    <w:name w:val="FunctionTok"/>
    <w:basedOn w:val="VerbatimChar"/>
    <w:rPr>
      <w:rFonts w:ascii="Times New Roman" w:hAnsi="Times New Roman"/>
      <w:color w:val="06287e"/>
      <w:sz w:val="24"/>
    </w:rPr>
  </w:style>
  <w:style w:type="character" w:customStyle="1" w:styleId="VariableTok">
    <w:name w:val="VariableTok"/>
    <w:basedOn w:val="VerbatimChar"/>
    <w:rPr>
      <w:rFonts w:ascii="Times New Roman" w:hAnsi="Times New Roman"/>
      <w:color w:val="19177c"/>
      <w:sz w:val="24"/>
    </w:rPr>
  </w:style>
  <w:style w:type="character" w:customStyle="1" w:styleId="ControlFlowTok">
    <w:name w:val="ControlFlowTok"/>
    <w:basedOn w:val="VerbatimChar"/>
    <w:rPr>
      <w:rFonts w:ascii="Times New Roman" w:hAnsi="Times New Roman"/>
      <w:b/>
      <w:color w:val="007020"/>
      <w:sz w:val="24"/>
    </w:rPr>
  </w:style>
  <w:style w:type="character" w:customStyle="1" w:styleId="OperatorTok">
    <w:name w:val="OperatorTok"/>
    <w:basedOn w:val="VerbatimChar"/>
    <w:rPr>
      <w:rFonts w:ascii="Times New Roman" w:hAnsi="Times New Roman"/>
      <w:color w:val="666666"/>
      <w:sz w:val="24"/>
    </w:rPr>
  </w:style>
  <w:style w:type="character" w:customStyle="1" w:styleId="BuiltInTok">
    <w:name w:val="BuiltInTok"/>
    <w:basedOn w:val="VerbatimChar"/>
    <w:rPr>
      <w:rFonts w:ascii="Times New Roman" w:hAnsi="Times New Roman"/>
      <w:color w:val="008000"/>
      <w:sz w:val="24"/>
    </w:rPr>
  </w:style>
  <w:style w:type="character" w:customStyle="1" w:styleId="ExtensionTok">
    <w:name w:val="ExtensionTok"/>
    <w:basedOn w:val="VerbatimChar"/>
    <w:rPr>
      <w:rFonts w:ascii="Times New Roman" w:hAnsi="Times New Roman"/>
      <w:sz w:val="24"/>
    </w:rPr>
  </w:style>
  <w:style w:type="character" w:customStyle="1" w:styleId="PreprocessorTok">
    <w:name w:val="PreprocessorTok"/>
    <w:basedOn w:val="VerbatimChar"/>
    <w:rPr>
      <w:rFonts w:ascii="Times New Roman" w:hAnsi="Times New Roman"/>
      <w:color w:val="bc7a00"/>
      <w:sz w:val="24"/>
    </w:rPr>
  </w:style>
  <w:style w:type="character" w:customStyle="1" w:styleId="AttributeTok">
    <w:name w:val="AttributeTok"/>
    <w:basedOn w:val="VerbatimChar"/>
    <w:rPr>
      <w:rFonts w:ascii="Times New Roman" w:hAnsi="Times New Roman"/>
      <w:color w:val="7d9029"/>
      <w:sz w:val="24"/>
    </w:rPr>
  </w:style>
  <w:style w:type="character" w:customStyle="1" w:styleId="RegionMarkerTok">
    <w:name w:val="RegionMarkerTok"/>
    <w:basedOn w:val="VerbatimChar"/>
    <w:rPr>
      <w:rFonts w:ascii="Times New Roman" w:hAnsi="Times New Roman"/>
      <w:sz w:val="24"/>
    </w:rPr>
  </w:style>
  <w:style w:type="character" w:customStyle="1" w:styleId="InformationTok">
    <w:name w:val="Information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WarningTok">
    <w:name w:val="WarningTok"/>
    <w:basedOn w:val="VerbatimChar"/>
    <w:rPr>
      <w:rFonts w:ascii="Times New Roman" w:hAnsi="Times New Roman"/>
      <w:b/>
      <w:i/>
      <w:color w:val="60a0b0"/>
      <w:sz w:val="24"/>
    </w:rPr>
  </w:style>
  <w:style w:type="character" w:customStyle="1" w:styleId="AlertTok">
    <w:name w:val="Alert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ErrorTok">
    <w:name w:val="ErrorTok"/>
    <w:basedOn w:val="VerbatimChar"/>
    <w:rPr>
      <w:rFonts w:ascii="Times New Roman" w:hAnsi="Times New Roman"/>
      <w:b/>
      <w:color w:val="ff0000"/>
      <w:sz w:val="24"/>
    </w:rPr>
  </w:style>
  <w:style w:type="character" w:customStyle="1" w:styleId="NormalTok">
    <w:name w:val="NormalTok"/>
    <w:basedOn w:val="VerbatimChar"/>
    <w:rPr>
      <w:rFonts w:ascii="Times New Roman" w:hAnsi="Times New Roman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2026-08-15T19:50:37Z</dcterms:created>
  <dcterms:modified xsi:type="dcterms:W3CDTF">2026-08-15T19:50:37Z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