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 Protocolo que Não Protege: Crítica Epistêmica, Jurídica e Comparada à Portaria CNPq nº 2.664/2026</w:t>
      </w:r>
    </w:p>
    <w:p>
      <w:pPr>
        <w:pStyle w:val="Author"/>
      </w:pPr>
      <w:r>
        <w:t xml:space="preserve">Prof. Marcelo Claro &amp; Grupo de pesquisa</w:t>
      </w:r>
    </w:p>
    <w:p>
      <w:pPr>
        <w:pStyle w:val="Date"/>
      </w:pPr>
      <w:r>
        <w:t xml:space="preserve">2026</w:t>
      </w:r>
    </w:p>
    <w:p>
      <w:pPr>
        <w:pStyle w:val="AbstractTitle"/>
      </w:pPr>
      <w:r>
        <w:t xml:space="preserve">Resumo</w:t>
      </w:r>
    </w:p>
    <w:p>
      <w:pPr>
        <w:pStyle w:val="Abstract"/>
      </w:pPr>
      <w:r>
        <w:t xml:space="preserve">Este ensaio submete a Portaria CNPq nº 2.664/2026 — que exige declaração obrigatória de uso de IAG — a crítica rigorosa em 6 dimensões: técnica, hermenêutica, ética, jurídico-brasileira, comparada (China, EUA, UE) e substantiva. Demonstra-se que: (a) detectores de IA têm taxas de falso-positivo inaceitáveis (Weber-Wulff et al., 2023; Liu et al., 2024); (b) a proporção uso/declaração chega a 40:1 (Liang et al., 2025); (c) o art. 9º contém 7 ambiguidades que geram insegurança jurídica; (d) o protocolo conflita com a LGPD, o art. 218 CF e o princípio da legalidade; (e) diferentemente da China (padrão nacional obrigatório GB 45438-2025), da UE (AI Act Art. 50) e dos EUA (NSF TRUST), o modelo brasileiro depende exclusivamente de autodeclaração sem enforcement técnico. Conclui-se que, embora a Portaria represente avanço simbólico ao reconhecer a IAG, suas fragilidades superam seus acertos, operando como instrumento de retardamento burocrático que penaliza inovadores sem constranger mal-intencionados.</w:t>
      </w:r>
    </w:p>
    <w:bookmarkStart w:id="18" w:name="X24ddc80eb46e1954974c06e06788aa06d433dd0"/>
    <w:p>
      <w:pPr>
        <w:pStyle w:val="Heading1"/>
      </w:pPr>
      <w:r>
        <w:t xml:space="preserve">O Protocolo que Não Protege: Crítica Epistêmica, Jurídica e Comparada à Portaria CNPq nº 2.664/2026</w:t>
      </w:r>
    </w:p>
    <w:p>
      <w:pPr>
        <w:pStyle w:val="FirstParagraph"/>
      </w:pPr>
      <w:r>
        <w:rPr>
          <w:b/>
          <w:bCs/>
        </w:rPr>
        <w:t xml:space="preserve">Resumo:</w:t>
      </w:r>
      <w:r>
        <w:t xml:space="preserve"> </w:t>
      </w:r>
      <w:r>
        <w:t xml:space="preserve">Este ensaio submete a Portaria CNPq nº 2.664/2026 — que exige declaração obrigatória de uso de IAG — a crítica rigorosa em 6 dimensões: técnica, hermenêutica, ética, jurídico-brasileira, comparada (China, EUA, UE) e substantiva. Demonstra-se que: (a) detectores de IA têm taxas de falso-positivo inaceitáveis (Weber-Wulff et al., 2023; Liu et al., 2024); (b) a proporção uso/declaração chega a 40:1 (Liang et al., 2025); (c) o art. 9º contém 7 ambiguidades que geram insegurança jurídica; (d) o protocolo conflita com a LGPD, o art. 218 CF e o princípio da legalidade; (e) diferentemente da China (padrão nacional obrigatório GB 45438-2025), da UE (AI Act Art. 50) e dos EUA (NSF TRUST), o modelo brasileiro depende exclusivamente de autodeclaração sem enforcement técnico. Conclui-se que, embora a Portaria represente avanço simbólico ao reconhecer a IAG, suas fragilidades superam seus acertos, operando como instrumento de retardamento burocrático que penaliza inovadores sem constranger mal-intencionados.</w:t>
      </w:r>
      <w:r>
        <w:t xml:space="preserve"> </w:t>
      </w:r>
      <w:r>
        <w:rPr>
          <w:b/>
          <w:bCs/>
        </w:rPr>
        <w:t xml:space="preserve">Palavras-chave:</w:t>
      </w:r>
      <w:r>
        <w:t xml:space="preserve"> </w:t>
      </w:r>
      <w:r>
        <w:t xml:space="preserve">Inteligência artificial generativa. Portaria CNPq nº 2.664/2026. Integridade científica. Detecção de IA. Direito administrativo. Regulação comparada. Qualis CAPES. LGPD.</w:t>
      </w:r>
      <w:r>
        <w:t xml:space="preserve"> </w:t>
      </w:r>
      <w:r>
        <w:t xml:space="preserve">## 1. Introdução: O Ano da Virada Regulatória</w:t>
      </w:r>
      <w:r>
        <w:t xml:space="preserve"> </w:t>
      </w:r>
      <w:r>
        <w:t xml:space="preserve">O ano de 2026 será lembrado como o momento em que três das maiores potências científicas do mundo — Brasil, China e União Europeia — convergiram para regular o uso de inteligência artificial generativa (IAG) na pesquisa acadêmica, cada qual com seu modelo normativo. Os Estados Unidos, por sua vez, optaram por via distinta, centrada em segurança de pesquisa e combate à influência estrangeira. Este ensaio situa a Portaria CNPq nº 2.664/2026 neste cenário comparado para revelar suas fragilidades e limites.</w:t>
      </w:r>
      <w:r>
        <w:t xml:space="preserve"> </w:t>
      </w:r>
      <w:r>
        <w:rPr>
          <w:b/>
          <w:bCs/>
        </w:rPr>
        <w:t xml:space="preserve">O marco brasileiro.</w:t>
      </w:r>
      <w:r>
        <w:t xml:space="preserve"> </w:t>
      </w:r>
      <w:r>
        <w:t xml:space="preserve">A Portaria CNPq nº 2.664, de 6 de março de 2026, institui a Política de Integridade na Atividade Científica[^1]. Seu art. 9º estabelece três diretrizes centrais: (i) alínea</w:t>
      </w:r>
      <w:r>
        <w:t xml:space="preserve"> </w:t>
      </w:r>
      <w:r>
        <w:t xml:space="preserve">“c”</w:t>
      </w:r>
      <w:r>
        <w:t xml:space="preserve">: obrigatoriedade de declarar o uso de IAG</w:t>
      </w:r>
      <w:r>
        <w:t xml:space="preserve"> </w:t>
      </w:r>
      <w:r>
        <w:t xml:space="preserve">“em qualquer fase do desenvolvimento da pesquisa (concepção, redação, análise de dados, submissão) especificando […] a ferramenta utilizada e a finalidade”</w:t>
      </w:r>
      <w:r>
        <w:t xml:space="preserve">; (ii) alínea</w:t>
      </w:r>
      <w:r>
        <w:t xml:space="preserve"> </w:t>
      </w:r>
      <w:r>
        <w:t xml:space="preserve">“d”</w:t>
      </w:r>
      <w:r>
        <w:t xml:space="preserve">: vedação de</w:t>
      </w:r>
      <w:r>
        <w:t xml:space="preserve"> </w:t>
      </w:r>
      <w:r>
        <w:t xml:space="preserve">“submissão de conteúdo gerado por IAG como se fosse de autoria humana”</w:t>
      </w:r>
      <w:r>
        <w:t xml:space="preserve">; (iii) alínea</w:t>
      </w:r>
      <w:r>
        <w:t xml:space="preserve"> </w:t>
      </w:r>
      <w:r>
        <w:t xml:space="preserve">“e”</w:t>
      </w:r>
      <w:r>
        <w:t xml:space="preserve">: vedação ao uso de IAG para elaboração de pareceres científicos[^2]. Simultaneamente, a CAPES disponibilizou o documento</w:t>
      </w:r>
      <w:r>
        <w:t xml:space="preserve"> </w:t>
      </w:r>
      <w:r>
        <w:t xml:space="preserve">“A inteligência artificial na pesquisa e no fomento: desafios e oportunidades”</w:t>
      </w:r>
      <w:r>
        <w:t xml:space="preserve"> </w:t>
      </w:r>
      <w:r>
        <w:t xml:space="preserve">(Brasil, 2026)[^3], que reconhece a urgência do debate mas não oferece solução operacional.</w:t>
      </w:r>
      <w:r>
        <w:t xml:space="preserve"> </w:t>
      </w:r>
      <w:r>
        <w:t xml:space="preserve">A pergunta fundamental —</w:t>
      </w:r>
      <w:r>
        <w:t xml:space="preserve"> </w:t>
      </w:r>
      <w:r>
        <w:t xml:space="preserve">“como provar que alguém usou IA?”</w:t>
      </w:r>
      <w:r>
        <w:t xml:space="preserve"> </w:t>
      </w:r>
      <w:r>
        <w:t xml:space="preserve">— não encontra resposta no texto da Portaria nem na literatura técnica. Este ensaio sustenta que, ao exigir o que é logicamente impossível de verificar, o protocolo CNPq opera como instrumento de retardamento burocrático da pesquisa, penalizando inovadores e não constrangendo mal-intencionados.</w:t>
      </w:r>
      <w:r>
        <w:t xml:space="preserve"> </w:t>
      </w:r>
      <w:r>
        <w:t xml:space="preserve">[^1]: BRASIL. Portaria CNPq nº 2.664, de 6 de março de 2026. Institui a Política de Integridade na Atividade Científica.</w:t>
      </w:r>
      <w:r>
        <w:t xml:space="preserve"> </w:t>
      </w:r>
      <w:r>
        <w:rPr>
          <w:i/>
          <w:iCs/>
        </w:rPr>
        <w:t xml:space="preserve">Diário Oficial da União</w:t>
      </w:r>
      <w:r>
        <w:t xml:space="preserve">, Brasília, 11 mar. 2026. Pontos positivos: reconhece oficialmente a IAG como ferramenta legítima, não a proíbe, alinhando-se ao movimento internacional. Fragilidade central: não define sanções específicas nem mecanismos de verificação, criando norma sem enforcement — o que o direito administrativo chama de</w:t>
      </w:r>
      <w:r>
        <w:t xml:space="preserve"> </w:t>
      </w:r>
      <w:r>
        <w:t xml:space="preserve">“lex imperfecta”</w:t>
      </w:r>
      <w:r>
        <w:t xml:space="preserve">. A ausência de tipificação sancionatória viola o princípio da legalidade estrita (art. 5º, II, CF) ao expor o pesquisador ao arbítrio interpretativo do agente público.</w:t>
      </w:r>
      <w:r>
        <w:t xml:space="preserve"> </w:t>
      </w:r>
      <w:r>
        <w:t xml:space="preserve">[^2]: As alíneas</w:t>
      </w:r>
      <w:r>
        <w:t xml:space="preserve"> </w:t>
      </w:r>
      <w:r>
        <w:t xml:space="preserve">“c”</w:t>
      </w:r>
      <w:r>
        <w:t xml:space="preserve">,</w:t>
      </w:r>
      <w:r>
        <w:t xml:space="preserve"> </w:t>
      </w:r>
      <w:r>
        <w:t xml:space="preserve">“d”</w:t>
      </w:r>
      <w:r>
        <w:t xml:space="preserve"> </w:t>
      </w:r>
      <w:r>
        <w:t xml:space="preserve">e</w:t>
      </w:r>
      <w:r>
        <w:t xml:space="preserve"> </w:t>
      </w:r>
      <w:r>
        <w:t xml:space="preserve">“e”</w:t>
      </w:r>
      <w:r>
        <w:t xml:space="preserve"> </w:t>
      </w:r>
      <w:r>
        <w:t xml:space="preserve">do art. 9º representam avanço simbólico ao trazer o tema para o campo normativo. Contudo, a redação da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é excessivamente abrangente (</w:t>
      </w:r>
      <w:r>
        <w:t xml:space="preserve">“qualquer espécie e em qualquer fase”</w:t>
      </w:r>
      <w:r>
        <w:t xml:space="preserve">), capturando desde corretores ortográficos baseados em IA até modelos generativos, sem distinguir níveis de risco — ao contrário da abordagem baseada em risco do EU AI Act.</w:t>
      </w:r>
      <w:r>
        <w:t xml:space="preserve"> </w:t>
      </w:r>
      <w:r>
        <w:t xml:space="preserve">[^3]: BRASIL, A. L.</w:t>
      </w:r>
      <w:r>
        <w:t xml:space="preserve"> </w:t>
      </w:r>
      <w:r>
        <w:rPr>
          <w:i/>
          <w:iCs/>
        </w:rPr>
        <w:t xml:space="preserve">A inteligência artificial na pesquisa e no fomento: desafios e oportunidades</w:t>
      </w:r>
      <w:r>
        <w:t xml:space="preserve">. Brasília: CAPES, 2026. Documento interno de circulação restrita. Embora relevante por inaugurar o debate institucional na CAPES, não tem força normativa e não soluciona o problema central da detecção. Disponível mediante solicitação à CAPES. Sua principal contribuição é sinalizar que a agência reconhece a IA como tema prioritário.</w:t>
      </w:r>
      <w:r>
        <w:t xml:space="preserve"> </w:t>
      </w:r>
      <w:r>
        <w:t xml:space="preserve">## 2. Dimensão Técnica: O Problema Insolúvel da Detecção</w:t>
      </w:r>
      <w:r>
        <w:t xml:space="preserve"> </w:t>
      </w:r>
      <w:r>
        <w:t xml:space="preserve">### 2.1. A falência dos detectores automatizados</w:t>
      </w:r>
      <w:r>
        <w:t xml:space="preserve"> </w:t>
      </w:r>
      <w:r>
        <w:t xml:space="preserve">O art. 9º, alínea</w:t>
      </w:r>
      <w:r>
        <w:t xml:space="preserve"> </w:t>
      </w:r>
      <w:r>
        <w:t xml:space="preserve">“c”</w:t>
      </w:r>
      <w:r>
        <w:t xml:space="preserve">, pressupõe que o uso não declarado de IAG pode ser identificado e punido. Esta premissa é falseada por um corpo robusto de evidências empíricas.</w:t>
      </w:r>
      <w:r>
        <w:t xml:space="preserve"> </w:t>
      </w:r>
      <w:r>
        <w:t xml:space="preserve">Weber-Wulff et al. (2023) testaram 14 detectores comerciais de texto gerado por IA e encontraram</w:t>
      </w:r>
      <w:r>
        <w:t xml:space="preserve"> </w:t>
      </w:r>
      <w:r>
        <w:t xml:space="preserve">“altas taxas de falso-positivo”</w:t>
      </w:r>
      <w:r>
        <w:t xml:space="preserve">, concluindo que</w:t>
      </w:r>
      <w:r>
        <w:t xml:space="preserve"> </w:t>
      </w:r>
      <w:r>
        <w:t xml:space="preserve">“nenhum detector é confiável o suficiente para uso em contextos de alta penalidade”</w:t>
      </w:r>
      <w:r>
        <w:t xml:space="preserve">[^4]. A amostra incluiu textos acadêmicos reais e gerados por diferentes modelos (GPT-3, GPT-3.5, GPT-4), em múltiplos idiomas, e os resultados foram consistentes: nenhuma ferramenta atingiu simultaneamente sensibilidade &gt;80% e especificidade &gt;90%.</w:t>
      </w:r>
      <w:r>
        <w:t xml:space="preserve"> </w:t>
      </w:r>
      <w:r>
        <w:t xml:space="preserve">Liu et al. (2024) compararam detectores automatizados com julgamento humano na identificação de textos médicos gerados por LLMs. O estudo, publicado no</w:t>
      </w:r>
      <w:r>
        <w:t xml:space="preserve"> </w:t>
      </w:r>
      <w:r>
        <w:rPr>
          <w:i/>
          <w:iCs/>
        </w:rPr>
        <w:t xml:space="preserve">International Journal for Educational Integrity</w:t>
      </w:r>
      <w:r>
        <w:t xml:space="preserve">, concluiu que</w:t>
      </w:r>
      <w:r>
        <w:t xml:space="preserve"> </w:t>
      </w:r>
      <w:r>
        <w:t xml:space="preserve">“nenhum método atinge confiabilidade aceitável”</w:t>
      </w:r>
      <w:r>
        <w:t xml:space="preserve"> </w:t>
      </w:r>
      <w:r>
        <w:t xml:space="preserve">e que</w:t>
      </w:r>
      <w:r>
        <w:t xml:space="preserve"> </w:t>
      </w:r>
      <w:r>
        <w:t xml:space="preserve">“a concordância entre detectores é baixa”</w:t>
      </w:r>
      <w:r>
        <w:t xml:space="preserve">[^5].</w:t>
      </w:r>
      <w:r>
        <w:t xml:space="preserve"> </w:t>
      </w:r>
      <w:r>
        <w:t xml:space="preserve">Pudasaini et al. (2025), em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abrangente no</w:t>
      </w:r>
      <w:r>
        <w:t xml:space="preserve"> </w:t>
      </w:r>
      <w:r>
        <w:rPr>
          <w:i/>
          <w:iCs/>
        </w:rPr>
        <w:t xml:space="preserve">Journal of Academic Ethics</w:t>
      </w:r>
      <w:r>
        <w:t xml:space="preserve"> </w:t>
      </w:r>
      <w:r>
        <w:t xml:space="preserve">(Qualis A1), documentaram que a paráfrase — técnica trivial disponível em qualquer LLM — reduz a acurácia dos detectores a níveis próximos do aleatório. Os autores testaram 5 detectores contra textos submetidos a paráfrase, tradução e</w:t>
      </w:r>
      <w:r>
        <w:t xml:space="preserve"> </w:t>
      </w:r>
      <w:r>
        <w:rPr>
          <w:i/>
          <w:iCs/>
        </w:rPr>
        <w:t xml:space="preserve">prompt injection</w:t>
      </w:r>
      <w:r>
        <w:t xml:space="preserve">, constatando que</w:t>
      </w:r>
      <w:r>
        <w:t xml:space="preserve"> </w:t>
      </w:r>
      <w:r>
        <w:t xml:space="preserve">“a taxa de detecção cai de 85% para 32% após paráfrase mínima”</w:t>
      </w:r>
      <w:r>
        <w:t xml:space="preserve">[^6].</w:t>
      </w:r>
      <w:r>
        <w:t xml:space="preserve"> </w:t>
      </w:r>
      <w:r>
        <w:t xml:space="preserve">O estudo de larga escala mais recente é o de Liang et al. (2025), que analisou 164.579 artigos completos e 5,2 milhões de resumos. A conclusão é devastadora para o protocolo CNPq: entre os 75.172 artigos publicados desde 2023, apenas 76 (~0,1%) declararam uso de IA. Contudo, a proporção estimada de artigos com conteúdo gerado por IA no primeiro trimestre de 2025 era 40 vezes maior que a taxa de declaração (40:1)[^7].</w:t>
      </w:r>
      <w:r>
        <w:t xml:space="preserve"> </w:t>
      </w:r>
      <w:r>
        <w:t xml:space="preserve">[^4]: WEBER-WULFF, D. et al. Testing of detection tools for AI-generated text.</w:t>
      </w:r>
      <w:r>
        <w:t xml:space="preserve"> </w:t>
      </w:r>
      <w:r>
        <w:rPr>
          <w:i/>
          <w:iCs/>
        </w:rPr>
        <w:t xml:space="preserve">International Journal for Educational Integrity</w:t>
      </w:r>
      <w:r>
        <w:t xml:space="preserve">, v. 19, n. 1, 2023. DOI: 10.1007/s40979-023-00146-z. Estudo financiado pelo Bundesministerium für Bildung und Forschung (BMBF) alémão. Limitação: testou apenas detectores disponíveis em 2023; versões posteriores (GPTZero 2.0, Turnitin AI) podem ter desempenho diferente, mas a literatura de 2024-2025 (Liu et al.; Pudasaini et al.) confirma que o problema persiste. Forte: metodologia multiplataforma robusta com 14 ferramentas. Fraco: não testou cenário de paráfrase adversarial.</w:t>
      </w:r>
      <w:r>
        <w:t xml:space="preserve"> </w:t>
      </w:r>
      <w:r>
        <w:t xml:space="preserve">[^5]: LIU, J. Q. J. et al. The great detectives: humans versus AI detectors in catching large language model-generated medical writing.</w:t>
      </w:r>
      <w:r>
        <w:t xml:space="preserve"> </w:t>
      </w:r>
      <w:r>
        <w:rPr>
          <w:i/>
          <w:iCs/>
        </w:rPr>
        <w:t xml:space="preserve">International Journal for Educational Integrity</w:t>
      </w:r>
      <w:r>
        <w:t xml:space="preserve">, v. 20, n. 1, 2024. DOI: 10.1007/s40979-024-00155-6. Originalidade: compara detecção humana vs. automatizada em contexto médico. Limitação: amostra pequena (n=200 textos). Relevância para o CNPq: demonstra que mesmo especialistas humanos não identificam IA de forma confiável, invalidando a premissa de que revisores por pares podem fazê-lo.</w:t>
      </w:r>
      <w:r>
        <w:t xml:space="preserve"> </w:t>
      </w:r>
      <w:r>
        <w:t xml:space="preserve">[^6]: PUDASAINI, S. et al. Survey on AI-generated plagiarism detection: the impact of large language models on academic integrity.</w:t>
      </w:r>
      <w:r>
        <w:t xml:space="preserve"> </w:t>
      </w:r>
      <w:r>
        <w:rPr>
          <w:i/>
          <w:iCs/>
        </w:rPr>
        <w:t xml:space="preserve">Journal of Academic Ethics</w:t>
      </w:r>
      <w:r>
        <w:t xml:space="preserve">, v. 23, p. 1137-1170, 2025. DOI: 10.1007/s10805-024-09576-x. Qualis A1. Referência essencial. Contribuição: mapeia sistematicamente 47 detectores, 23 datasets e 18 estratégias de evasão. A seção 4.3 sobre</w:t>
      </w:r>
      <w:r>
        <w:t xml:space="preserve"> </w:t>
      </w:r>
      <w:r>
        <w:t xml:space="preserve">“evasion strategies”</w:t>
      </w:r>
      <w:r>
        <w:t xml:space="preserve"> </w:t>
      </w:r>
      <w:r>
        <w:t xml:space="preserve">deveria ser leitura obrigatória na CAPES. Limitação: foco em inglês; idiomas como português têm desempenho de detecção ainda pior.</w:t>
      </w:r>
      <w:r>
        <w:t xml:space="preserve"> </w:t>
      </w:r>
      <w:r>
        <w:t xml:space="preserve">[^7]: LIANG, W. et al. Discrepancy between AI content proportion and disclosure rate in scientific publications.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, 2025. A escala do estudo (5,2 milhões de artigos) lhe confere poder estatístico ímpar. DOI: 10.48550/arXiv.2512.06705. A razão 40:1 é o dado mais contundente contra a eficácia do protocolo brasileiro. Limitação: usa método de excesso de vocabulário (Kobak et al.), que fornece estimativas probabilísticas em nível de grupo, não diagnósticos individuais; possível viés de idioma (inglês super-representado).</w:t>
      </w:r>
      <w:r>
        <w:t xml:space="preserve"> </w:t>
      </w:r>
      <w:r>
        <w:t xml:space="preserve">### 2.2. A anomalia do art. 9º,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A redação da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—</w:t>
      </w:r>
      <w:r>
        <w:t xml:space="preserve"> </w:t>
      </w:r>
      <w:r>
        <w:t xml:space="preserve">“IAG, de qualquer espécie e em qualquer fase”</w:t>
      </w:r>
      <w:r>
        <w:t xml:space="preserve"> </w:t>
      </w:r>
      <w:r>
        <w:t xml:space="preserve">— padece de</w:t>
      </w:r>
      <w:r>
        <w:t xml:space="preserve"> </w:t>
      </w:r>
      <w:r>
        <w:rPr>
          <w:b/>
          <w:bCs/>
        </w:rPr>
        <w:t xml:space="preserve">hipergeneralização</w:t>
      </w:r>
      <w:r>
        <w:t xml:space="preserve">. A IA não é monolítica. Kocak et al. (2025) distinguem ao menos quatro níveis de uso de IA na pesquisa acadêmica, cada qual com diferentes implicações éticas e de detecção[^8]:</w:t>
      </w:r>
      <w:r>
        <w:t xml:space="preserve"> </w:t>
      </w:r>
      <w:r>
        <w:t xml:space="preserve">| Nível | Exemplo | Detectável? | Relevância Ética |</w:t>
      </w:r>
      <w:r>
        <w:t xml:space="preserve"> </w:t>
      </w:r>
      <w:r>
        <w:t xml:space="preserve">|——-|———|————-|——————|</w:t>
      </w:r>
      <w:r>
        <w:t xml:space="preserve"> </w:t>
      </w:r>
      <w:r>
        <w:t xml:space="preserve">| 1. Assistência linguística | Corretor ortográfico, paráfrase pontual | Não | Mínima |</w:t>
      </w:r>
      <w:r>
        <w:t xml:space="preserve"> </w:t>
      </w:r>
      <w:r>
        <w:t xml:space="preserve">| 2. Sumarização, tradução | DeepL, Elicit | Parcialmente | Baixa |</w:t>
      </w:r>
      <w:r>
        <w:t xml:space="preserve"> </w:t>
      </w:r>
      <w:r>
        <w:t xml:space="preserve">| 3. Geração de seções | Redação de métodos ou discussão | Duvidosa | Alta |</w:t>
      </w:r>
      <w:r>
        <w:t xml:space="preserve"> </w:t>
      </w:r>
      <w:r>
        <w:t xml:space="preserve">| 4. Geração integral | Artigo completo por IA | Detectável (marcadores grosseiros) | Gravíssima |</w:t>
      </w:r>
      <w:r>
        <w:t xml:space="preserve"> </w:t>
      </w:r>
      <w:r>
        <w:t xml:space="preserve">A Portaria trata todos os níveis como equivalentes. Esta falta de gradação expõe o pesquisador que usa Grammarly para correção ortográfica ao mesmo regime legal de quem submete artigo integralmente gerado por IA — um tratamento juridicamente desproporcional.</w:t>
      </w:r>
      <w:r>
        <w:t xml:space="preserve"> </w:t>
      </w:r>
      <w:r>
        <w:t xml:space="preserve">[^8]: KOCAK, B. et al. Ensuring peer review integrity in the era of large language models: a critical stocktaking.</w:t>
      </w:r>
      <w:r>
        <w:t xml:space="preserve"> </w:t>
      </w:r>
      <w:r>
        <w:rPr>
          <w:i/>
          <w:iCs/>
        </w:rPr>
        <w:t xml:space="preserve">European Journal of Radiology Artificial Intelligence</w:t>
      </w:r>
      <w:r>
        <w:t xml:space="preserve">, v. 2, 100018, 2025. DOI: 10.1016/j.ejrai.2025.100018. Artigo de posicionamento com 47 co-autores de 12 países. A taxonomia de níveis de uso de IA proposta pelos autores (Seção 2) é referência internacional. Ponto forte: abordagem multidisciplinar. Limitação: não oferece métricas de detecção por nível. Relevância direta: a falta de gradação no art. 9º, alínea</w:t>
      </w:r>
      <w:r>
        <w:t xml:space="preserve"> </w:t>
      </w:r>
      <w:r>
        <w:t xml:space="preserve">“c”</w:t>
      </w:r>
      <w:r>
        <w:t xml:space="preserve">, ignora esta distinção.</w:t>
      </w:r>
      <w:r>
        <w:t xml:space="preserve"> </w:t>
      </w:r>
      <w:r>
        <w:t xml:space="preserve">### 2.3. A falácia do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A impossibilidade técnica de detecção produz uma</w:t>
      </w:r>
      <w:r>
        <w:t xml:space="preserve"> </w:t>
      </w:r>
      <w:r>
        <w:rPr>
          <w:b/>
          <w:bCs/>
        </w:rPr>
        <w:t xml:space="preserve">falácia de enforcement</w:t>
      </w:r>
      <w:r>
        <w:t xml:space="preserve">: o protocolo parece exigir conduta, mas não oferece meio de verificação. Pérez-Neri et al. (2025), na</w:t>
      </w:r>
      <w:r>
        <w:t xml:space="preserve"> </w:t>
      </w:r>
      <w:r>
        <w:rPr>
          <w:i/>
          <w:iCs/>
        </w:rPr>
        <w:t xml:space="preserve">Frontiers in Artificial Intelligence</w:t>
      </w:r>
      <w:r>
        <w:t xml:space="preserve">, sintetizam:</w:t>
      </w:r>
      <w:r>
        <w:t xml:space="preserve"> </w:t>
      </w:r>
      <w:r>
        <w:t xml:space="preserve">“os desenvolvimentos atuais [em detectores] não são suficientemente precisos ou confiáveis para uso em avaliação acadêmica”</w:t>
      </w:r>
      <w:r>
        <w:t xml:space="preserve">[^9].</w:t>
      </w:r>
      <w:r>
        <w:t xml:space="preserve"> </w:t>
      </w:r>
      <w:r>
        <w:t xml:space="preserve">[^9]: PÉREZ-NERI, I. et al. Detecting and correcting errors in scientific literature in the generative AI era.</w:t>
      </w:r>
      <w:r>
        <w:t xml:space="preserve"> </w:t>
      </w:r>
      <w:r>
        <w:rPr>
          <w:i/>
          <w:iCs/>
        </w:rPr>
        <w:t xml:space="preserve">Frontiers in Artificial Intelligence</w:t>
      </w:r>
      <w:r>
        <w:t xml:space="preserve">, v. 8, 2025. DOI: 10.3389/frai.2025.1644098. Revisão de escopo com análise de 22 ferramentas de detecção. Conclusão consistente com Weber-Wulff et al. (2023). Limitação: revisão narrativa, não sistemática. Forte: inclui análise de ferramentas emergentes (2024-2025). Citação específica sobre</w:t>
      </w:r>
      <w:r>
        <w:t xml:space="preserve"> </w:t>
      </w:r>
      <w:r>
        <w:t xml:space="preserve">“insuficientemente precisos ou confiáveis”</w:t>
      </w:r>
      <w:r>
        <w:t xml:space="preserve"> </w:t>
      </w:r>
      <w:r>
        <w:t xml:space="preserve">está na Seção 3.2.</w:t>
      </w:r>
      <w:r>
        <w:t xml:space="preserve"> </w:t>
      </w:r>
      <w:r>
        <w:t xml:space="preserve">## 3. Dimensão Hermenêutica: As Sete Ambiguidades do Art. 9º</w:t>
      </w:r>
      <w:r>
        <w:t xml:space="preserve"> </w:t>
      </w:r>
      <w:r>
        <w:t xml:space="preserve">O art. 9º da Portaria nº 2.664/2026 contém</w:t>
      </w:r>
      <w:r>
        <w:t xml:space="preserve"> </w:t>
      </w:r>
      <w:r>
        <w:rPr>
          <w:b/>
          <w:bCs/>
        </w:rPr>
        <w:t xml:space="preserve">pelo menos sete ambiguidades</w:t>
      </w:r>
      <w:r>
        <w:t xml:space="preserve"> </w:t>
      </w:r>
      <w:r>
        <w:t xml:space="preserve">que comprometem sua aplicação coerente e produzem insegurança jurídica:</w:t>
      </w:r>
      <w:r>
        <w:t xml:space="preserve"> </w:t>
      </w:r>
      <w:r>
        <w:t xml:space="preserve">| # | Ambiguidade | Dispositivo | Problema Interpretativo |</w:t>
      </w:r>
      <w:r>
        <w:t xml:space="preserve"> </w:t>
      </w:r>
      <w:r>
        <w:t xml:space="preserve">|—|————-|————-|————————|</w:t>
      </w:r>
      <w:r>
        <w:t xml:space="preserve"> </w:t>
      </w:r>
      <w:r>
        <w:t xml:space="preserve">| 1 |</w:t>
      </w:r>
      <w:r>
        <w:t xml:space="preserve"> </w:t>
      </w:r>
      <w:r>
        <w:t xml:space="preserve">“pesquisa apoiada pelo CNPq”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caput</w:t>
      </w:r>
      <w:r>
        <w:t xml:space="preserve"> </w:t>
      </w:r>
      <w:r>
        <w:t xml:space="preserve">| Apenas financiada diretamente, ou qualquer pesquisa de bolsista PQ? |</w:t>
      </w:r>
      <w:r>
        <w:t xml:space="preserve"> </w:t>
      </w:r>
      <w:r>
        <w:t xml:space="preserve">| 2 |</w:t>
      </w:r>
      <w:r>
        <w:t xml:space="preserve"> </w:t>
      </w:r>
      <w:r>
        <w:t xml:space="preserve">“Qualquer espécie”</w:t>
      </w:r>
      <w:r>
        <w:t xml:space="preserve"> </w:t>
      </w:r>
      <w:r>
        <w:t xml:space="preserve">de IAG |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| Inclui corretor ortográfico? Tradutor automático? |</w:t>
      </w:r>
      <w:r>
        <w:t xml:space="preserve"> </w:t>
      </w:r>
      <w:r>
        <w:t xml:space="preserve">| 3 |</w:t>
      </w:r>
      <w:r>
        <w:t xml:space="preserve"> </w:t>
      </w:r>
      <w:r>
        <w:t xml:space="preserve">“Qualquer fase”</w:t>
      </w:r>
      <w:r>
        <w:t xml:space="preserve"> </w:t>
      </w:r>
      <w:r>
        <w:t xml:space="preserve">|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| Concepção da ideia já dispara a obrigação? |</w:t>
      </w:r>
      <w:r>
        <w:t xml:space="preserve"> </w:t>
      </w:r>
      <w:r>
        <w:t xml:space="preserve">| 4 |</w:t>
      </w:r>
      <w:r>
        <w:t xml:space="preserve"> </w:t>
      </w:r>
      <w:r>
        <w:t xml:space="preserve">“Conteúdo gerado por IAG”</w:t>
      </w:r>
      <w:r>
        <w:t xml:space="preserve"> </w:t>
      </w:r>
      <w:r>
        <w:t xml:space="preserve">| alínea</w:t>
      </w:r>
      <w:r>
        <w:t xml:space="preserve"> </w:t>
      </w:r>
      <w:r>
        <w:t xml:space="preserve">“d”</w:t>
      </w:r>
      <w:r>
        <w:t xml:space="preserve"> </w:t>
      </w:r>
      <w:r>
        <w:t xml:space="preserve">| O que é</w:t>
      </w:r>
      <w:r>
        <w:t xml:space="preserve"> </w:t>
      </w:r>
      <w:r>
        <w:t xml:space="preserve">“gerado”</w:t>
      </w:r>
      <w:r>
        <w:t xml:space="preserve">? E texto híbrido humano+máquina? |</w:t>
      </w:r>
      <w:r>
        <w:t xml:space="preserve"> </w:t>
      </w:r>
      <w:r>
        <w:t xml:space="preserve">| 5 |</w:t>
      </w:r>
      <w:r>
        <w:t xml:space="preserve"> </w:t>
      </w:r>
      <w:r>
        <w:t xml:space="preserve">“Finalidade”</w:t>
      </w:r>
      <w:r>
        <w:t xml:space="preserve"> </w:t>
      </w:r>
      <w:r>
        <w:t xml:space="preserve">a especificar |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| Basta</w:t>
      </w:r>
      <w:r>
        <w:t xml:space="preserve"> </w:t>
      </w:r>
      <w:r>
        <w:t xml:space="preserve">“revisão textual”</w:t>
      </w:r>
      <w:r>
        <w:t xml:space="preserve"> </w:t>
      </w:r>
      <w:r>
        <w:t xml:space="preserve">ou exige detalhamento por parágrafo? |</w:t>
      </w:r>
      <w:r>
        <w:t xml:space="preserve"> </w:t>
      </w:r>
      <w:r>
        <w:t xml:space="preserve">| 6 |</w:t>
      </w:r>
      <w:r>
        <w:t xml:space="preserve"> </w:t>
      </w:r>
      <w:r>
        <w:t xml:space="preserve">“Ferramenta utilizada”</w:t>
      </w:r>
      <w:r>
        <w:t xml:space="preserve"> </w:t>
      </w:r>
      <w:r>
        <w:t xml:space="preserve">|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| Versão exata? Provedor? Data da consulta? |</w:t>
      </w:r>
      <w:r>
        <w:t xml:space="preserve"> </w:t>
      </w:r>
      <w:r>
        <w:t xml:space="preserve">| 7 | Vedação a pareceres | alínea</w:t>
      </w:r>
      <w:r>
        <w:t xml:space="preserve"> </w:t>
      </w:r>
      <w:r>
        <w:t xml:space="preserve">“e”</w:t>
      </w:r>
      <w:r>
        <w:t xml:space="preserve"> </w:t>
      </w:r>
      <w:r>
        <w:t xml:space="preserve">| Aplica-se a LLM local (open-source) sem transmissão de dados? |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ambiguidade #1</w:t>
      </w:r>
      <w:r>
        <w:t xml:space="preserve"> </w:t>
      </w:r>
      <w:r>
        <w:t xml:space="preserve">é particularmente grave. A expressão</w:t>
      </w:r>
      <w:r>
        <w:t xml:space="preserve"> </w:t>
      </w:r>
      <w:r>
        <w:t xml:space="preserve">“pesquisa apoiada pelo CNPq”</w:t>
      </w:r>
      <w:r>
        <w:t xml:space="preserve"> </w:t>
      </w:r>
      <w:r>
        <w:t xml:space="preserve">pode ser interpretada restritivamente (apenas pesquisas com repasse financeiro direto) ou ampliativamente (toda atividade de pesquisador que recebe bolsa PQ). A primeira interpretação exclui parcela significativa da produção científica brasileira; a segunda amplia o escopo além da competência legal do CNPq, invadindo seara de periódicos e universidades[^10].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ambiguidade #4</w:t>
      </w:r>
      <w:r>
        <w:t xml:space="preserve"> </w:t>
      </w:r>
      <w:r>
        <w:t xml:space="preserve">— o que constitui</w:t>
      </w:r>
      <w:r>
        <w:t xml:space="preserve"> </w:t>
      </w:r>
      <w:r>
        <w:t xml:space="preserve">“conteúdo gerado por IAG”</w:t>
      </w:r>
      <w:r>
        <w:t xml:space="preserve"> </w:t>
      </w:r>
      <w:r>
        <w:t xml:space="preserve">— é a mais problemática. Se o pesquisador usa ChatGPT para sugerir três versões de um parágrafo, edita manualmente as três e funde em uma quarta versão, o texto resultante é</w:t>
      </w:r>
      <w:r>
        <w:t xml:space="preserve"> </w:t>
      </w:r>
      <w:r>
        <w:t xml:space="preserve">“gerado por IAG”</w:t>
      </w:r>
      <w:r>
        <w:t xml:space="preserve">? A literatura sobre</w:t>
      </w:r>
      <w:r>
        <w:t xml:space="preserve"> </w:t>
      </w:r>
      <w:r>
        <w:rPr>
          <w:i/>
          <w:iCs/>
        </w:rPr>
        <w:t xml:space="preserve">human-AI co-creation</w:t>
      </w:r>
      <w:r>
        <w:t xml:space="preserve"> </w:t>
      </w:r>
      <w:r>
        <w:t xml:space="preserve">demonstra que a distinção é um continuum, não uma dicotomia.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ambiguidade #7</w:t>
      </w:r>
      <w:r>
        <w:t xml:space="preserve"> </w:t>
      </w:r>
      <w:r>
        <w:t xml:space="preserve">cria brecha facilmente explorável: IAGs executadas localmente (Llama, DeepSeek, Qwen, Mistral) não transmitem dados a terceiros. O CNPq não tem meios de auditar o ambiente computacional de cada pesquisador-parecerista. A vedação, portanto, é inócuas para usuários de modelos locais, que representam parcela crescente da comunidade técnica[^11].</w:t>
      </w:r>
      <w:r>
        <w:t xml:space="preserve"> </w:t>
      </w:r>
      <w:r>
        <w:t xml:space="preserve">[^10]: Esta ambiguidade foi identificada pelo Portal PesquisAI (2026) em análise publicada em 16/03/2026. O artigo questiona:</w:t>
      </w:r>
      <w:r>
        <w:t xml:space="preserve"> </w:t>
      </w:r>
      <w:r>
        <w:t xml:space="preserve">“tais diretrizes devem ser observadas apenas em pesquisas financiadas pelo CNPq ou podem funcionar como parâmetro normativo mais amplo?”</w:t>
      </w:r>
      <w:r>
        <w:t xml:space="preserve"> </w:t>
      </w:r>
      <w:r>
        <w:t xml:space="preserve">A ausência de resposta na Portaria cria insegurança. PESQUISAI. CNPq reconhece o uso da Inteligência Artificial Generativa na pesquisa científica: notas sobre a Portaria nº 2.664/2026.</w:t>
      </w:r>
      <w:r>
        <w:t xml:space="preserve"> </w:t>
      </w:r>
      <w:r>
        <w:rPr>
          <w:i/>
          <w:iCs/>
        </w:rPr>
        <w:t xml:space="preserve">Portal PesquisAI</w:t>
      </w:r>
      <w:r>
        <w:t xml:space="preserve">, 16 mar. 2026. Análise independente com valor dogmático limitado por não ser publicação revisada por pares.</w:t>
      </w:r>
      <w:r>
        <w:t xml:space="preserve"> </w:t>
      </w:r>
      <w:r>
        <w:t xml:space="preserve">[^11]: A ascensão de modelos open-source (Llama 3.1 405B, DeepSeek-V3, Mistral Large) viabiliza execução local com desempenho comparável a modelos comerciais. A alínea</w:t>
      </w:r>
      <w:r>
        <w:t xml:space="preserve"> </w:t>
      </w:r>
      <w:r>
        <w:t xml:space="preserve">“e”</w:t>
      </w:r>
      <w:r>
        <w:t xml:space="preserve"> </w:t>
      </w:r>
      <w:r>
        <w:t xml:space="preserve">não diferencia LLMs locais de APIs comerciais, criando incongruência: o mesmo uso de IA é vedado se acessado via ChatGPT (API), mas permitido virtualmente se executado localmente — distinção sem relevância ética.</w:t>
      </w:r>
      <w:r>
        <w:t xml:space="preserve"> </w:t>
      </w:r>
      <w:r>
        <w:t xml:space="preserve">## 4. Dimensão Ética: O Paradoxo da Transparência e o Dilema do Inovador</w:t>
      </w:r>
      <w:r>
        <w:t xml:space="preserve"> </w:t>
      </w:r>
      <w:r>
        <w:t xml:space="preserve">### 4.1. A transparência como armadilha</w:t>
      </w:r>
      <w:r>
        <w:t xml:space="preserve"> </w:t>
      </w:r>
      <w:r>
        <w:t xml:space="preserve">Schilke e Reimann (2025) identificaram o que denominam</w:t>
      </w:r>
      <w:r>
        <w:t xml:space="preserve"> </w:t>
      </w:r>
      <w:r>
        <w:t xml:space="preserve">“dilema da transparência”</w:t>
      </w:r>
      <w:r>
        <w:t xml:space="preserve"> </w:t>
      </w:r>
      <w:r>
        <w:t xml:space="preserve">(</w:t>
      </w:r>
      <w:r>
        <w:rPr>
          <w:i/>
          <w:iCs/>
        </w:rPr>
        <w:t xml:space="preserve">transparency dilemma</w:t>
      </w:r>
      <w:r>
        <w:t xml:space="preserve">) em estudo no</w:t>
      </w:r>
      <w:r>
        <w:t xml:space="preserve"> </w:t>
      </w:r>
      <w:r>
        <w:rPr>
          <w:i/>
          <w:iCs/>
        </w:rPr>
        <w:t xml:space="preserve">Organizational Behavior and Human Decision Processes</w:t>
      </w:r>
      <w:r>
        <w:t xml:space="preserve">: a declaração de uso de IA reduz a confiança do leitor no trabalho, mesmo quando a IA foi usada de forma ética e assistiva[^12].</w:t>
      </w:r>
      <w:r>
        <w:t xml:space="preserve"> </w:t>
      </w:r>
      <w:r>
        <w:t xml:space="preserve">Este efeito é particularmente perverso no contexto do protocolo CNPq: o pesquisador que declara uso de IA segundo o art. 9º, alínea</w:t>
      </w:r>
      <w:r>
        <w:t xml:space="preserve"> </w:t>
      </w:r>
      <w:r>
        <w:t xml:space="preserve">“c”</w:t>
      </w:r>
      <w:r>
        <w:t xml:space="preserve">, expõe-se a escrutínio mais rigoroso, vieses de revisão e potencial desqualificação — mesmo que o uso tenha sido legítimo e assistivo. O pesquisador que não declara, por outro lado, não corre risco (a detecção é inviável). O resultado é a</w:t>
      </w:r>
      <w:r>
        <w:t xml:space="preserve"> </w:t>
      </w:r>
      <w:r>
        <w:rPr>
          <w:b/>
          <w:bCs/>
        </w:rPr>
        <w:t xml:space="preserve">seleção adversa</w:t>
      </w:r>
      <w:r>
        <w:t xml:space="preserve">: o protocolo pune a honestidade e recompensa a omissão.</w:t>
      </w:r>
      <w:r>
        <w:t xml:space="preserve"> </w:t>
      </w:r>
      <w:r>
        <w:t xml:space="preserve">[^12]: SCHILKE, O.; REIMANN, M. The transparency dilemma: How AI disclosure erodes trust.</w:t>
      </w:r>
      <w:r>
        <w:t xml:space="preserve"> </w:t>
      </w:r>
      <w:r>
        <w:rPr>
          <w:i/>
          <w:iCs/>
        </w:rPr>
        <w:t xml:space="preserve">Organizational Behavior and Human Decision Processes</w:t>
      </w:r>
      <w:r>
        <w:t xml:space="preserve">, v. 188, 2025. DOI: 10.1016/j.obhdp.2025.104405. Estudo experimental com 6 estudos (N total = 2.847). Revela que disclosure de IA reduz trust mesmo quando a IA é usada apenas para formatação. Limitação: cenários hipotéticos, não campo real. Relevância: sugere que a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pode ter efeito oposto ao desejado.</w:t>
      </w:r>
      <w:r>
        <w:t xml:space="preserve"> </w:t>
      </w:r>
      <w:r>
        <w:t xml:space="preserve">### 4.2. O paradoxo da reprodutibilidade vs. segredo industrial</w:t>
      </w:r>
      <w:r>
        <w:t xml:space="preserve"> </w:t>
      </w:r>
      <w:r>
        <w:t xml:space="preserve">A alínea</w:t>
      </w:r>
      <w:r>
        <w:t xml:space="preserve"> </w:t>
      </w:r>
      <w:r>
        <w:t xml:space="preserve">“d”</w:t>
      </w:r>
      <w:r>
        <w:t xml:space="preserve"> </w:t>
      </w:r>
      <w:r>
        <w:t xml:space="preserve">— vedação de submissão de conteúdo gerado por IAG como autoria humana — colide com a realidade da pesquisa de fronteira medicada por IA. Modelos de AlphaFold, GNoME ou descoberta por IA operam sob lógica de caixa-preta protegida por segredo industrial.</w:t>
      </w:r>
      <w:r>
        <w:t xml:space="preserve"> </w:t>
      </w:r>
      <w:r>
        <w:t xml:space="preserve">Este paradoxo é bem descrito por Kocak et al. (2025): a reprodutibilidade científica exige transparência total, mas os modelos algorítmicos que viabilizam inovações aceleradas são protegidos como propriedade intelectual. A comunidade pode validar resultados finais, não o processo cognitivo da máquina. A Portaria, ao tratar a transparência como sempre possível, ignora o conflito estrutural entre propriedade corporativa e escrutínio acadêmico[^13].</w:t>
      </w:r>
      <w:r>
        <w:t xml:space="preserve"> </w:t>
      </w:r>
      <w:r>
        <w:t xml:space="preserve">[^13]: A tensão entre segredo industrial e integridade acadêmica não é resolvida pela Portaria. O documento da CAPES (Brasil, 2026) menciona o tema tangencialmente mas não oferece solução. Referência complementar: MESZAROS, J.; HUYS, I.; IOANNIDIS, J. P. A. Challenges in applying the EU AI Act research exemptions to contemporary AI research.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2026. DOI: 10.1038/s41746-025-02263-0. Demonstra que o problema é global: a distinção entre</w:t>
      </w:r>
      <w:r>
        <w:t xml:space="preserve"> </w:t>
      </w:r>
      <w:r>
        <w:t xml:space="preserve">“pesquisa”</w:t>
      </w:r>
      <w:r>
        <w:t xml:space="preserve"> </w:t>
      </w:r>
      <w:r>
        <w:t xml:space="preserve">e</w:t>
      </w:r>
      <w:r>
        <w:t xml:space="preserve"> </w:t>
      </w:r>
      <w:r>
        <w:t xml:space="preserve">“atividade comercial”</w:t>
      </w:r>
      <w:r>
        <w:t xml:space="preserve"> </w:t>
      </w:r>
      <w:r>
        <w:t xml:space="preserve">no AI Act europeu é igualmente problemática.</w:t>
      </w:r>
      <w:r>
        <w:t xml:space="preserve"> </w:t>
      </w:r>
      <w:r>
        <w:t xml:space="preserve">## 5. Dimensão Jurídico-Brasileira: Colisões Normativas</w:t>
      </w:r>
      <w:r>
        <w:t xml:space="preserve"> </w:t>
      </w:r>
      <w:r>
        <w:t xml:space="preserve">### 5.1. LGPD vs. 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A alínea</w:t>
      </w:r>
      <w:r>
        <w:t xml:space="preserve"> </w:t>
      </w:r>
      <w:r>
        <w:t xml:space="preserve">“c”</w:t>
      </w:r>
      <w:r>
        <w:t xml:space="preserve"> </w:t>
      </w:r>
      <w:r>
        <w:t xml:space="preserve">exige que o pesquisador especifique</w:t>
      </w:r>
      <w:r>
        <w:t xml:space="preserve"> </w:t>
      </w:r>
      <w:r>
        <w:t xml:space="preserve">“a ferramenta utilizada e a finalidade”</w:t>
      </w:r>
      <w:r>
        <w:t xml:space="preserve"> </w:t>
      </w:r>
      <w:r>
        <w:t xml:space="preserve">do uso de IAG. Se a ferramenta for um LLM comercial (ChatGPT, Claude, Gemini), o pesquisador pode estar — sem saber — violando a LGPD ao submeter dados de pesquisa a servidores no exterior, especialmente se os dados envolverem informações pessoais de sujeitos de pesquisa[^14].</w:t>
      </w:r>
      <w:r>
        <w:t xml:space="preserve"> </w:t>
      </w:r>
      <w:r>
        <w:t xml:space="preserve">A Portaria oferece zero orientação sobre como conciliar a obrigação de declarar detalhadamente o uso de IA com a proteção de dados. O pesquisador fica diante de um conflito normativo: cumprir o CNPq (declarar a ferramenta) ou cumprir a LGPD (não expor dados a terceiros não autorizados pelo consentimento).</w:t>
      </w:r>
      <w:r>
        <w:t xml:space="preserve"> </w:t>
      </w:r>
      <w:r>
        <w:t xml:space="preserve">[^14]: A LGPD (Lei nº 13.709/2018) exige consentimento específico e finalidade determinada para tratamento de dados pessoais. A submissão de dados a LLMs comerciais (que tipicamente usam dados para treinamento) pode configurar violação. Cf. art. 7º, I c/c art. 11, I da LGPD. Adicionalmente, a decisão do STF no RE 1.057.258 (Tema 987) reforça a autodeterminação informativa. A Portaria do CNPq não menciona a LGPD — lacuna grave.</w:t>
      </w:r>
      <w:r>
        <w:t xml:space="preserve"> </w:t>
      </w:r>
      <w:r>
        <w:t xml:space="preserve">### 5.2. Art. 218 da Constituição Federal</w:t>
      </w:r>
      <w:r>
        <w:t xml:space="preserve"> </w:t>
      </w:r>
      <w:r>
        <w:t xml:space="preserve">O art. 218 da CF determina que</w:t>
      </w:r>
      <w:r>
        <w:t xml:space="preserve"> </w:t>
      </w:r>
      <w:r>
        <w:t xml:space="preserve">“o Estado promoverá e incentivará o desenvolvimento científico, a pesquisa, a capacitação científica e tecnológica e a inovação”</w:t>
      </w:r>
      <w:r>
        <w:t xml:space="preserve">. A Portaria impõe obrigações declaratórias e vedações sem contrapartida de incentivo.</w:t>
      </w:r>
      <w:r>
        <w:t xml:space="preserve"> </w:t>
      </w:r>
      <w:r>
        <w:t xml:space="preserve">Este descompasso entre regulação e fomento pode ser questionado à luz do princípio constitucional. A doutrina do direito administrativo da inovação (Bucci, 2021) sustenta que a regulação estatal da pesquisa deve observar a</w:t>
      </w:r>
      <w:r>
        <w:t xml:space="preserve"> </w:t>
      </w:r>
      <w:r>
        <w:rPr>
          <w:b/>
          <w:bCs/>
        </w:rPr>
        <w:t xml:space="preserve">proporcionalidade</w:t>
      </w:r>
      <w:r>
        <w:t xml:space="preserve"> </w:t>
      </w:r>
      <w:r>
        <w:t xml:space="preserve">entre meios restritivos e fins promocionais[^15]. Uma norma que cria custo burocrático sem benefício demonstrável de integridade é desproporcional.</w:t>
      </w:r>
      <w:r>
        <w:t xml:space="preserve"> </w:t>
      </w:r>
      <w:r>
        <w:t xml:space="preserve">[^15]: BUCCI, M. P. D.</w:t>
      </w:r>
      <w:r>
        <w:t xml:space="preserve"> </w:t>
      </w:r>
      <w:r>
        <w:rPr>
          <w:i/>
          <w:iCs/>
        </w:rPr>
        <w:t xml:space="preserve">Fundamentos para uma teoria jurídica das políticas públicas</w:t>
      </w:r>
      <w:r>
        <w:t xml:space="preserve">. 2. ed. São Paulo: Saraiva Jur, 2021. ISBN 9786555595802. Defende que a regulação da pesquisa científica deve observar o princípio da proporcionalidade na modalidade</w:t>
      </w:r>
      <w:r>
        <w:t xml:space="preserve"> </w:t>
      </w:r>
      <w:r>
        <w:t xml:space="preserve">“proibição de excesso”</w:t>
      </w:r>
      <w:r>
        <w:t xml:space="preserve">. A aplicação ao caso concreto sugere que custos burocráticos sem contrapartida de enforcement violam este princípio. Limitação: obra geral, não específica sobre IA.</w:t>
      </w:r>
      <w:r>
        <w:t xml:space="preserve"> </w:t>
      </w:r>
      <w:r>
        <w:t xml:space="preserve">### 5.3. Ausência de sanção específica e legalidade estrita</w:t>
      </w:r>
      <w:r>
        <w:t xml:space="preserve"> </w:t>
      </w:r>
      <w:r>
        <w:t xml:space="preserve">A Portaria não estabelece sanções para o descumprimento do art. 9º. Esta lacuna viola o princípio da legalidade estrita (art. 5º, II, CF) e a tipicidade no direito administrativo sancionador. Sem descrição clara de infração e sanção, a aplicação da norma dependeria de interpretação extensiva — vedada neste âmbito.</w:t>
      </w:r>
      <w:r>
        <w:t xml:space="preserve"> </w:t>
      </w:r>
      <w:r>
        <w:t xml:space="preserve">O direito administrativo brasileiro exige que a sanção esteja prevista em lei ou ato normativo equivalente (art. 5º, XXXIX, CF c/c art. 1º da LINDB). A ausência de sanção explícita significa que, na prática, a Portaria é</w:t>
      </w:r>
      <w:r>
        <w:t xml:space="preserve"> </w:t>
      </w:r>
      <w:r>
        <w:rPr>
          <w:b/>
          <w:bCs/>
        </w:rPr>
        <w:t xml:space="preserve">lex imperfecta</w:t>
      </w:r>
      <w:r>
        <w:t xml:space="preserve">: obriga mas não pune, ou pune sem tipificação, o que é juridicamente insustentável[^16].</w:t>
      </w:r>
      <w:r>
        <w:t xml:space="preserve"> </w:t>
      </w:r>
      <w:r>
        <w:t xml:space="preserve">[^16]: A doutrina de direito administrativo sancionador é clara: não há sanção sem prévia cominação legal (nulla poena sine lege). A Portaria CNPq é ato administrativo normativo, não lei em sentido formal. Mesmo que se admita poder disciplinar da autarquia (art. 37, §6º, CF), a ausência de especificação do que constitui infração e qual a penalidade viola o devido processo legal substantivo. Ver: JUSTEN FILHO, M.</w:t>
      </w:r>
      <w:r>
        <w:t xml:space="preserve"> </w:t>
      </w:r>
      <w:r>
        <w:rPr>
          <w:i/>
          <w:iCs/>
        </w:rPr>
        <w:t xml:space="preserve">Curso de direito administrativo</w:t>
      </w:r>
      <w:r>
        <w:t xml:space="preserve">. 15. ed. Rio de Janeiro: Forense, 2024. ISBN 9786559649815.</w:t>
      </w:r>
      <w:r>
        <w:t xml:space="preserve"> </w:t>
      </w:r>
      <w:r>
        <w:t xml:space="preserve">## 6. Dimensão Comparada: Quatro Modelos Regulatórios</w:t>
      </w:r>
      <w:r>
        <w:t xml:space="preserve"> </w:t>
      </w:r>
      <w:r>
        <w:t xml:space="preserve">A comparação internacional revela que cada país abordou o desafio de forma diversa, e que a opção brasileira — autodeclaração sem verificação técnica — é a de menor densidade normativa e menor capacidade de enforcement.</w:t>
      </w:r>
      <w:r>
        <w:t xml:space="preserve"> </w:t>
      </w:r>
      <w:r>
        <w:t xml:space="preserve">### 6.1. China: Regulação Centralizada com Padrão Obrigatório</w:t>
      </w:r>
      <w:r>
        <w:t xml:space="preserve"> </w:t>
      </w:r>
      <w:r>
        <w:t xml:space="preserve">A China adotou o modelo mais abrangente e tecnicamente sofisticado: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Ministério da Ciência e Tecnologia (2023)</w:t>
      </w:r>
      <w:r>
        <w:t xml:space="preserve">: diretrizes proíbem uso de IA generativa para gerar materiais de submissão, exigem rotulagem clara de conteúdo gerado por IA e vedam IA como co-autora[^17].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Academia Chinesa de Ciências (2024)</w:t>
      </w:r>
      <w:r>
        <w:t xml:space="preserve">: oito</w:t>
      </w:r>
      <w:r>
        <w:t xml:space="preserve"> </w:t>
      </w:r>
      <w:r>
        <w:t xml:space="preserve">“lembretes de integridade”</w:t>
      </w:r>
      <w:r>
        <w:t xml:space="preserve"> </w:t>
      </w:r>
      <w:r>
        <w:t xml:space="preserve">detalhando usos permitidos e proibidos por etapa de pesquisa.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GB 45438-2025 (setembro de 2025)</w:t>
      </w:r>
      <w:r>
        <w:t xml:space="preserve">:</w:t>
      </w:r>
      <w:r>
        <w:t xml:space="preserve"> </w:t>
      </w:r>
      <w:r>
        <w:rPr>
          <w:b/>
          <w:bCs/>
        </w:rPr>
        <w:t xml:space="preserve">padrão nacional obrigatório</w:t>
      </w:r>
      <w:r>
        <w:t xml:space="preserve"> </w:t>
      </w:r>
      <w:r>
        <w:t xml:space="preserve">de marcação de conteúdo gerado por IA. Exige marcação explícita (visível ao usuário) e implícita (metadados, watermarks digitais)[^18].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Guideline on Boundaries of AIGC Usage 3.0 (dezembro de 2025)</w:t>
      </w:r>
      <w:r>
        <w:t xml:space="preserve">: 3ª edição com casos práticos, especificando limites por etapa (revisão de literatura, coleta de dados, análise estatística, geração de figuras).</w:t>
      </w:r>
      <w:r>
        <w:t xml:space="preserve"> </w:t>
      </w:r>
      <w:r>
        <w:t xml:space="preserve">O modelo chinês é o que mais se aproxima de um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factível, por três razões: (a) o padrão técnico obrigatório (GB 45438-2025) é aplicado na origem pelos provedores de IA chineses (aplicam marcação automática); (b) a fiscalização é exercida pelo CAC (Cyberspace Administration) com poder de sanção administrativa; (c) o regime exige registro e filing de algoritmos de IA.</w:t>
      </w:r>
      <w:r>
        <w:t xml:space="preserve"> </w:t>
      </w:r>
      <w:r>
        <w:t xml:space="preserve">Limitações do modelo chinês: (a) dependência de provedores nacionais — LLMs estrangeiros (ChatGPT, Claude) não são acessíveis na China continental, o que cria ecossistema controlado; (b) alto custo de conformidade; (c) potencial para censura e controle político disfarçado de regulação de IA[^19].</w:t>
      </w:r>
      <w:r>
        <w:t xml:space="preserve"> </w:t>
      </w:r>
      <w:r>
        <w:t xml:space="preserve">[^17]: CHINA. Ministry of Science and Technology.</w:t>
      </w:r>
      <w:r>
        <w:t xml:space="preserve"> </w:t>
      </w:r>
      <w:r>
        <w:rPr>
          <w:i/>
          <w:iCs/>
        </w:rPr>
        <w:t xml:space="preserve">Guidelines for Responsible Research Conduct</w:t>
      </w:r>
      <w:r>
        <w:t xml:space="preserve">. Beijing, 2023. Publicado em 21/12/2023. Texto integral disponível em: http://english.www.gov.cn/news/202401/06/content_WS6598c927c6d0868f4e8e2d24.html. Acesso em: 15 maio 2026. Inovação: exige que conteúdo gerado por IA seja claramente rotulado e que o processo de geração seja explicado. Limitação: diretrizes, não lei; enforcement depende de incorporação por instituições.</w:t>
      </w:r>
      <w:r>
        <w:t xml:space="preserve"> </w:t>
      </w:r>
      <w:r>
        <w:t xml:space="preserve">[^18]: CHINA.</w:t>
      </w:r>
      <w:r>
        <w:t xml:space="preserve"> </w:t>
      </w:r>
      <w:r>
        <w:rPr>
          <w:i/>
          <w:iCs/>
        </w:rPr>
        <w:t xml:space="preserve">Measures for the Identification of AI-Generated (Synthetic) Content</w:t>
      </w:r>
      <w:r>
        <w:t xml:space="preserve">. Promulgado conjuntamente por CAC, MIIT, MPS e NRTA em 07/03/2025, vigente desde 01/09/2025. Acompanhado do padrão nacional GB 45438-2025 (</w:t>
      </w:r>
      <w:r>
        <w:rPr>
          <w:i/>
          <w:iCs/>
        </w:rPr>
        <w:t xml:space="preserve">Cybersecurity Technology: Labeling Method for Content Generated by Artificial Intelligence</w:t>
      </w:r>
      <w:r>
        <w:t xml:space="preserve">). Referência: https://regulations.ai/regulations/RAI-CN-NA-MIASCXX-2025. Ponto forte: estabelece padrão técnico objetivo, não autodeclaração. Fraqueza: aplica-se apenas a provedores de IA chineses, não a usuários finais.</w:t>
      </w:r>
      <w:r>
        <w:t xml:space="preserve"> </w:t>
      </w:r>
      <w:r>
        <w:t xml:space="preserve">[^19]: A centralização regulatória chinesa tem dupla face: por um lado, permite coordenação e escala; por outro, subordina a integridade acadêmica aos interesses geopolíticos do Partido-Estado. A exigência de</w:t>
      </w:r>
      <w:r>
        <w:t xml:space="preserve"> </w:t>
      </w:r>
      <w:r>
        <w:t xml:space="preserve">“valores socialistas centrais”</w:t>
      </w:r>
      <w:r>
        <w:t xml:space="preserve"> </w:t>
      </w:r>
      <w:r>
        <w:t xml:space="preserve">na geração de conteúdo (art. 4º dos</w:t>
      </w:r>
      <w:r>
        <w:t xml:space="preserve"> </w:t>
      </w:r>
      <w:r>
        <w:rPr>
          <w:i/>
          <w:iCs/>
        </w:rPr>
        <w:t xml:space="preserve">Interim Measures on Generative AI Services</w:t>
      </w:r>
      <w:r>
        <w:t xml:space="preserve">) cria filtro de conteúdo que a academia chinesa internaliza. Ver: BELADIYA, R. How China Is Controlling Generative AI Technologies.</w:t>
      </w:r>
      <w:r>
        <w:t xml:space="preserve"> </w:t>
      </w:r>
      <w:r>
        <w:rPr>
          <w:i/>
          <w:iCs/>
        </w:rPr>
        <w:t xml:space="preserve">AI Law Guide</w:t>
      </w:r>
      <w:r>
        <w:t xml:space="preserve">, maio 2026.</w:t>
      </w:r>
      <w:r>
        <w:t xml:space="preserve"> </w:t>
      </w:r>
      <w:r>
        <w:t xml:space="preserve">### 6.2. União Europeia: Abordagem Baseada em Risco com Enforcement Escalonado</w:t>
      </w:r>
      <w:r>
        <w:t xml:space="preserve"> </w:t>
      </w:r>
      <w:r>
        <w:t xml:space="preserve">O EU AI Act (Regulation 2024/1689) é o primeiro marco regulatório abrangente de IA no mundo. Para a pesquisa acadêmica, seus dispositivos mais relevantes são: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Art. 2(6) e (8)</w:t>
      </w:r>
      <w:r>
        <w:t xml:space="preserve">: isenções para pesquisa (</w:t>
      </w:r>
      <w:r>
        <w:t xml:space="preserve">“research exemption”</w:t>
      </w:r>
      <w:r>
        <w:t xml:space="preserve">) — sistemas de IA desenvolvidos exclusivamente para pesquisa científica estão fora do escopo[^20].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Art. 50</w:t>
      </w:r>
      <w:r>
        <w:t xml:space="preserve">: obrigações de transparência aplicáveis a todos os sistemas de IA (incluindo pesquisa aplicada) — exigem que conteúdo sintético seja marcado e detectável[^21].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of Practice on Marking and Labelling</w:t>
      </w:r>
      <w:r>
        <w:t xml:space="preserve"> </w:t>
      </w:r>
      <w:r>
        <w:t xml:space="preserve">(2º draft em 05/03/2026, final esperado para junho de 2026): especificações técnicas para marcação de conteúdo gerado por IA, aplicáveis a partir de agosto de 2026.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Diretrizes da Comissão Europeia</w:t>
      </w:r>
      <w:r>
        <w:t xml:space="preserve"> </w:t>
      </w:r>
      <w:r>
        <w:t xml:space="preserve">(2º trimestre de 2026): interpretação oficial das obrigações de transparência.</w:t>
      </w:r>
      <w:r>
        <w:t xml:space="preserve"> </w:t>
      </w:r>
      <w:r>
        <w:t xml:space="preserve">A distinção crítica do modelo europeu é: não impõe declaração pelo autor — impõe</w:t>
      </w:r>
      <w:r>
        <w:t xml:space="preserve"> </w:t>
      </w:r>
      <w:r>
        <w:rPr>
          <w:b/>
          <w:bCs/>
        </w:rPr>
        <w:t xml:space="preserve">marcação técnica pelo provedor</w:t>
      </w:r>
      <w:r>
        <w:t xml:space="preserve">. O LLM comercial é obrigado por lei (art. 50(2)) a marcar seu output de forma legível por máquina. A obrigação de transparência recai sobre quem</w:t>
      </w:r>
      <w:r>
        <w:t xml:space="preserve"> </w:t>
      </w:r>
      <w:r>
        <w:rPr>
          <w:i/>
          <w:iCs/>
        </w:rPr>
        <w:t xml:space="preserve">disponibiliza</w:t>
      </w:r>
      <w:r>
        <w:t xml:space="preserve"> </w:t>
      </w:r>
      <w:r>
        <w:t xml:space="preserve">o sistema, não sobre quem o</w:t>
      </w:r>
      <w:r>
        <w:t xml:space="preserve"> </w:t>
      </w:r>
      <w:r>
        <w:rPr>
          <w:i/>
          <w:iCs/>
        </w:rPr>
        <w:t xml:space="preserve">usa</w:t>
      </w:r>
      <w:r>
        <w:t xml:space="preserve">.</w:t>
      </w:r>
      <w:r>
        <w:t xml:space="preserve"> </w:t>
      </w:r>
      <w:r>
        <w:t xml:space="preserve">Isso contrasta fundamentalmente com o modelo brasileiro, que impõe a obrigação exclusivamente sobre o pesquisador-usuário — sem exigência correspondente sobre os provedores. A assimetria é evidente: o Brasil regula quem não tem como verificar a própria declaração.</w:t>
      </w:r>
      <w:r>
        <w:t xml:space="preserve"> </w:t>
      </w:r>
      <w:r>
        <w:t xml:space="preserve">Meszaros, Huys e Ioannidis (2026) identificaram fragilidades nas isenções de pesquisa do AI Act: a distinção entre pesquisa acadêmica e atividade comercial é turva; o desenvolvimento em ambiente controlado (</w:t>
      </w:r>
      <w:r>
        <w:rPr>
          <w:i/>
          <w:iCs/>
        </w:rPr>
        <w:t xml:space="preserve">sandbox</w:t>
      </w:r>
      <w:r>
        <w:t xml:space="preserve">) versus teste em ambiente real é difícil de determinar[^22].</w:t>
      </w:r>
      <w:r>
        <w:t xml:space="preserve"> </w:t>
      </w:r>
      <w:r>
        <w:t xml:space="preserve">[^20]: EUROPEAN UNION. Regulation (EU) 2024/1689 of the European Parliament and of the Council of 13 June 2024 laying down harmonised rules on artificial intelligence (Artificial Intelligence Act).</w:t>
      </w:r>
      <w:r>
        <w:t xml:space="preserve"> </w:t>
      </w:r>
      <w:r>
        <w:rPr>
          <w:i/>
          <w:iCs/>
        </w:rPr>
        <w:t xml:space="preserve">Official Journal of the European Union</w:t>
      </w:r>
      <w:r>
        <w:t xml:space="preserve">, Luxembourg, 2024. Art. 2(6):</w:t>
      </w:r>
      <w:r>
        <w:t xml:space="preserve"> </w:t>
      </w:r>
      <w:r>
        <w:t xml:space="preserve">“This Regulation does not apply to AI systems specifically developed and put into service for the sole purpose of scientific research and development.”</w:t>
      </w:r>
      <w:r>
        <w:t xml:space="preserve"> </w:t>
      </w:r>
      <w:r>
        <w:t xml:space="preserve">A isenção é generosa mas limitada a sistemas desenvolvidos</w:t>
      </w:r>
      <w:r>
        <w:t xml:space="preserve"> </w:t>
      </w:r>
      <w:r>
        <w:rPr>
          <w:i/>
          <w:iCs/>
        </w:rPr>
        <w:t xml:space="preserve">exclusivamente</w:t>
      </w:r>
      <w:r>
        <w:t xml:space="preserve"> </w:t>
      </w:r>
      <w:r>
        <w:t xml:space="preserve">para pesquisa — não cobre uso de LLMs comerciais para redação acadêmica. Texto completo: https://eur-lex.europa.eu/eli/reg/2024/1689.</w:t>
      </w:r>
      <w:r>
        <w:t xml:space="preserve"> </w:t>
      </w:r>
      <w:r>
        <w:t xml:space="preserve">[^21]: Art. 50(2):</w:t>
      </w:r>
      <w:r>
        <w:t xml:space="preserve"> </w:t>
      </w:r>
      <w:r>
        <w:t xml:space="preserve">“Providers of GPAI models that generate synthetic content shall ensure that the output is marked in a machine-readable format and detectable as artificially generated or manipulated.”</w:t>
      </w:r>
      <w:r>
        <w:t xml:space="preserve"> </w:t>
      </w:r>
      <w:r>
        <w:t xml:space="preserve">O art. 50(4) adiciona requisitos específicos para</w:t>
      </w:r>
      <w:r>
        <w:t xml:space="preserve"> </w:t>
      </w:r>
      <w:r>
        <w:rPr>
          <w:i/>
          <w:iCs/>
        </w:rPr>
        <w:t xml:space="preserve">deepfakes</w:t>
      </w:r>
      <w:r>
        <w:t xml:space="preserve"> </w:t>
      </w:r>
      <w:r>
        <w:t xml:space="preserve">e para texto de interesse público. Estas obrigações entram em vigor em 2 de agosto de 2026. GILS, T. et al. From Policy to Practice: Prototyping The EU AI Act’s Transparency Requirements.</w:t>
      </w:r>
      <w:r>
        <w:t xml:space="preserve"> </w:t>
      </w:r>
      <w:r>
        <w:rPr>
          <w:i/>
          <w:iCs/>
        </w:rPr>
        <w:t xml:space="preserve">SSRN</w:t>
      </w:r>
      <w:r>
        <w:t xml:space="preserve">, 2024. DOI: 10.2139/ssrn.4714345. Estudo de policy prototyping que testou os requisitos na prática e identificou lacunas na implementação.</w:t>
      </w:r>
      <w:r>
        <w:t xml:space="preserve"> </w:t>
      </w:r>
      <w:r>
        <w:t xml:space="preserve">[^22]: MESZAROS, J.; HUYS, I.; IOANNIDIS, J. P. A. Challenges in applying the EU AI Act research exemptions to contemporary AI research.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2026. DOI: 10.1038/s41746-025-02263-0. Análise jurídico-técnica rigorosa. Conclui que as isenções de pesquisa do AI Act</w:t>
      </w:r>
      <w:r>
        <w:t xml:space="preserve"> </w:t>
      </w:r>
      <w:r>
        <w:t xml:space="preserve">“rely on distinctions that may not fully capture the realities of contemporary AI research”</w:t>
      </w:r>
      <w:r>
        <w:t xml:space="preserve">. Relevância: mostra que mesmo o marco mais sofisticado do mundo tem limitações. Limitação: análise focada em pesquisa médica, pode não generalizar.</w:t>
      </w:r>
      <w:r>
        <w:t xml:space="preserve"> </w:t>
      </w:r>
      <w:r>
        <w:t xml:space="preserve">### 6.3. Estados Unidos: Segurança de pesquisa em vez de Regulação de IA</w:t>
      </w:r>
      <w:r>
        <w:t xml:space="preserve"> </w:t>
      </w:r>
      <w:r>
        <w:t xml:space="preserve">Os EUA não possuem regulação federal específica sobre uso de IA na pesquisa acadêmica. A abordagem é indireta, centrada em segurança de pesquisa (</w:t>
      </w:r>
      <w:r>
        <w:rPr>
          <w:i/>
          <w:iCs/>
        </w:rPr>
        <w:t xml:space="preserve">research security</w:t>
      </w:r>
      <w:r>
        <w:t xml:space="preserve">) e combate à influência estrangeira: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NSF Scientific Integrity Policy (NSF 24-007, fevereiro de 2024)</w:t>
      </w:r>
      <w:r>
        <w:t xml:space="preserve">: reafirma compromisso com integridade, mas não menciona IA especificamente[^23].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NSPM-33 e TRUST Framework</w:t>
      </w:r>
      <w:r>
        <w:t xml:space="preserve">: foco em</w:t>
      </w:r>
      <w:r>
        <w:t xml:space="preserve"> </w:t>
      </w:r>
      <w:r>
        <w:rPr>
          <w:i/>
          <w:iCs/>
        </w:rPr>
        <w:t xml:space="preserve">disclosure</w:t>
      </w:r>
      <w:r>
        <w:t xml:space="preserve"> </w:t>
      </w:r>
      <w:r>
        <w:t xml:space="preserve">de apoio estrangeiro e conflitos de compromisso, não em declaração de IA[^24].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CHIPS and Science Act (2022)</w:t>
      </w:r>
      <w:r>
        <w:t xml:space="preserve">: §10339B exige</w:t>
      </w:r>
      <w:r>
        <w:t xml:space="preserve"> </w:t>
      </w:r>
      <w:r>
        <w:rPr>
          <w:i/>
          <w:iCs/>
        </w:rPr>
        <w:t xml:space="preserve">disclosure</w:t>
      </w:r>
      <w:r>
        <w:t xml:space="preserve"> </w:t>
      </w:r>
      <w:r>
        <w:t xml:space="preserve">de apoio financeiro estrangeiro, mas silencia sobre 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NSF Proposal &amp; Award Policies (PAPPG 24-1, maio de 2024)</w:t>
      </w:r>
      <w:r>
        <w:t xml:space="preserve">: incorpora requisitos de segurança de pesquisa e integridade científica, mas IA não é tratada como categoria específica[^25].</w:t>
      </w:r>
      <w:r>
        <w:t xml:space="preserve"> </w:t>
      </w:r>
      <w:r>
        <w:t xml:space="preserve">O modelo americano é o mais liberal: não exige declaração de IA, não estabelece padrão de marcação, não cria obrigação para provedores. A integridade é delegada às instituições e periódicos, que têm políticas próprias. Esta abordagem minimiza custos burocráticos mas transfere o problema para o</w:t>
      </w:r>
      <w:r>
        <w:t xml:space="preserve"> </w:t>
      </w:r>
      <w:r>
        <w:rPr>
          <w:i/>
          <w:iCs/>
        </w:rPr>
        <w:t xml:space="preserve">self-governance</w:t>
      </w:r>
      <w:r>
        <w:t xml:space="preserve"> </w:t>
      </w:r>
      <w:r>
        <w:t xml:space="preserve">de cada entidade.</w:t>
      </w:r>
      <w:r>
        <w:t xml:space="preserve"> </w:t>
      </w:r>
      <w:r>
        <w:t xml:space="preserve">[^23]: NSF.</w:t>
      </w:r>
      <w:r>
        <w:t xml:space="preserve"> </w:t>
      </w:r>
      <w:r>
        <w:rPr>
          <w:i/>
          <w:iCs/>
        </w:rPr>
        <w:t xml:space="preserve">NSF Scientific Integrity Policy</w:t>
      </w:r>
      <w:r>
        <w:t xml:space="preserve"> </w:t>
      </w:r>
      <w:r>
        <w:t xml:space="preserve">(NSF 24-007). 12 fev. 2024. Disponível em: https://nsf-gov-resources.nsf.gov/pubs/2024/nsf24007/nsf24007.pdf. Política genérica que</w:t>
      </w:r>
      <w:r>
        <w:t xml:space="preserve"> </w:t>
      </w:r>
      <w:r>
        <w:t xml:space="preserve">“estabelece expectativas para manter e aprimorar a Integridade Científica na NSF”</w:t>
      </w:r>
      <w:r>
        <w:t xml:space="preserve">. Silêncio sobre IA reflete a posição do governo Biden: a ordem executiva de outubro de 2023 (EO 14110) sobre IA segura e confiável focou em riscos sistêmicos, não em escrita acadêmica. A gestão Trump (2025-) pode alterar esta abordagem.</w:t>
      </w:r>
      <w:r>
        <w:t xml:space="preserve"> </w:t>
      </w:r>
      <w:r>
        <w:t xml:space="preserve">[^24]: NSF.</w:t>
      </w:r>
      <w:r>
        <w:t xml:space="preserve"> </w:t>
      </w:r>
      <w:r>
        <w:rPr>
          <w:i/>
          <w:iCs/>
        </w:rPr>
        <w:t xml:space="preserve">Trusted Research Using Safeguards and Transparency (TRUST)</w:t>
      </w:r>
      <w:r>
        <w:t xml:space="preserve">. Jun. 2024. Disponível em: https://nsf-gov-resources.nsf.gov/files/NSF%20OCRSSP%20TRUST%20Policy%20Memo.pdf. Framework de árvore decisória para avaliar riscos de segurança nacional. Três branches: (1) appointments ativos e suporte à pesquisa, (2) não-disclosure, (3) considerações de segurança nacional. Nenhum branch trata de IA. Foco: influência estrangeira, não integridade da escrita acadêmica.</w:t>
      </w:r>
      <w:r>
        <w:t xml:space="preserve"> </w:t>
      </w:r>
      <w:r>
        <w:t xml:space="preserve">[^25]: NSF.</w:t>
      </w:r>
      <w:r>
        <w:t xml:space="preserve"> </w:t>
      </w:r>
      <w:r>
        <w:rPr>
          <w:i/>
          <w:iCs/>
        </w:rPr>
        <w:t xml:space="preserve">Proposal and Award Policies and Procedures Guide</w:t>
      </w:r>
      <w:r>
        <w:t xml:space="preserve"> </w:t>
      </w:r>
      <w:r>
        <w:t xml:space="preserve">(PAPPG 24-1). Maio 2024. Cap. XI.M, Scientific Integrity. Disponível em: https://new.nsf.gov/policies/pappg. Incorpora definição do NSTC. A PAPPG foi suplementada por policy notice em dez. 2025 incorporando §10339B (CHIPS Act) sobre disclosure de apoio financeiro estrangeiro. Em nenhum ponto há menção a IA generativa. Isto significa zero custo de conformidade para pesquisadores americanos — e zero proteção contra má-uso.</w:t>
      </w:r>
      <w:r>
        <w:t xml:space="preserve"> </w:t>
      </w:r>
      <w:r>
        <w:t xml:space="preserve">### 6.4. Tabela Comparativa</w:t>
      </w:r>
      <w:r>
        <w:t xml:space="preserve"> </w:t>
      </w:r>
      <w:r>
        <w:t xml:space="preserve">| Dimensão | Brasil (CNPq 2.664/2026) | China | União Europeia | EUA (NSF) |</w:t>
      </w:r>
      <w:r>
        <w:t xml:space="preserve"> </w:t>
      </w:r>
      <w:r>
        <w:t xml:space="preserve">|———-|————————–|——-|—————-|———–|</w:t>
      </w:r>
      <w:r>
        <w:t xml:space="preserve"> </w:t>
      </w:r>
      <w:r>
        <w:t xml:space="preserve">| Base legal | Portaria administrativa | Lei + Padrão Nacional | Regulamento (diretamente aplicável) | Política interna NSF |</w:t>
      </w:r>
      <w:r>
        <w:t xml:space="preserve"> </w:t>
      </w:r>
      <w:r>
        <w:t xml:space="preserve">| Obrigação | Autodeclaração do pesquisador | Marcação pelo provedor + declaração do usuário | Marcação técnica pelo provedor (Art. 50) | Nenhuma específica |</w:t>
      </w:r>
      <w:r>
        <w:t xml:space="preserve"> </w:t>
      </w:r>
      <w:r>
        <w:t xml:space="preserve">| Padrão técnico | Nenhum | GB 45438-2025 (obrigatório) | Code of Practice (voluntário) | Nenhum |</w:t>
      </w:r>
      <w:r>
        <w:t xml:space="preserve"> </w:t>
      </w:r>
      <w:r>
        <w:t xml:space="preserve">| Enforcement | Inexistente (sem sanção) | CAC com sanções administrativas | Comissão + autoridades nacionais | pesquisa segurança (não IA) |</w:t>
      </w:r>
      <w:r>
        <w:t xml:space="preserve"> </w:t>
      </w:r>
      <w:r>
        <w:t xml:space="preserve">| Escopo | pesquisa apoiada pelo CNPq | Toda pesquisa na China | Sistemas de IA no mercado EU | Pesquisas financiadas NSF |</w:t>
      </w:r>
      <w:r>
        <w:t xml:space="preserve"> </w:t>
      </w:r>
      <w:r>
        <w:t xml:space="preserve">| Custo de conformidade para pesquisador | Alto (declaração detalhada) | Médio (rotulagem + verificação) | Baixo (marcação é do provedor) | Zero |</w:t>
      </w:r>
      <w:r>
        <w:t xml:space="preserve"> </w:t>
      </w:r>
      <w:r>
        <w:t xml:space="preserve">### 6.5. Síntese Comparativa</w:t>
      </w:r>
      <w:r>
        <w:t xml:space="preserve"> </w:t>
      </w:r>
      <w:r>
        <w:t xml:space="preserve">Cada modelo reflete escolhas políticas e históricas distintas. O Brasil optou pelo</w:t>
      </w:r>
      <w:r>
        <w:t xml:space="preserve"> </w:t>
      </w:r>
      <w:r>
        <w:rPr>
          <w:b/>
          <w:bCs/>
        </w:rPr>
        <w:t xml:space="preserve">modelo de autodeclaração com custo concentrado no pesquisador</w:t>
      </w:r>
      <w:r>
        <w:t xml:space="preserve"> </w:t>
      </w:r>
      <w:r>
        <w:t xml:space="preserve">— a pior combinação possível: alto custo de conformidade para quem cumpre, zero custo para quem descumpre, e impossibilidade técnica de verificação.</w:t>
      </w:r>
      <w:r>
        <w:t xml:space="preserve"> </w:t>
      </w:r>
      <w:r>
        <w:t xml:space="preserve">A China optou pelo</w:t>
      </w:r>
      <w:r>
        <w:t xml:space="preserve"> </w:t>
      </w:r>
      <w:r>
        <w:rPr>
          <w:b/>
          <w:bCs/>
        </w:rPr>
        <w:t xml:space="preserve">modelo de padrão técnico obrigatório na fonte</w:t>
      </w:r>
      <w:r>
        <w:t xml:space="preserve"> </w:t>
      </w:r>
      <w:r>
        <w:t xml:space="preserve">— mais eficaz, mas dependente de controle centralizado sobre provedores de IA e compatível com regime de vigilância digital.</w:t>
      </w:r>
      <w:r>
        <w:t xml:space="preserve"> </w:t>
      </w:r>
      <w:r>
        <w:t xml:space="preserve">A UE optou pelo</w:t>
      </w:r>
      <w:r>
        <w:t xml:space="preserve"> </w:t>
      </w:r>
      <w:r>
        <w:rPr>
          <w:b/>
          <w:bCs/>
        </w:rPr>
        <w:t xml:space="preserve">modelo de regulação híbrida</w:t>
      </w:r>
      <w:r>
        <w:t xml:space="preserve"> </w:t>
      </w:r>
      <w:r>
        <w:t xml:space="preserve">— impõe obrigações sobre provedores (marcação) e sobre usuários (transparência em certos usos), com abordagem baseada em risco.</w:t>
      </w:r>
      <w:r>
        <w:t xml:space="preserve"> </w:t>
      </w:r>
      <w:r>
        <w:t xml:space="preserve">Os EUA optaram pelo</w:t>
      </w:r>
      <w:r>
        <w:t xml:space="preserve"> </w:t>
      </w:r>
      <w:r>
        <w:rPr>
          <w:b/>
          <w:bCs/>
        </w:rPr>
        <w:t xml:space="preserve">modelo de não-regulação específica</w:t>
      </w:r>
      <w:r>
        <w:t xml:space="preserve"> </w:t>
      </w:r>
      <w:r>
        <w:t xml:space="preserve">— trata IA como ferramenta de pesquisa, não como categoria regulatória distinta, e foca segurança em vez de integridade textual.</w:t>
      </w:r>
      <w:r>
        <w:t xml:space="preserve"> </w:t>
      </w:r>
      <w:r>
        <w:t xml:space="preserve">A Portaria CNPq nº 2.664/2026, neste cenário, é o único instrumento que impõe obrigação sem oferecer meio de cumprimento. É regulação sem tecnologia.</w:t>
      </w:r>
      <w:r>
        <w:t xml:space="preserve"> </w:t>
      </w:r>
      <w:r>
        <w:t xml:space="preserve">## 7. Dimensão Estrutural: O Sistema Qualis-CAPES como Antecedente</w:t>
      </w:r>
      <w:r>
        <w:t xml:space="preserve"> </w:t>
      </w:r>
      <w:r>
        <w:t xml:space="preserve">A Portaria nº 2.664/2026 não surge em vácuo. Ela se insere em tradição de avaliação quantitativa e burocrática que sistematicamente privilegia métricas internacionais em detrimento da pesquisa nacional — como demonstrado pela Nota Técnica da AGB (2024)[^26] e pelo estudo de Caballero Rivero et al. (2024)[^27].</w:t>
      </w:r>
      <w:r>
        <w:t xml:space="preserve"> </w:t>
      </w:r>
      <w:r>
        <w:t xml:space="preserve">O efeito performativo é bem descrito por Albuquerque (2025):</w:t>
      </w:r>
      <w:r>
        <w:t xml:space="preserve"> </w:t>
      </w:r>
      <w:r>
        <w:t xml:space="preserve">“o simples fato de existirem critérios externos faz com que os programas de pós-graduação se reorganizem para atendê-los”</w:t>
      </w:r>
      <w:r>
        <w:t xml:space="preserve">[^28]. Sguissardi (2006) denominou este fenômeno de</w:t>
      </w:r>
      <w:r>
        <w:t xml:space="preserve"> </w:t>
      </w:r>
      <w:r>
        <w:t xml:space="preserve">“avaliação defensiva”</w:t>
      </w:r>
      <w:r>
        <w:t xml:space="preserve">.</w:t>
      </w:r>
      <w:r>
        <w:t xml:space="preserve"> </w:t>
      </w:r>
      <w:r>
        <w:t xml:space="preserve">Perez (2025) atualizou a crítica para o contexto do Qualis 2025-2028, argumentando que os novos critérios da CAPES</w:t>
      </w:r>
      <w:r>
        <w:t xml:space="preserve"> </w:t>
      </w:r>
      <w:r>
        <w:t xml:space="preserve">“tendem a aprofundar desigualdades regionais, institucionais e de gênero”</w:t>
      </w:r>
      <w:r>
        <w:t xml:space="preserve">[^29].</w:t>
      </w:r>
      <w:r>
        <w:t xml:space="preserve"> </w:t>
      </w:r>
      <w:r>
        <w:t xml:space="preserve">O custo operacional do novo modelo multidimensional é estimado em R$ 150 milhões iniciais + R$ 50 milhões/ano (CAPES, 2024)[^30].</w:t>
      </w:r>
      <w:r>
        <w:t xml:space="preserve"> </w:t>
      </w:r>
      <w:r>
        <w:t xml:space="preserve">[^26]: AGB. Nota técnica: reflexões sobre o Qualis CAPES, o fator de impacto e a divulgação científica. São Paulo, 2024. Disponível em: https://agb.org.br/nota-tecnica-reflexoes-sobre-o-qualis-capes-o-fator-de-impacto-e-a-divulgacao-cientifica/. Crítica contundente ao viés estrangeiro do Qualis. Limitação: documento de associação, não artigo revisado por pares.</w:t>
      </w:r>
      <w:r>
        <w:t xml:space="preserve"> </w:t>
      </w:r>
      <w:r>
        <w:t xml:space="preserve">[^27]: CABALLERO RIVERO, A.; SANTOS, R. N. M.; TRZESNIAK, P. Efeitos dos sistemas de avaliação de pesquisa de CAPES e CNPQ nos padrões de publicação dos pesquisadores das ciências da saúde no Brasil.</w:t>
      </w:r>
      <w:r>
        <w:t xml:space="preserve"> </w:t>
      </w:r>
      <w:r>
        <w:rPr>
          <w:i/>
          <w:iCs/>
        </w:rPr>
        <w:t xml:space="preserve">Em Questão</w:t>
      </w:r>
      <w:r>
        <w:t xml:space="preserve">, Porto Alegre, v. 30, 2024. DOI: 10.1590/1808-5245.30.138437. Qualis A1. Metodologia: questionário semiestruturado com amostra estratificada. Demonstra que critérios avaliativos distorcem escolhas de publicação. Relevância direta para este ensaio: o mesmo efeito performativo se aplicará à declaração de IA.</w:t>
      </w:r>
      <w:r>
        <w:t xml:space="preserve"> </w:t>
      </w:r>
      <w:r>
        <w:t xml:space="preserve">[^28]: ALBUQUERQUE, U. P. Ciência em debate: o peso silencioso da avaliação de cursos e publicações científicas.</w:t>
      </w:r>
      <w:r>
        <w:t xml:space="preserve"> </w:t>
      </w:r>
      <w:r>
        <w:rPr>
          <w:i/>
          <w:iCs/>
        </w:rPr>
        <w:t xml:space="preserve">The Conversation</w:t>
      </w:r>
      <w:r>
        <w:t xml:space="preserve">, 13 out. 2025. Texto de divulgação de pesquisador sênior (UFPE). Embora não seja artigo revisado, sintetiza pesquisa acumulada do autor sobre o tema. Citação direta sobre</w:t>
      </w:r>
      <w:r>
        <w:t xml:space="preserve"> </w:t>
      </w:r>
      <w:r>
        <w:t xml:space="preserve">“efeito performativo”</w:t>
      </w:r>
      <w:r>
        <w:t xml:space="preserve"> </w:t>
      </w:r>
      <w:r>
        <w:t xml:space="preserve">no parágrafo 7.</w:t>
      </w:r>
      <w:r>
        <w:t xml:space="preserve"> </w:t>
      </w:r>
      <w:r>
        <w:t xml:space="preserve">[^29]: PEREZ, O. C. Avaliação em Disputa: A Reforma do Qualis e os Desafios para a Ciência.</w:t>
      </w:r>
      <w:r>
        <w:t xml:space="preserve"> </w:t>
      </w:r>
      <w:r>
        <w:rPr>
          <w:i/>
          <w:iCs/>
        </w:rPr>
        <w:t xml:space="preserve">Novos Debates</w:t>
      </w:r>
      <w:r>
        <w:t xml:space="preserve">, v. 11, n. 1, 2025. DOI: 10.48006/2358-0097/V11N1.E111011. Qualis A2. Limitação: ensaio teórico sem dados primários. Contribuição: aponta que as novas regras</w:t>
      </w:r>
      <w:r>
        <w:t xml:space="preserve"> </w:t>
      </w:r>
      <w:r>
        <w:t xml:space="preserve">“penalizam programas novos e pesquisadores em início de carreira”</w:t>
      </w:r>
      <w:r>
        <w:t xml:space="preserve">.</w:t>
      </w:r>
      <w:r>
        <w:t xml:space="preserve"> </w:t>
      </w:r>
      <w:r>
        <w:t xml:space="preserve">[^30]: CAPES. Ofício Circular nº 46/2024: diretrizes para o ciclo avaliativo 2025-2028. Brasília, 2024. A estimativa de R$ 150M é citada em análise crítica da LinkedIn (Costa, 2024) e em reportagem da ADUFRJ (11/12/2024). Dados oficiais consolidados não foram publicados.</w:t>
      </w:r>
      <w:r>
        <w:t xml:space="preserve"> </w:t>
      </w:r>
      <w:r>
        <w:t xml:space="preserve">## 8. Balanço Crítico: Acertos, Fragilidades e Recomendações</w:t>
      </w:r>
      <w:r>
        <w:t xml:space="preserve"> </w:t>
      </w:r>
      <w:r>
        <w:t xml:space="preserve">### 8.1. Acertos da Portaria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Reconhecimento institucional</w:t>
      </w:r>
      <w:r>
        <w:t xml:space="preserve">: a Portaria tira a IAG da invisibilidade normativa e a reconhece como fenômeno relevante na pesquisa — mérito não trivial.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Não proibição</w:t>
      </w:r>
      <w:r>
        <w:t xml:space="preserve">: diferentemente de posições reacionárias, a Portaria não proíbe IA; busca regular uso responsável.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Atualização do debate</w:t>
      </w:r>
      <w:r>
        <w:t xml:space="preserve">: acelera a discussão sobre integridade em universidades e periódicos.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Alinhamento internacional</w:t>
      </w:r>
      <w:r>
        <w:t xml:space="preserve">: ainda que imperfeita, a Portaria se insere em movimento global de regulação.</w:t>
      </w:r>
      <w:r>
        <w:t xml:space="preserve"> </w:t>
      </w:r>
      <w:r>
        <w:t xml:space="preserve">### 8.2. Fragilidades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Inaplicabilidade técnica</w:t>
      </w:r>
      <w:r>
        <w:t xml:space="preserve">: detectores são falíveis; a proporção 40:1 invalida a premissa de enforcement.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 sem benefício</w:t>
      </w:r>
      <w:r>
        <w:t xml:space="preserve">: impõe burocracia ao pesquisador sem oferecer ganho demonstrável de integridade.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Assimetria punitiva</w:t>
      </w:r>
      <w:r>
        <w:t xml:space="preserve">: penaliza quem declara, não quem omite.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Ambiguidade normativa</w:t>
      </w:r>
      <w:r>
        <w:t xml:space="preserve">: 7 ambiguidades no art. 9º geram insegurança jurídica.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Colisão com LGPD e CF</w:t>
      </w:r>
      <w:r>
        <w:t xml:space="preserve">: conflitos normativos não resolvidos.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Inexequibilidade da alínea</w:t>
      </w:r>
      <w:r>
        <w:rPr>
          <w:b/>
          <w:bCs/>
        </w:rPr>
        <w:t xml:space="preserve"> </w:t>
      </w:r>
      <w:r>
        <w:rPr>
          <w:b/>
          <w:bCs/>
        </w:rPr>
        <w:t xml:space="preserve">“e”</w:t>
      </w:r>
      <w:r>
        <w:t xml:space="preserve">: vedação a pareceres com IAG é facilmente contornada por modelos locais.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Sem padrão técnico</w:t>
      </w:r>
      <w:r>
        <w:t xml:space="preserve">: diferentemente de China (GB 45438-2025) e UE (Art. 50 AI Act), o Brasil não exige marcação técnica pelos provedores.</w:t>
      </w:r>
      <w:r>
        <w:t xml:space="preserve"> </w:t>
      </w:r>
      <w:r>
        <w:t xml:space="preserve">### 8.3. Recomendações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Adotar modelo híbrido</w:t>
      </w:r>
      <w:r>
        <w:t xml:space="preserve"> </w:t>
      </w:r>
      <w:r>
        <w:t xml:space="preserve">nos moldes da UE: obrigação de marcação técnica pelos provedores de IA (LLMs comerciais) somada à declaração simplificada pelo pesquisador.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Graduar a exigência</w:t>
      </w:r>
      <w:r>
        <w:t xml:space="preserve"> </w:t>
      </w:r>
      <w:r>
        <w:t xml:space="preserve">por nível de risco (assistência linguística vs. geração substantiva).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Substituir declaração detalhada</w:t>
      </w:r>
      <w:r>
        <w:t xml:space="preserve"> </w:t>
      </w:r>
      <w:r>
        <w:t xml:space="preserve">por</w:t>
      </w:r>
      <w:r>
        <w:t xml:space="preserve"> </w:t>
      </w:r>
      <w:r>
        <w:rPr>
          <w:i/>
          <w:iCs/>
        </w:rPr>
        <w:t xml:space="preserve">checklist</w:t>
      </w:r>
      <w:r>
        <w:t xml:space="preserve"> </w:t>
      </w:r>
      <w:r>
        <w:t xml:space="preserve">padronizado de uma página.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Estabelecer sanções claras</w:t>
      </w:r>
      <w:r>
        <w:t xml:space="preserve"> </w:t>
      </w:r>
      <w:r>
        <w:t xml:space="preserve">respeitando o princípio da legalidade.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Harmonizar com a LGPD</w:t>
      </w:r>
      <w:r>
        <w:t xml:space="preserve"> </w:t>
      </w:r>
      <w:r>
        <w:t xml:space="preserve">e com o art. 218 CF.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Negociar com provedores de IA</w:t>
      </w:r>
      <w:r>
        <w:t xml:space="preserve"> </w:t>
      </w:r>
      <w:r>
        <w:t xml:space="preserve">a marcação automática de conteúdo gerado em português.</w:t>
      </w:r>
      <w:r>
        <w:t xml:space="preserve"> </w:t>
      </w:r>
      <w:r>
        <w:t xml:space="preserve">## 9. Conclusão: A Regulação que a Tecnologia Ainda Não Alcançou</w:t>
      </w:r>
      <w:r>
        <w:t xml:space="preserve"> </w:t>
      </w:r>
      <w:r>
        <w:t xml:space="preserve">Este ensaio demonstrou que a Portaria CNPq nº 2.664/2026, não obstante suas boas intenções, opera como instrumento de retardamento burocrático da pesquisa científica brasileira. As evidências são convergentes: detectores falham, a proporção uso/declaração é de 40:1, o texto contém ambiguidades insanáveis, a fiscalização é inviável, e o modelo brasileiro é o que oferece menor capacidade de enforcement entre as quatro principais jurisdições analisadas.</w:t>
      </w:r>
      <w:r>
        <w:t xml:space="preserve"> </w:t>
      </w:r>
      <w:r>
        <w:t xml:space="preserve">O paradoxo central é que a Portaria tenta resolver um problema técnico — a detecção de IA — com instrumento jurídico — a declaração obrigatória. Este descompasso entre a natureza do problema e o meio de solução condena o protocolo à ineficácia.</w:t>
      </w:r>
      <w:r>
        <w:t xml:space="preserve"> </w:t>
      </w:r>
      <w:r>
        <w:t xml:space="preserve">O pesquisador que declarar o uso de IA será escrutinado; o que não declarar, não. O inovador honesto paga o custo burocrático; o mal-intencionado paga zero. A Portaria não protege a integridade: apenas a burocratiza.</w:t>
      </w:r>
      <w:r>
        <w:t xml:space="preserve"> </w:t>
      </w:r>
      <w:r>
        <w:t xml:space="preserve">A saída não é abandonar a integridade, mas redefini-la. Avaliação substantiva baseada em impacto replicável e relevância social será sempre mais eficaz que declaratórias inverificáveis. Enquanto o CNPq não enfrentar o problema real — a inviabilidade técnica da detecção —, a ciência brasileira continuará pagando o preço de um protocolo que não protege, mas apenas retarda.</w:t>
      </w:r>
      <w:r>
        <w:t xml:space="preserve"> </w:t>
      </w:r>
      <w:r>
        <w:t xml:space="preserve">—</w:t>
      </w:r>
      <w:r>
        <w:t xml:space="preserve"> </w:t>
      </w:r>
      <w:r>
        <w:t xml:space="preserve">## Referências</w:t>
      </w:r>
      <w:r>
        <w:t xml:space="preserve"> </w:t>
      </w:r>
      <w:r>
        <w:t xml:space="preserve">AGB — ASSOCIAÇÃO DOS GEÓGRAFOS BRASILEIROS. Nota técnica: reflexões sobre o Qualis CAPES, o fator de impacto e a divulgação científica. São Paulo, 2024. Disponível em: https://agb.org.br/nota-tecnica-reflexoes-sobre-o-qualis-capes-o-fator-de-impacto-e-a-divulgacao-cientifica/</w:t>
      </w:r>
      <w:r>
        <w:t xml:space="preserve"> </w:t>
      </w:r>
      <w:r>
        <w:t xml:space="preserve">ALBUQUERQUE, U. P. Ciência em debate: o peso silencioso da avaliação de cursos e publicações científicas.</w:t>
      </w:r>
      <w:r>
        <w:t xml:space="preserve"> </w:t>
      </w:r>
      <w:r>
        <w:rPr>
          <w:b/>
          <w:bCs/>
        </w:rPr>
        <w:t xml:space="preserve">The Conversation</w:t>
      </w:r>
      <w:r>
        <w:t xml:space="preserve">, 13 out. 2025. Disponível em: https://theconversation.com/ciencia-em-debate-o-peso-silencioso-da-avaliação-de-cursos-e-publicacoes-cientificas-266875</w:t>
      </w:r>
      <w:r>
        <w:t xml:space="preserve"> </w:t>
      </w:r>
      <w:r>
        <w:t xml:space="preserve">BELADIYA, R. How China Is Controlling Generative AI Technologies.</w:t>
      </w:r>
      <w:r>
        <w:t xml:space="preserve"> </w:t>
      </w:r>
      <w:r>
        <w:rPr>
          <w:b/>
          <w:bCs/>
        </w:rPr>
        <w:t xml:space="preserve">AI Law Guide</w:t>
      </w:r>
      <w:r>
        <w:t xml:space="preserve">, maio 2026. Disponível em: https://ailawguide.org/blog/how-china-is-controlling-generative-ai-technologies</w:t>
      </w:r>
      <w:r>
        <w:t xml:space="preserve"> </w:t>
      </w:r>
      <w:r>
        <w:t xml:space="preserve">BRASIL. Constituição da República Federativa do Brasil de 1988. Art. 5º, II e XXXIX; Art. 218.</w:t>
      </w:r>
      <w:r>
        <w:t xml:space="preserve"> </w:t>
      </w:r>
      <w:r>
        <w:t xml:space="preserve">BRASIL. Lei nº 13.709, de 14 de agosto de 2018 (Lei Geral de Proteção de Dados Pessoais).</w:t>
      </w:r>
      <w:r>
        <w:t xml:space="preserve"> </w:t>
      </w:r>
      <w:r>
        <w:t xml:space="preserve">BRASIL. Portaria CNPq nº 2.664, de 6 de março de 2026. Institui a Política de Integridade na Atividade Científica.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, 11 mar. 2026. Disponível em: http://memoria2.cnpq.br/web/guest/view/-/journal_content/56_INSTANCE_0oED/10157/23142775</w:t>
      </w:r>
      <w:r>
        <w:t xml:space="preserve"> </w:t>
      </w:r>
      <w:r>
        <w:t xml:space="preserve">BRASIL, A. L.</w:t>
      </w:r>
      <w:r>
        <w:t xml:space="preserve"> </w:t>
      </w:r>
      <w:r>
        <w:rPr>
          <w:b/>
          <w:bCs/>
        </w:rPr>
        <w:t xml:space="preserve">A inteligência artificial na pesquisa e no fomento</w:t>
      </w:r>
      <w:r>
        <w:t xml:space="preserve">: desafios e oportunidades. Brasília: CAPES, 2026.</w:t>
      </w:r>
      <w:r>
        <w:t xml:space="preserve"> </w:t>
      </w:r>
      <w:r>
        <w:t xml:space="preserve">BUCCI, M. P. D.</w:t>
      </w:r>
      <w:r>
        <w:t xml:space="preserve"> </w:t>
      </w:r>
      <w:r>
        <w:rPr>
          <w:b/>
          <w:bCs/>
        </w:rPr>
        <w:t xml:space="preserve">Fundamentos para uma teoria jurídica das políticas públicas</w:t>
      </w:r>
      <w:r>
        <w:t xml:space="preserve">. 2. ed. São Paulo: Saraiva Jur, 2021.</w:t>
      </w:r>
      <w:r>
        <w:t xml:space="preserve"> </w:t>
      </w:r>
      <w:r>
        <w:t xml:space="preserve">CABALLERO RIVERO, A.; SANTOS, R. N. M.; TRZESNIAK, P. Efeitos dos sistemas de avaliação de pesquisa de CAPES e CNPQ nos padrões de publicação dos pesquisadores das ciências da saúde no Brasil.</w:t>
      </w:r>
      <w:r>
        <w:t xml:space="preserve"> </w:t>
      </w:r>
      <w:r>
        <w:rPr>
          <w:b/>
          <w:bCs/>
        </w:rPr>
        <w:t xml:space="preserve">Em Questão</w:t>
      </w:r>
      <w:r>
        <w:t xml:space="preserve">, Porto Alegre, v. 30, 2024. DOI: 10.1590/1808-5245.30.138437</w:t>
      </w:r>
      <w:r>
        <w:t xml:space="preserve"> </w:t>
      </w:r>
      <w:r>
        <w:t xml:space="preserve">CAPES. Ofício Circular nº 46/2024. Diretrizes para o ciclo avaliativo 2025-2028. Brasília, 2024.</w:t>
      </w:r>
      <w:r>
        <w:t xml:space="preserve"> </w:t>
      </w:r>
      <w:r>
        <w:t xml:space="preserve">CHINA. Ministry of Science and Technology. Guidelines for Responsible Research Conduct. Beijing, 2023. Disponível em: http://english.www.gov.cn/news/202401/06/content_WS6598c927c6d0868f4e8e2d24.html</w:t>
      </w:r>
      <w:r>
        <w:t xml:space="preserve"> </w:t>
      </w:r>
      <w:r>
        <w:t xml:space="preserve">CHINA. Measures for the Identification of AI-Generated (Synthetic) Content. CAC/MIIT/MPS/NRTA, 2025. Vigente desde 01/09/2025. Padrão GB 45438-2025.</w:t>
      </w:r>
      <w:r>
        <w:t xml:space="preserve"> </w:t>
      </w:r>
      <w:r>
        <w:t xml:space="preserve">EUROPEAN UNION. Regulation (EU) 2024/1689 (Artificial Intelligence Act).</w:t>
      </w:r>
      <w:r>
        <w:t xml:space="preserve"> </w:t>
      </w:r>
      <w:r>
        <w:rPr>
          <w:b/>
          <w:bCs/>
        </w:rPr>
        <w:t xml:space="preserve">Official Journal of the European Union</w:t>
      </w:r>
      <w:r>
        <w:t xml:space="preserve">, 2024. Disponível em: https://eur-lex.europa.eu/eli/reg/2024/1689</w:t>
      </w:r>
      <w:r>
        <w:t xml:space="preserve"> </w:t>
      </w:r>
      <w:r>
        <w:t xml:space="preserve">GILS, T. et al. From Policy to Practice: Prototyping The EU AI Act’s Transparency Requirements.</w:t>
      </w:r>
      <w:r>
        <w:t xml:space="preserve"> </w:t>
      </w:r>
      <w:r>
        <w:rPr>
          <w:b/>
          <w:bCs/>
        </w:rPr>
        <w:t xml:space="preserve">SSRN</w:t>
      </w:r>
      <w:r>
        <w:t xml:space="preserve">, 2024. DOI: 10.2139/ssrn.4714345</w:t>
      </w:r>
      <w:r>
        <w:t xml:space="preserve"> </w:t>
      </w:r>
      <w:r>
        <w:t xml:space="preserve">KOCAK, B. et al. Ensuring peer review integrity in the era of large language models.</w:t>
      </w:r>
      <w:r>
        <w:t xml:space="preserve"> </w:t>
      </w:r>
      <w:r>
        <w:rPr>
          <w:b/>
          <w:bCs/>
        </w:rPr>
        <w:t xml:space="preserve">European Journal of Radiology Artificial Intelligence</w:t>
      </w:r>
      <w:r>
        <w:t xml:space="preserve">, v. 2, 100018, 2025. DOI: 10.1016/j.ejrai.2025.100018</w:t>
      </w:r>
      <w:r>
        <w:t xml:space="preserve"> </w:t>
      </w:r>
      <w:r>
        <w:t xml:space="preserve">KWON, D. Science sleuths flag hundreds of papers that use AI without disclosing it.</w:t>
      </w:r>
      <w:r>
        <w:t xml:space="preserve"> </w:t>
      </w:r>
      <w:r>
        <w:rPr>
          <w:b/>
          <w:bCs/>
        </w:rPr>
        <w:t xml:space="preserve">Nature</w:t>
      </w:r>
      <w:r>
        <w:t xml:space="preserve">, v. 641, p. 290-291, 2025. DOI: 10.1038/d41586-025-01180-2</w:t>
      </w:r>
      <w:r>
        <w:t xml:space="preserve"> </w:t>
      </w:r>
      <w:r>
        <w:t xml:space="preserve">LIANG, W. et al. Discrepancy between AI content proportion and disclosure rate in scientific publications.</w:t>
      </w:r>
      <w:r>
        <w:t xml:space="preserve"> </w:t>
      </w:r>
      <w:r>
        <w:rPr>
          <w:b/>
          <w:bCs/>
        </w:rPr>
        <w:t xml:space="preserve">Nature Human Behaviour</w:t>
      </w:r>
      <w:r>
        <w:t xml:space="preserve">, 2025. DOI: 10.48550/arXiv.2512.06705</w:t>
      </w:r>
      <w:r>
        <w:t xml:space="preserve"> </w:t>
      </w:r>
      <w:r>
        <w:t xml:space="preserve">LIU, J. Q. J. et al. The great detectives: humans versus AI detectors in catching large language model-generated medical writing.</w:t>
      </w:r>
      <w:r>
        <w:t xml:space="preserve"> </w:t>
      </w:r>
      <w:r>
        <w:rPr>
          <w:b/>
          <w:bCs/>
        </w:rPr>
        <w:t xml:space="preserve">International Journal for Educational Integrity</w:t>
      </w:r>
      <w:r>
        <w:t xml:space="preserve">, v. 20, n. 1, 2024. DOI: 10.1007/s40979-024-00155-6</w:t>
      </w:r>
      <w:r>
        <w:t xml:space="preserve"> </w:t>
      </w:r>
      <w:r>
        <w:t xml:space="preserve">MESZAROS, J.; HUYS, I.; IOANNIDIS, J. P. A. Challenges in applying the EU AI Act research exemptions to contemporary AI research.</w:t>
      </w:r>
      <w:r>
        <w:t xml:space="preserve"> </w:t>
      </w:r>
      <w:r>
        <w:rPr>
          <w:b/>
          <w:bCs/>
        </w:rPr>
        <w:t xml:space="preserve">npj Digital Medicine</w:t>
      </w:r>
      <w:r>
        <w:t xml:space="preserve">, 2026. DOI: 10.1038/s41746-025-02263-0</w:t>
      </w:r>
      <w:r>
        <w:t xml:space="preserve"> </w:t>
      </w:r>
      <w:r>
        <w:t xml:space="preserve">NSF. NSF Scientific Integrity Policy (NSF 24-007). 2024. Disponível em: https://nsf-gov-resources.nsf.gov/pubs/2024/nsf24007/nsf24007.pdf</w:t>
      </w:r>
      <w:r>
        <w:t xml:space="preserve"> </w:t>
      </w:r>
      <w:r>
        <w:t xml:space="preserve">NSF. Trusted Research Using Safeguards and Transparency (TRUST). 2024. Disponível em: https://nsf-gov-resources.nsf.gov/files/NSF%20OCRSSP%20TRUST%20Policy%20Memo.pdf</w:t>
      </w:r>
      <w:r>
        <w:t xml:space="preserve"> </w:t>
      </w:r>
      <w:r>
        <w:t xml:space="preserve">PEREZ, O. C. Avaliação em Disputa: A Reforma do Qualis e os Desafios para a Ciência.</w:t>
      </w:r>
      <w:r>
        <w:t xml:space="preserve"> </w:t>
      </w:r>
      <w:r>
        <w:rPr>
          <w:b/>
          <w:bCs/>
        </w:rPr>
        <w:t xml:space="preserve">Novos Debates</w:t>
      </w:r>
      <w:r>
        <w:t xml:space="preserve">, v. 11, n. 1, 2025. DOI: 10.48006/2358-0097/V11N1.E111011</w:t>
      </w:r>
      <w:r>
        <w:t xml:space="preserve"> </w:t>
      </w:r>
      <w:r>
        <w:t xml:space="preserve">PÉREZ-NERI, I. et al. Detecting and correcting errors in scientific literature in the generative AI era.</w:t>
      </w:r>
      <w:r>
        <w:t xml:space="preserve"> </w:t>
      </w:r>
      <w:r>
        <w:rPr>
          <w:b/>
          <w:bCs/>
        </w:rPr>
        <w:t xml:space="preserve">Frontiers in Artificial Intelligence</w:t>
      </w:r>
      <w:r>
        <w:t xml:space="preserve">, v. 8, 2025. DOI: 10.3389/frai.2025.1644098</w:t>
      </w:r>
      <w:r>
        <w:t xml:space="preserve"> </w:t>
      </w:r>
      <w:r>
        <w:t xml:space="preserve">PESQUISAI. CNPq reconhece o uso da Inteligência Artificial Generativa na pesquisa científica.</w:t>
      </w:r>
      <w:r>
        <w:t xml:space="preserve"> </w:t>
      </w:r>
      <w:r>
        <w:rPr>
          <w:b/>
          <w:bCs/>
        </w:rPr>
        <w:t xml:space="preserve">Portal PesquisAI</w:t>
      </w:r>
      <w:r>
        <w:t xml:space="preserve">, 16 mar. 2026. Disponível em: https://www.pesquisai.info/post/cnpq-reconhece-o-uso-da-intelig%C3%AAncia-artificial-generativa-na-pesquisa-cient%C3%ADfica-notas-sobre-a-por</w:t>
      </w:r>
      <w:r>
        <w:t xml:space="preserve"> </w:t>
      </w:r>
      <w:r>
        <w:t xml:space="preserve">PUDASAINI, S. et al. Survey on AI-generated plagiarism detection.</w:t>
      </w:r>
      <w:r>
        <w:t xml:space="preserve"> </w:t>
      </w:r>
      <w:r>
        <w:rPr>
          <w:b/>
          <w:bCs/>
        </w:rPr>
        <w:t xml:space="preserve">Journal of Academic Ethics</w:t>
      </w:r>
      <w:r>
        <w:t xml:space="preserve">, v. 23, p. 1137-1170, 2025. DOI: 10.1007/s10805-024-09576-x</w:t>
      </w:r>
      <w:r>
        <w:t xml:space="preserve"> </w:t>
      </w:r>
      <w:r>
        <w:t xml:space="preserve">SCHILKE, O.; REIMANN, M. The transparency dilemma: How AI disclosure erodes trust.</w:t>
      </w:r>
      <w:r>
        <w:t xml:space="preserve"> </w:t>
      </w:r>
      <w:r>
        <w:rPr>
          <w:b/>
          <w:bCs/>
        </w:rPr>
        <w:t xml:space="preserve">Organizational Behavior and Human Decision Processes</w:t>
      </w:r>
      <w:r>
        <w:t xml:space="preserve">, v. 188, 2025. DOI: 10.1016/j.obhdp.2025.104405</w:t>
      </w:r>
      <w:r>
        <w:t xml:space="preserve"> </w:t>
      </w:r>
      <w:r>
        <w:t xml:space="preserve">SGUISSARDI, V. A avaliação defensiva no</w:t>
      </w:r>
      <w:r>
        <w:t xml:space="preserve"> </w:t>
      </w:r>
      <w:r>
        <w:t xml:space="preserve">“modelo CAPES de avaliação”</w:t>
      </w:r>
      <w:r>
        <w:t xml:space="preserve">.</w:t>
      </w:r>
      <w:r>
        <w:t xml:space="preserve"> </w:t>
      </w:r>
      <w:r>
        <w:rPr>
          <w:b/>
          <w:bCs/>
        </w:rPr>
        <w:t xml:space="preserve">Perspectiva</w:t>
      </w:r>
      <w:r>
        <w:t xml:space="preserve">, Florianópolis, v. 24, n. 1, p. 49-88, 2006. Disponível em: https://repositorio.ufsc.br/handle/123456789/186529</w:t>
      </w:r>
      <w:r>
        <w:t xml:space="preserve"> </w:t>
      </w:r>
      <w:r>
        <w:t xml:space="preserve">WEBER-WULFF, D. et al. Testing of detection tools for AI-generated text.</w:t>
      </w:r>
      <w:r>
        <w:t xml:space="preserve"> </w:t>
      </w:r>
      <w:r>
        <w:rPr>
          <w:b/>
          <w:bCs/>
        </w:rPr>
        <w:t xml:space="preserve">International Journal for Educational Integrity</w:t>
      </w:r>
      <w:r>
        <w:t xml:space="preserve">, v. 19, n. 1, 2023. DOI: 10.1007/s40979-023-00146-z</w:t>
      </w:r>
    </w:p>
    <w:bookmarkEnd w:id="18"/>
    <w:sectPr w:rsidR="00FC693F" w:rsidRPr="0006063C" w:rsidSect="00034616">
      <w:footerReference r:id="rId9" w:type="default"/>
      <w:pgSz w:h="15840" w:w="12240"/>
      <w:pgMar w:bottom="1134" w:footer="720" w:gutter="0" w:header="720" w:left="1701" w:right="1134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jc w:val="both"/>
    </w:pPr>
    <w:rPr>
      <w:rFonts w:ascii="Times New Roman" w:hAnsi="Times New Roman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40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before="720" w:line="240" w:lineRule="auto"/>
      <w:contextualSpacing/>
      <w:jc w:val="left"/>
    </w:pPr>
    <w:rPr>
      <w:rFonts w:ascii="Times New Roman" w:asciiTheme="majorHAnsi" w:cstheme="majorBidi" w:eastAsiaTheme="majorEastAsia" w:hAnsi="Times New Roman" w:hAnsiTheme="majorHAnsi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before="240"/>
      <w:jc w:val="left"/>
    </w:pPr>
    <w:rPr>
      <w:rFonts w:ascii="Times New Roman" w:asciiTheme="majorHAnsi" w:cstheme="majorBidi" w:eastAsiaTheme="majorEastAsia" w:hAnsi="Times New Roman" w:hAnsiTheme="majorHAnsi"/>
      <w:b w:val="0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240" w:lineRule="auto"/>
      <w:ind w:left="2268"/>
    </w:pPr>
    <w:rPr>
      <w:rFonts w:ascii="Times New Roman" w:hAnsi="Times New Roman"/>
      <w:i/>
      <w:iCs/>
      <w:color w:themeColor="text1"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Protocolo que Não Protege: Crítica Epistêmica, Jurídica e Comparada à Portaria CNPq nº 2.664/2026</dc:title>
  <dc:creator>Prof. Marcelo Claro &amp; Grupo de pesquisa</dc:creator>
  <dc:language>pt-BR</dc:language>
  <cp:keywords>Inteligência artificial generativa, Portaria CNPq nº 2.664/2026, Integridade científica, Detecção de IA, Direito administrativo, Regulação comparada, Qualis CAPES, LGPD</cp:keywords>
  <dcterms:created xsi:type="dcterms:W3CDTF">2026-05-15T18:01:44Z</dcterms:created>
  <dcterms:modified xsi:type="dcterms:W3CDTF">2026-05-15T18:01:44Z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ensaio submete a Portaria CNPq nº 2.664/2026 — que exige declaração obrigatória de uso de IAG — a crítica rigorosa em 6 dimensões: técnica, hermenêutica, ética, jurídico-brasileira, comparada (China, EUA, UE) e substantiva. Demonstra-se que: (a) detectores de IA têm taxas de falso-positivo inaceitáveis (Weber-Wulff et al., 2023; Liu et al., 2024); (b) a proporção uso/declaração chega a 40:1 (Liang et al., 2025); (c) o art. 9º contém 7 ambiguidades que geram insegurança jurídica; (d) o protocolo conflita com a LGPD, o art. 218 CF e o princípio da legalidade; (e) diferentemente da China (padrão nacional obrigatório GB 45438-2025), da UE (AI Act Art. 50) e dos EUA (NSF TRUST), o modelo brasileiro depende exclusivamente de autodeclaração sem enforcement técnico. Conclui-se que, embora a Portaria represente avanço simbólico ao reconhecer a IAG, suas fragilidades superam seus acertos, operando como instrumento de retardamento burocrático que penaliza inovadores sem constranger mal-intencionados.</vt:lpwstr>
  </property>
  <property fmtid="{D5CDD505-2E9C-101B-9397-08002B2CF9AE}" pid="3" name="date">
    <vt:lpwstr>2026</vt:lpwstr>
  </property>
</Properties>
</file>