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Raciocínio Automatizado em Problemas da IMO: um Estudo Empírico Piloto com Solvers Determinísticos e Anti-Leak</w:t>
      </w:r>
    </w:p>
    <w:p>
      <w:pPr>
        <w:pStyle w:val="Author"/>
      </w:pPr>
      <w:r>
        <w:t xml:space="preserve">OpenCode Ecosystem Core research pipeline</w:t>
      </w:r>
    </w:p>
    <w:p>
      <w:pPr>
        <w:pStyle w:val="Date"/>
      </w:pPr>
      <w:r>
        <w:t xml:space="preserve">2026-09-13</w:t>
      </w:r>
    </w:p>
    <w:bookmarkStart w:id="9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Este estudo piloto avalia empiricamente a capacidade de um ecossistema de</w:t>
      </w:r>
      <w:r>
        <w:t xml:space="preserve"> </w:t>
      </w:r>
      <w:r>
        <w:t xml:space="preserve">raciocínio determinístico (enumeração exata, aritmética de primos e validação</w:t>
      </w:r>
      <w:r>
        <w:t xml:space="preserve"> </w:t>
      </w:r>
      <w:r>
        <w:t xml:space="preserve">numérica) na resolução de quatro problemas canônicos do corpus amostral</w:t>
      </w:r>
      <w:r>
        <w:t xml:space="preserve"> </w:t>
      </w:r>
      <w:r>
        <w:t xml:space="preserve">IMO-AnswerBench (IMO Shortlist 2020–2022), usando um harness de avaliação com</w:t>
      </w:r>
      <w:r>
        <w:t xml:space="preserve"> </w:t>
      </w:r>
      <w:r>
        <w:t xml:space="preserve">escala 0–7 e</w:t>
      </w:r>
      <w:r>
        <w:t xml:space="preserve"> </w:t>
      </w:r>
      <w:r>
        <w:rPr>
          <w:b/>
          <w:bCs/>
        </w:rPr>
        <w:t xml:space="preserve">solver sem acesso à resposta esperada</w:t>
      </w:r>
      <w:r>
        <w:t xml:space="preserve"> </w:t>
      </w:r>
      <w:r>
        <w:t xml:space="preserve">(anti-leak). Dos quatro</w:t>
      </w:r>
      <w:r>
        <w:t xml:space="preserve"> </w:t>
      </w:r>
      <w:r>
        <w:t xml:space="preserve">problemas, dois foram resolvidos exatamente por enumeração (teoria dos números:</w:t>
      </w:r>
      <w:r>
        <w:t xml:space="preserve"> </w:t>
      </w:r>
      <w:r>
        <w:t xml:space="preserve">(p,q) = (7,3); álgebra: N = 3, com esclarecimento semântico do termo</w:t>
      </w:r>
      <w:r>
        <w:t xml:space="preserve"> </w:t>
      </w:r>
      <w:r>
        <w:t xml:space="preserve">“quotient”</w:t>
      </w:r>
      <w:r>
        <w:t xml:space="preserve"> </w:t>
      </w:r>
      <w:r>
        <w:t xml:space="preserve">como divisão inteira), um foi confirmado por enumeração com</w:t>
      </w:r>
      <w:r>
        <w:t xml:space="preserve"> </w:t>
      </w:r>
      <w:r>
        <w:t xml:space="preserve">sensibilidade de serialização na detecção da resposta (combinatória: 2^{n-1},</w:t>
      </w:r>
      <w:r>
        <w:t xml:space="preserve"> </w:t>
      </w:r>
      <w:r>
        <w:t xml:space="preserve">n = 1..6), e um recebeu apenas evidência numérica forte, sem prova formal</w:t>
      </w:r>
      <w:r>
        <w:t xml:space="preserve"> </w:t>
      </w:r>
      <w:r>
        <w:t xml:space="preserve">(desigualdade algébrica). A taxa de acerto do harness foi 50% (2/4), com média</w:t>
      </w:r>
      <w:r>
        <w:t xml:space="preserve"> </w:t>
      </w:r>
      <w:r>
        <w:t xml:space="preserve">4.5/7. Identificamos três achados metodológicos: ambiguidade semântica de</w:t>
      </w:r>
      <w:r>
        <w:t xml:space="preserve"> </w:t>
      </w:r>
      <w:r>
        <w:t xml:space="preserve">paráfrases, divergência de definição de</w:t>
      </w:r>
      <w:r>
        <w:t xml:space="preserve"> </w:t>
      </w:r>
      <w:r>
        <w:t xml:space="preserve">“local maximum”</w:t>
      </w:r>
      <w:r>
        <w:t xml:space="preserve"> </w:t>
      </w:r>
      <w:r>
        <w:t xml:space="preserve">e sensibilidade de</w:t>
      </w:r>
      <w:r>
        <w:t xml:space="preserve"> </w:t>
      </w:r>
      <w:r>
        <w:t xml:space="preserve">serialização do grading. Os resultados são apresentados comparados</w:t>
      </w:r>
      <w:r>
        <w:t xml:space="preserve"> </w:t>
      </w:r>
      <w:r>
        <w:t xml:space="preserve">contextualmente à literatura (AlphaGeometry, AlphaGeometry2, Aletheia), sem</w:t>
      </w:r>
      <w:r>
        <w:t xml:space="preserve"> </w:t>
      </w:r>
      <w:r>
        <w:t xml:space="preserve">reivindicação de superioridade. Limitações: corpus amostral pequeno (n = 4),</w:t>
      </w:r>
      <w:r>
        <w:t xml:space="preserve"> </w:t>
      </w:r>
      <w:r>
        <w:t xml:space="preserve">sem head-to-head executado, solvers determinísticos por domínio.</w:t>
      </w:r>
    </w:p>
    <w:bookmarkEnd w:id="9"/>
    <w:bookmarkStart w:id="10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A resolução automatizada de problemas de olimpíadas de matemática avançou</w:t>
      </w:r>
      <w:r>
        <w:t xml:space="preserve"> </w:t>
      </w:r>
      <w:r>
        <w:t xml:space="preserve">significativamente com sistemas como AlphaGeometry e AlphaGeometry2 (Busch et</w:t>
      </w:r>
      <w:r>
        <w:t xml:space="preserve"> </w:t>
      </w:r>
      <w:r>
        <w:t xml:space="preserve">al., Nature 2024; versão 2025) e o agente de pesquisa Aletheia da Google</w:t>
      </w:r>
      <w:r>
        <w:t xml:space="preserve"> </w:t>
      </w:r>
      <w:r>
        <w:t xml:space="preserve">DeepMind, que relatam desempenho no nível de medalha de ouro na IMO 2000–2024</w:t>
      </w:r>
      <w:r>
        <w:t xml:space="preserve"> </w:t>
      </w:r>
      <w:r>
        <w:t xml:space="preserve">(84%). Esses resultados, entretanto, dependem de busca neural, dedução</w:t>
      </w:r>
      <w:r>
        <w:t xml:space="preserve"> </w:t>
      </w:r>
      <w:r>
        <w:t xml:space="preserve">simbólica especializada e infraestrutura massiva. Este trabalho avalia um</w:t>
      </w:r>
      <w:r>
        <w:t xml:space="preserve"> </w:t>
      </w:r>
      <w:r>
        <w:t xml:space="preserve">caminho complementar e mais simples:</w:t>
      </w:r>
      <w:r>
        <w:t xml:space="preserve"> </w:t>
      </w:r>
      <w:r>
        <w:rPr>
          <w:b/>
          <w:bCs/>
        </w:rPr>
        <w:t xml:space="preserve">solvers determinísticos exatos</w:t>
      </w:r>
      <w:r>
        <w:t xml:space="preserve"> </w:t>
      </w:r>
      <w:r>
        <w:t xml:space="preserve">(sem</w:t>
      </w:r>
      <w:r>
        <w:t xml:space="preserve"> </w:t>
      </w:r>
      <w:r>
        <w:t xml:space="preserve">aprendizado de máquina) aplicados a um corpus amostral público do</w:t>
      </w:r>
      <w:r>
        <w:t xml:space="preserve"> </w:t>
      </w:r>
      <w:r>
        <w:t xml:space="preserve">IMO-AnswerBench, com protocolo anti-leak. O objetivo não é competir com</w:t>
      </w:r>
      <w:r>
        <w:t xml:space="preserve"> </w:t>
      </w:r>
      <w:r>
        <w:t xml:space="preserve">sistemas neurais, mas medir, de forma auditável e honesta, o que o raciocínio</w:t>
      </w:r>
      <w:r>
        <w:t xml:space="preserve"> </w:t>
      </w:r>
      <w:r>
        <w:t xml:space="preserve">exato alcança e onde falha — contribuindo com um benchmark de linha de base</w:t>
      </w:r>
      <w:r>
        <w:t xml:space="preserve"> </w:t>
      </w:r>
      <w:r>
        <w:t xml:space="preserve">determinística.</w:t>
      </w:r>
    </w:p>
    <w:bookmarkEnd w:id="10"/>
    <w:bookmarkStart w:id="14" w:name="método"/>
    <w:p>
      <w:pPr>
        <w:pStyle w:val="Heading2"/>
      </w:pPr>
      <w:r>
        <w:t xml:space="preserve">2. Método</w:t>
      </w:r>
    </w:p>
    <w:bookmarkStart w:id="11" w:name="corpus"/>
    <w:p>
      <w:pPr>
        <w:pStyle w:val="Heading3"/>
      </w:pPr>
      <w:r>
        <w:t xml:space="preserve">2.1 Corpus</w:t>
      </w:r>
    </w:p>
    <w:p>
      <w:pPr>
        <w:pStyle w:val="FirstParagraph"/>
      </w:pPr>
      <w:r>
        <w:t xml:space="preserve">Quatro problemas canônicos do IMO-AnswerBench (Shortlist 2020–2022), fixados</w:t>
      </w:r>
      <w:r>
        <w:t xml:space="preserve"> </w:t>
      </w:r>
      <w:r>
        <w:t xml:space="preserve">no harness de avaliação: álgebra (N de uma soma de quocientes), álgebra</w:t>
      </w:r>
      <w:r>
        <w:t xml:space="preserve"> </w:t>
      </w:r>
      <w:r>
        <w:t xml:space="preserve">(desigualdade com parâmetro u), teoria dos números (equação diofantina p^3 - q^5 = (p+q)^2) e combinatória (permutações com um único máximo local).</w:t>
      </w:r>
    </w:p>
    <w:bookmarkEnd w:id="11"/>
    <w:bookmarkStart w:id="12" w:name="solver-determinístico-anti-leak"/>
    <w:p>
      <w:pPr>
        <w:pStyle w:val="Heading3"/>
      </w:pPr>
      <w:r>
        <w:t xml:space="preserve">2.2 Solver determinístico (anti-leak)</w:t>
      </w:r>
    </w:p>
    <w:p>
      <w:pPr>
        <w:pStyle w:val="FirstParagraph"/>
      </w:pPr>
      <w:r>
        <w:t xml:space="preserve">O solver recebe apenas o enunciado e nunca a resposta esperada. Para cada</w:t>
      </w:r>
      <w:r>
        <w:t xml:space="preserve"> </w:t>
      </w:r>
      <w:r>
        <w:t xml:space="preserve">categoria: enumeração exata de N (1..60) com divisão inteira; enumeração exata</w:t>
      </w:r>
      <w:r>
        <w:t xml:space="preserve"> </w:t>
      </w:r>
      <w:r>
        <w:t xml:space="preserve">de pares de primos (2..400); enumeração exata de permutações (n = 1..6) com</w:t>
      </w:r>
      <w:r>
        <w:t xml:space="preserve"> </w:t>
      </w:r>
      <w:r>
        <w:t xml:space="preserve">definição de máximo local incluindo extremos; validação numérica extensiva da</w:t>
      </w:r>
      <w:r>
        <w:t xml:space="preserve"> </w:t>
      </w:r>
      <w:r>
        <w:t xml:space="preserve">desigualdade para u = 2..6 e grade de t, sem prova formal.</w:t>
      </w:r>
    </w:p>
    <w:bookmarkEnd w:id="12"/>
    <w:bookmarkStart w:id="13" w:name="avaliação"/>
    <w:p>
      <w:pPr>
        <w:pStyle w:val="Heading3"/>
      </w:pPr>
      <w:r>
        <w:t xml:space="preserve">2.3 Avaliação</w:t>
      </w:r>
    </w:p>
    <w:p>
      <w:pPr>
        <w:pStyle w:val="FirstParagraph"/>
      </w:pPr>
      <w:r>
        <w:t xml:space="preserve">GradingHead na escala 0–7 (rubrica inspirada em benchmarking de provas</w:t>
      </w:r>
      <w:r>
        <w:t xml:space="preserve"> </w:t>
      </w:r>
      <w:r>
        <w:t xml:space="preserve">matemáticas). A resposta curta é detectada na solução gerada; a solução é</w:t>
      </w:r>
      <w:r>
        <w:t xml:space="preserve"> </w:t>
      </w:r>
      <w:r>
        <w:t xml:space="preserve">considerada correta quando a dedução exata atingiu a resposta e o grading</w:t>
      </w:r>
      <w:r>
        <w:t xml:space="preserve"> </w:t>
      </w:r>
      <w:r>
        <w:t xml:space="preserve">reconheceu a resposta.</w:t>
      </w:r>
    </w:p>
    <w:bookmarkEnd w:id="13"/>
    <w:bookmarkEnd w:id="14"/>
    <w:bookmarkStart w:id="15" w:name="resultados"/>
    <w:p>
      <w:pPr>
        <w:pStyle w:val="Heading2"/>
      </w:pPr>
      <w:r>
        <w:t xml:space="preserve">3.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Resposta deduzida</w:t>
            </w:r>
          </w:p>
        </w:tc>
        <w:tc>
          <w:tcPr/>
          <w:p>
            <w:pPr>
              <w:pStyle w:val="Compact"/>
            </w:pPr>
            <w:r>
              <w:t xml:space="preserve">Ground truth</w:t>
            </w:r>
          </w:p>
        </w:tc>
        <w:tc>
          <w:tcPr/>
          <w:p>
            <w:pPr>
              <w:pStyle w:val="Compact"/>
            </w:pPr>
            <w:r>
              <w:t xml:space="preserve">Score (0–7)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algebra-001</w:t>
            </w:r>
          </w:p>
        </w:tc>
        <w:tc>
          <w:tcPr/>
          <w:p>
            <w:pPr>
              <w:pStyle w:val="Compact"/>
            </w:pPr>
            <w:r>
              <w:t xml:space="preserve">Álgebra</w:t>
            </w:r>
          </w:p>
        </w:tc>
        <w:tc>
          <w:tcPr/>
          <w:p>
            <w:pPr>
              <w:pStyle w:val="Compact"/>
            </w:pPr>
            <w:r>
              <w:t xml:space="preserve">N = 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correto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algebra-004</w:t>
            </w:r>
          </w:p>
        </w:tc>
        <w:tc>
          <w:tcPr/>
          <w:p>
            <w:pPr>
              <w:pStyle w:val="Compact"/>
            </w:pPr>
            <w:r>
              <w:t xml:space="preserve">Álgebra</w:t>
            </w:r>
          </w:p>
        </w:tc>
        <w:tc>
          <w:tcPr/>
          <w:p>
            <w:pPr>
              <w:pStyle w:val="Compact"/>
            </w:pPr>
            <w:r>
              <w:t xml:space="preserve">C = 2^{u-2} (evidência numérica)</w:t>
            </w:r>
          </w:p>
        </w:tc>
        <w:tc>
          <w:tcPr/>
          <w:p>
            <w:pPr>
              <w:pStyle w:val="Compact"/>
            </w:pPr>
            <w:r>
              <w:t xml:space="preserve">2^{u-2}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number-theory-001</w:t>
            </w:r>
          </w:p>
        </w:tc>
        <w:tc>
          <w:tcPr/>
          <w:p>
            <w:pPr>
              <w:pStyle w:val="Compact"/>
            </w:pPr>
            <w:r>
              <w:t xml:space="preserve">Teoria dos números</w:t>
            </w:r>
          </w:p>
        </w:tc>
        <w:tc>
          <w:tcPr/>
          <w:p>
            <w:pPr>
              <w:pStyle w:val="Compact"/>
            </w:pPr>
            <w:r>
              <w:t xml:space="preserve">(7, 3)</w:t>
            </w:r>
          </w:p>
        </w:tc>
        <w:tc>
          <w:tcPr/>
          <w:p>
            <w:pPr>
              <w:pStyle w:val="Compact"/>
            </w:pPr>
            <w:r>
              <w:t xml:space="preserve">(7, 3)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correto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combinatorics-001</w:t>
            </w:r>
          </w:p>
        </w:tc>
        <w:tc>
          <w:tcPr/>
          <w:p>
            <w:pPr>
              <w:pStyle w:val="Compact"/>
            </w:pPr>
            <w:r>
              <w:t xml:space="preserve">Combinatória</w:t>
            </w:r>
          </w:p>
        </w:tc>
        <w:tc>
          <w:tcPr/>
          <w:p>
            <w:pPr>
              <w:pStyle w:val="Compact"/>
            </w:pPr>
            <w:r>
              <w:t xml:space="preserve">2^{n-1} (n = 1..6)</w:t>
            </w:r>
          </w:p>
        </w:tc>
        <w:tc>
          <w:tcPr/>
          <w:p>
            <w:pPr>
              <w:pStyle w:val="Compact"/>
            </w:pPr>
            <w:r>
              <w:t xml:space="preserve">2^{n-1}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confirmado por enumeração com ressalva de serialização</w:t>
            </w:r>
          </w:p>
        </w:tc>
      </w:tr>
    </w:tbl>
    <w:p>
      <w:pPr>
        <w:pStyle w:val="BodyText"/>
      </w:pPr>
      <w:r>
        <w:t xml:space="preserve">Taxa de acerto (ground-truth reconhecido pelo grading): 2/4 (50%). Média:</w:t>
      </w:r>
      <w:r>
        <w:t xml:space="preserve"> </w:t>
      </w:r>
      <w:r>
        <w:t xml:space="preserve">4.5/7. Nenhuma solução obteve nota 7, pois nenhuma prova formal completa foi</w:t>
      </w:r>
      <w:r>
        <w:t xml:space="preserve"> </w:t>
      </w:r>
      <w:r>
        <w:t xml:space="preserve">produzida para todos os problemas.</w:t>
      </w:r>
    </w:p>
    <w:bookmarkEnd w:id="15"/>
    <w:bookmarkStart w:id="16" w:name="achados-metodológicos"/>
    <w:p>
      <w:pPr>
        <w:pStyle w:val="Heading2"/>
      </w:pPr>
      <w:r>
        <w:t xml:space="preserve">4. Achados metodológicos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Ambiguidade semântica (algebra-001)</w:t>
      </w:r>
      <w:r>
        <w:t xml:space="preserve">: a paráfrase</w:t>
      </w:r>
      <w:r>
        <w:t xml:space="preserve"> </w:t>
      </w:r>
      <w:r>
        <w:t xml:space="preserve">“quotient of ab</w:t>
      </w:r>
      <w:r>
        <w:t xml:space="preserve"> </w:t>
      </w:r>
      <w:r>
        <w:t xml:space="preserve">divided by N+1”</w:t>
      </w:r>
      <w:r>
        <w:t xml:space="preserve"> </w:t>
      </w:r>
      <w:r>
        <w:t xml:space="preserve">admite divisão racional (resultado N = 1) e divisão inteira</w:t>
      </w:r>
      <w:r>
        <w:t xml:space="preserve"> </w:t>
      </w:r>
      <w:r>
        <w:t xml:space="preserve">(N = 3). A semântica oficial exige divisão inteira; o solver que a adota</w:t>
      </w:r>
      <w:r>
        <w:t xml:space="preserve"> </w:t>
      </w:r>
      <w:r>
        <w:t xml:space="preserve">recupera o ground truth. Formalizações imprecisas alteram o resultado.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Definição de</w:t>
      </w:r>
      <w:r>
        <w:rPr>
          <w:b/>
          <w:bCs/>
        </w:rPr>
        <w:t xml:space="preserve"> </w:t>
      </w:r>
      <w:r>
        <w:rPr>
          <w:b/>
          <w:bCs/>
        </w:rPr>
        <w:t xml:space="preserve">“local maximum”</w:t>
      </w:r>
      <w:r>
        <w:rPr>
          <w:b/>
          <w:bCs/>
        </w:rPr>
        <w:t xml:space="preserve"> </w:t>
      </w:r>
      <w:r>
        <w:rPr>
          <w:b/>
          <w:bCs/>
        </w:rPr>
        <w:t xml:space="preserve">(combinatorics-001)</w:t>
      </w:r>
      <w:r>
        <w:t xml:space="preserve">: a definição restrita a</w:t>
      </w:r>
      <w:r>
        <w:t xml:space="preserve"> </w:t>
      </w:r>
      <w:r>
        <w:t xml:space="preserve">interiores falha para n = 1, 2; a definição que inclui extremos confirma</w:t>
      </w:r>
      <w:r>
        <w:t xml:space="preserve"> </w:t>
      </w:r>
      <w:r>
        <w:t xml:space="preserve">2^{n-1} para n = 1..6. A formalização da definição é parte do problema.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Sensibilidade de serialização do grading</w:t>
      </w:r>
      <w:r>
        <w:t xml:space="preserve">: a resposta deduzida</w:t>
      </w:r>
      <w:r>
        <w:t xml:space="preserve"> </w:t>
      </w:r>
      <w:r>
        <w:t xml:space="preserve">“2^(n-1)”</w:t>
      </w:r>
      <w:r>
        <w:t xml:space="preserve"> </w:t>
      </w:r>
      <w:r>
        <w:t xml:space="preserve">em notação de programa não foi reconhecida pelo grading que</w:t>
      </w:r>
      <w:r>
        <w:t xml:space="preserve"> </w:t>
      </w:r>
      <w:r>
        <w:t xml:space="preserve">espera</w:t>
      </w:r>
      <w:r>
        <w:t xml:space="preserve"> </w:t>
      </w:r>
      <w:r>
        <w:t xml:space="preserve">“2^{n-1}”</w:t>
      </w:r>
      <w:r>
        <w:t xml:space="preserve"> </w:t>
      </w:r>
      <w:r>
        <w:t xml:space="preserve">(notação LaTeX). O reconhecimento de resposta curta é</w:t>
      </w:r>
      <w:r>
        <w:t xml:space="preserve"> </w:t>
      </w:r>
      <w:r>
        <w:t xml:space="preserve">sensível à serialização — limitação importante para benchmarks automáticos.</w:t>
      </w:r>
    </w:p>
    <w:bookmarkEnd w:id="16"/>
    <w:bookmarkStart w:id="17" w:name="discussão"/>
    <w:p>
      <w:pPr>
        <w:pStyle w:val="Heading2"/>
      </w:pPr>
      <w:r>
        <w:t xml:space="preserve">5. Discussão</w:t>
      </w:r>
    </w:p>
    <w:p>
      <w:pPr>
        <w:pStyle w:val="FirstParagraph"/>
      </w:pPr>
      <w:r>
        <w:t xml:space="preserve">Os resultados confirmam que raciocínio exato determinístico resolve problemas</w:t>
      </w:r>
      <w:r>
        <w:t xml:space="preserve"> </w:t>
      </w:r>
      <w:r>
        <w:t xml:space="preserve">de teoria dos números e álgebra de busca finita com total auditabilidade, mas</w:t>
      </w:r>
      <w:r>
        <w:t xml:space="preserve"> </w:t>
      </w:r>
      <w:r>
        <w:t xml:space="preserve">não substitui prova formal para desigualdades paramétricas. A comparação com a</w:t>
      </w:r>
      <w:r>
        <w:t xml:space="preserve"> </w:t>
      </w:r>
      <w:r>
        <w:t xml:space="preserve">literatura (AlphaGeometry/AG2/Aletheia) é contextual e não competitiva: estes</w:t>
      </w:r>
      <w:r>
        <w:t xml:space="preserve"> </w:t>
      </w:r>
      <w:r>
        <w:t xml:space="preserve">sistemas operam em escala muito maior e com recursos neurais; nosso estudo</w:t>
      </w:r>
      <w:r>
        <w:t xml:space="preserve"> </w:t>
      </w:r>
      <w:r>
        <w:t xml:space="preserve">estabelece uma linha de base determinística reproduzível de 50% num corpus</w:t>
      </w:r>
      <w:r>
        <w:t xml:space="preserve"> </w:t>
      </w:r>
      <w:r>
        <w:t xml:space="preserve">amostral. A sensibilidade do grading a serialização e ambiguidade de</w:t>
      </w:r>
      <w:r>
        <w:t xml:space="preserve"> </w:t>
      </w:r>
      <w:r>
        <w:t xml:space="preserve">formalização recomenda que benchmarks futuros publiquem especificações</w:t>
      </w:r>
      <w:r>
        <w:t xml:space="preserve"> </w:t>
      </w:r>
      <w:r>
        <w:t xml:space="preserve">semânticas formais junto aos enunciados.</w:t>
      </w:r>
    </w:p>
    <w:bookmarkEnd w:id="17"/>
    <w:bookmarkStart w:id="18" w:name="conclusão"/>
    <w:p>
      <w:pPr>
        <w:pStyle w:val="Heading2"/>
      </w:pPr>
      <w:r>
        <w:t xml:space="preserve">6. Conclusão</w:t>
      </w:r>
    </w:p>
    <w:p>
      <w:pPr>
        <w:pStyle w:val="FirstParagraph"/>
      </w:pPr>
      <w:r>
        <w:t xml:space="preserve">Solvers determinísticos exatos, com anti-leak, atingem 50% de acerto no corpus</w:t>
      </w:r>
      <w:r>
        <w:t xml:space="preserve"> </w:t>
      </w:r>
      <w:r>
        <w:t xml:space="preserve">amostral IMO-AnswerBench (2/4, média 4.5/7), resolvem completamente problemas</w:t>
      </w:r>
      <w:r>
        <w:t xml:space="preserve"> </w:t>
      </w:r>
      <w:r>
        <w:t xml:space="preserve">de enumeração (diofantina e soma de quocientes) e fornecem evidência numérica</w:t>
      </w:r>
      <w:r>
        <w:t xml:space="preserve"> </w:t>
      </w:r>
      <w:r>
        <w:t xml:space="preserve">forte — não prova — para desigualdade paramétrica. Três achados metodológicos</w:t>
      </w:r>
      <w:r>
        <w:t xml:space="preserve"> </w:t>
      </w:r>
      <w:r>
        <w:t xml:space="preserve">sobre ambiguidade, definição e serialização são contribuições úteis para o</w:t>
      </w:r>
      <w:r>
        <w:t xml:space="preserve"> </w:t>
      </w:r>
      <w:r>
        <w:t xml:space="preserve">desenho de benchmarks de raciocínio matemático automatizado.</w:t>
      </w:r>
    </w:p>
    <w:bookmarkEnd w:id="18"/>
    <w:bookmarkStart w:id="19" w:name="limitações"/>
    <w:p>
      <w:pPr>
        <w:pStyle w:val="Heading2"/>
      </w:pPr>
      <w:r>
        <w:t xml:space="preserve">7. Limitações</w:t>
      </w:r>
    </w:p>
    <w:p>
      <w:pPr>
        <w:pStyle w:val="FirstParagraph"/>
      </w:pPr>
      <w:r>
        <w:t xml:space="preserve">n = 4; sem head-to-head com sistemas externos; sem busca neural; sem prova</w:t>
      </w:r>
      <w:r>
        <w:t xml:space="preserve"> </w:t>
      </w:r>
      <w:r>
        <w:t xml:space="preserve">formal Lean4; solvers determinísticos por domínio; LLM on-device auxiliou a</w:t>
      </w:r>
      <w:r>
        <w:t xml:space="preserve"> </w:t>
      </w:r>
      <w:r>
        <w:t xml:space="preserve">estruturação textual, não os dados empíricos.</w:t>
      </w:r>
    </w:p>
    <w:bookmarkEnd w:id="19"/>
    <w:bookmarkStart w:id="20" w:name="referências-contextuais"/>
    <w:p>
      <w:pPr>
        <w:pStyle w:val="Heading2"/>
      </w:pPr>
      <w:r>
        <w:t xml:space="preserve">Referências (contextuais)</w:t>
      </w:r>
    </w:p>
    <w:p>
      <w:pPr>
        <w:pStyle w:val="Compact"/>
        <w:numPr>
          <w:ilvl w:val="0"/>
          <w:numId w:val="1002"/>
        </w:numPr>
      </w:pPr>
      <w:r>
        <w:t xml:space="preserve">Trinh, T. H. et al. AlphaGeometry. Nature 625, 468–475 (2024).</w:t>
      </w:r>
    </w:p>
    <w:p>
      <w:pPr>
        <w:pStyle w:val="Compact"/>
        <w:numPr>
          <w:ilvl w:val="0"/>
          <w:numId w:val="1002"/>
        </w:numPr>
      </w:pPr>
      <w:r>
        <w:t xml:space="preserve">Google DeepMind. AlphaGeometry2 e Aletheia (comunicação de 2025).</w:t>
      </w:r>
    </w:p>
    <w:p>
      <w:pPr>
        <w:pStyle w:val="Compact"/>
        <w:numPr>
          <w:ilvl w:val="0"/>
          <w:numId w:val="1002"/>
        </w:numPr>
      </w:pPr>
      <w:r>
        <w:t xml:space="preserve">Google DeepMind. IMO-AnswerBench / IMO-ProofBench / IMO-GradingBench (datasets abertos).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Raciocínio Automatizado em Problemas da IMO: um Estudo Empírico Piloto com Solvers Determinísticos e Anti-Leak</dc:title>
  <dc:creator>OpenCode Ecosystem Core research pipeline</dc:creator>
  <cp:keywords/>
  <dcterms:created xsi:type="dcterms:W3CDTF">2026-09-13T09:42:29Z</dcterms:created>
  <dcterms:modified xsi:type="dcterms:W3CDTF">2026-09-13T09:42:29Z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2026-09-13</vt:lpwstr>
  </property>
</Properties>
</file>